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DB8F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饶河县四排赫哲族乡</w:t>
      </w:r>
    </w:p>
    <w:p w14:paraId="6D33231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2025年法治政府建设工作报告</w:t>
      </w:r>
    </w:p>
    <w:p w14:paraId="1A46480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1BF37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2025年，四排赫哲族乡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坚持以习近平新时代中国特色社会主义思想为指导，全面贯彻党的二十大和二十届四中全会精神，深入践行习近平法治思想，认真落实县委、县政府关于法治建设的决策部署，紧紧围绕《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饶河县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2025年法治政府建设工作计划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》，持续深化法治政府建设，提升依法行政能力，为推动赫乡经济社会高质量发展营造良好法治环境。现将2025年度法治政府建设工作情况报告如下：</w:t>
      </w:r>
    </w:p>
    <w:p w14:paraId="6D747CC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一、主要工作及成效</w:t>
      </w:r>
    </w:p>
    <w:p w14:paraId="269A094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（一）强化政治引领，持续深化习近平法治思想学习贯彻</w:t>
      </w:r>
    </w:p>
    <w:p w14:paraId="5535EE0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1.坚持党对法治政府建设的全面领导。</w:t>
      </w:r>
      <w:r>
        <w:rPr>
          <w:rFonts w:hint="eastAsia" w:ascii="仿宋_GB2312" w:hAnsi="仿宋_GB2312" w:eastAsia="仿宋_GB2312" w:cs="仿宋_GB2312"/>
          <w:sz w:val="32"/>
          <w:szCs w:val="32"/>
        </w:rPr>
        <w:t>乡党委坚持把学习贯彻习近平法治思想作为重大政治任务，通过党委会议、理论学习中心组学习、专题培训等形式，组织领导干部深入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学习贯彻习近平总书记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关于法治建设的重要论述和党中央关于全面依法治国的决策部署。全年组织党委扩大会议学习5次、中心组学习4次，推动法治思维融入乡村治理全过程。</w:t>
      </w:r>
    </w:p>
    <w:p w14:paraId="8B07C3C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2.压实法治建设第一责任人职责。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严格落实党政主要负责人履行推进法治建设第一责任人职责清单，将法治建设纳入年度工作要点和绩效考核体系。开展党政主要负责人年度述法工作，推动法治建设与经济社会发展同部署、同推进、同考核。</w:t>
      </w:r>
    </w:p>
    <w:p w14:paraId="C89FECB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3.健全依法决策机制。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持续发挥法律顾问在重大决策、合同审查、规范性文件制定等方面的专业作用。2025年，法律顾问参与合同审查4次，提供法律咨询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20余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次，有效防范法律风险，提升决策科学化、法治化水平。</w:t>
      </w:r>
    </w:p>
    <w:p w14:paraId="53DF255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（二）推进依法行政，全面提升政府治理效能</w:t>
      </w:r>
    </w:p>
    <w:p w14:paraId="BE2AA6B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1.深化政务公开。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依托政府门户网站、政务新媒体等平台，依法公开财政预决算、重点项目、惠民政策等信息共计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179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条，及时回应群众关切。规范依申请公开办理流程，全年办理信息公开申请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件，按期办结率100%。</w:t>
      </w:r>
    </w:p>
    <w:p w14:paraId="4CC2DDA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2.规范行政执法行为。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组织执法人员参加法治业务培训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次，开展执法案卷评查和典型案例分析，全面推行行政执法“三项制度”，执法公示率、全过程记录率、重大执法决定法制审核率均达100%。</w:t>
      </w:r>
    </w:p>
    <w:p w14:paraId="8BF19E4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3.加强行政应诉与复议工作。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严格落实行政机关负责人出庭应诉制度，依法履行法院生效裁判。全年未发生行政诉讼案件，行政复议案件1件，已依法妥善处理。</w:t>
      </w:r>
    </w:p>
    <w:p w14:paraId="5099D41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（三）聚焦法治为民，提升基层社会治理法治化水平</w:t>
      </w:r>
    </w:p>
    <w:p w14:paraId="A2E48D0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1.创新矛盾纠纷化解机制。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深化“枫桥经验”本地实践，完善“联排预警、联调处置、联动回访、普法联做”工作机制，推动“3+网格化”服务管理模式落地见效。全年调解各类矛盾纠纷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起，调解成功率98%。</w:t>
      </w:r>
    </w:p>
    <w:p w14:paraId="74F9211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2.优化公共法律服务供给。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推动综治中心与公共法律服务站融合发展，完善“一厅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sz w:val="32"/>
          <w:szCs w:val="32"/>
        </w:rPr>
        <w:t>室”功能布局，为群众提供法律咨询、法律援助、调解服务等“一站式”法律服务。全年开展普法宣传活动4次，覆盖群众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00余人次。</w:t>
      </w:r>
    </w:p>
    <w:p w14:paraId="9E7348A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3.强化社会治安综合治理。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联合派出所、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民兵</w:t>
      </w:r>
      <w:r>
        <w:rPr>
          <w:rFonts w:hint="eastAsia" w:ascii="仿宋_GB2312" w:hAnsi="仿宋_GB2312" w:eastAsia="仿宋_GB2312" w:cs="仿宋_GB2312"/>
          <w:sz w:val="32"/>
          <w:szCs w:val="32"/>
        </w:rPr>
        <w:t>力量加强重点区域巡逻防控，完善边境管控机制，确保特别防护期社会大局稳定。全年未发生重大治安案件，群众安全感持续提升。</w:t>
      </w:r>
    </w:p>
    <w:p w14:paraId="073CBC3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二、存在不足</w:t>
      </w:r>
    </w:p>
    <w:p w14:paraId="97A5524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（一）法治素养仍有差距。</w:t>
      </w:r>
      <w:r>
        <w:rPr>
          <w:rFonts w:hint="eastAsia" w:ascii="仿宋_GB2312" w:hAnsi="仿宋_GB2312" w:eastAsia="仿宋_GB2312" w:cs="仿宋_GB2312"/>
          <w:sz w:val="32"/>
          <w:szCs w:val="32"/>
        </w:rPr>
        <w:t>部分干部职工运用法治思维解决实际问题的能力有待加强，特别是在应对新型矛盾纠纷和复杂法律问题时存在能力不足。</w:t>
      </w:r>
    </w:p>
    <w:p w14:paraId="3CFF03F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（二）普法宣传深度不足。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法治宣传形式较为传统，与群众生产生活结合不够紧密，普法实效性有待进一步提升。</w:t>
      </w:r>
    </w:p>
    <w:p w14:paraId="CAA9EAC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（三）多元解纷机制衔接不畅。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人民调解、行政调解、司法调解等机制之间的协同性仍需加强，资源整合和制度创新有待深化。</w:t>
      </w:r>
    </w:p>
    <w:p w14:paraId="8A6C2F6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三、下一步工作安排</w:t>
      </w:r>
    </w:p>
    <w:p w14:paraId="C2108E9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（一）持续提升法治思维能力。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加强领导干部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法制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培训，推动学法用法常态化。结合乡村实际，开展土地管理、环境保护、民族政策等专题法治学习，提升基层干部依法履职能力。</w:t>
      </w:r>
    </w:p>
    <w:p w14:paraId="2EAFC85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（二）深化矛盾纠纷源头治理。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健全“多调联动”机制，推动调解资源下沉网格，强化事前风险排查和事中联动处置，提升矛盾纠纷化解效率和群众满意度。</w:t>
      </w:r>
    </w:p>
    <w:p w14:paraId="9526F63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（三）增强普法宣传实效。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落实“谁执法谁普法”责任制，推动普法与文明实践、民族团结、乡村振兴相结合，运用新媒体平台拓展普法覆盖面，提升群众法治意识和参与度。</w:t>
      </w:r>
    </w:p>
    <w:p w14:paraId="9BED5D8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（四）推进智慧法治建设。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探索“互联网+法治”模式，推动政务服务、执法监管、公共法律服务平台数据共享和业务协同，提升法治政府建设数字化水平。</w:t>
      </w:r>
    </w:p>
    <w:p w14:paraId="7201047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四、其他需要报告的情况</w:t>
      </w:r>
    </w:p>
    <w:p w14:paraId="731E812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</w:t>
      </w:r>
    </w:p>
    <w:sectPr>
      <w:pgSz w:w="11906" w:h="16838"/>
      <w:pgMar w:top="2098" w:right="1587" w:bottom="1984" w:left="1587" w:header="720" w:footer="720" w:gutter="0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06743EB"/>
    <w:rsid w:val="2C057A59"/>
    <w:rsid w:val="4F237A34"/>
    <w:rsid w:val="587C0C3F"/>
    <w:rsid w:val="77CB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1630</Words>
  <Characters>1666</Characters>
  <Paragraphs>60</Paragraphs>
  <TotalTime>0</TotalTime>
  <ScaleCrop>false</ScaleCrop>
  <LinksUpToDate>false</LinksUpToDate>
  <CharactersWithSpaces>1666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2020-04-26T02:44:00Z</dcterms:created>
  <dc:creator>tian</dc:creator>
  <cp:lastModifiedBy>黄士毓</cp:lastModifiedBy>
  <dcterms:modified xsi:type="dcterms:W3CDTF">2026-02-26T00:47:23Z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B0BDCD65DF7A4A8F8835186FED7C9B66_13</vt:lpwstr>
  </property>
  <property fmtid="{D5CDD505-2E9C-101B-9397-08002B2CF9AE}" pid="4" name="KSOTemplateDocerSaveRecord">
    <vt:lpwstr>eyJoZGlkIjoiN2NiNTNhYTJjZDkzYTJjYTJmNjM2YjhkNGM4ZjZiYmQiLCJ1c2VySWQiOiI3Mzc2NzAzMzkifQ==</vt:lpwstr>
  </property>
</Properties>
</file>