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2"/>
          <w:szCs w:val="32"/>
          <w:rFonts w:ascii="Calibri" w:eastAsia="宋体" w:hAnsi="宋体" w:hint="default"/>
        </w:rPr>
        <w:t>关于2018年秋季义务教育贫困寄宿生生活补助金使用情况公示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 xml:space="preserve">根据黑龙江省财政厅 黑龙江省教育厅关于下达2018年城乡义务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教育补助经费的通知｛黑财指（教）【2018】236号｝要求，结合本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县寄宿学校实际情况，现将寄宿制学校家庭经济困难学生补助使用情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况予以公示。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拟资助家庭经济困难寄宿生184人，总金额10.6625万元。</w:t>
      </w:r>
    </w:p>
    <w:tbl>
      <w:tblID w:val="0"/>
      <w:tblPr>
        <w:tblStyle w:val="PO38"/>
        <w:tblW w:w="8988" w:type="dxa"/>
        <w:tblLook w:val="0004A0" w:firstRow="1" w:lastRow="0" w:firstColumn="1" w:lastColumn="0" w:noHBand="0" w:noVBand="1"/>
      </w:tblPr>
      <w:tblGrid>
        <w:gridCol w:w="558"/>
        <w:gridCol w:w="3105"/>
        <w:gridCol w:w="705"/>
        <w:gridCol w:w="945"/>
        <w:gridCol w:w="1275"/>
        <w:gridCol w:w="2400"/>
      </w:tblGrid>
      <w:tr>
        <w:trPr>
          <w:hidden w:val="0"/>
        </w:trPr>
        <w:tc>
          <w:tcPr>
            <w:tcW w:type="dxa" w:w="8988"/>
            <w:vAlign w:val="top"/>
            <w:gridSpan w:val="6"/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30"/>
                <w:szCs w:val="30"/>
                <w:rFonts w:ascii="Calibri" w:eastAsia="宋体" w:hAnsi="宋体" w:hint="default"/>
              </w:rPr>
              <w:wordWrap w:val="off"/>
            </w:pPr>
            <w:r>
              <w:rPr>
                <w:shadow w:val="0"/>
                <w:color w:val="auto"/>
                <w:position w:val="0"/>
                <w:sz w:val="32"/>
                <w:szCs w:val="32"/>
                <w:rFonts w:ascii="Calibri" w:eastAsia="宋体" w:hAnsi="宋体" w:hint="default"/>
              </w:rPr>
              <w:t>2018年秋季义务教育贫困寄宿生生活补助金</w:t>
            </w:r>
          </w:p>
        </w:tc>
      </w:tr>
      <w:tr>
        <w:trPr>
          <w:hidden w:val="0"/>
        </w:trPr>
        <w:tc>
          <w:tcPr>
            <w:tcW w:type="dxa" w:w="558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序</w:t>
            </w: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号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学校名称</w:t>
            </w:r>
          </w:p>
        </w:tc>
        <w:tc>
          <w:tcPr>
            <w:tcW w:type="dxa" w:w="705"/>
            <w:vAlign w:val="top"/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发放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部门</w:t>
            </w:r>
          </w:p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拟资助</w:t>
            </w: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人数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资助金额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备注</w:t>
            </w: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饶河县小佳河镇中心小学</w:t>
            </w:r>
          </w:p>
        </w:tc>
        <w:tc>
          <w:tcPr>
            <w:tcW w:type="dxa" w:w="705"/>
            <w:vAlign w:val="top"/>
            <w:vMerge w:val="restart"/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饶河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县教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育体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育局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学生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资助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中心</w:t>
            </w:r>
          </w:p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23人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11500元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其中建档立卡2人，</w:t>
            </w: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共1000元。</w:t>
            </w: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2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饶河县小佳河镇中学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54人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33750元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3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饶河县大佳河乡中心学校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16人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8000元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4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饶河县山里乡中心学校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52人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31125元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5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饶河县大通河乡中心小学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13人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6500元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6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饶河县西丰镇中心小学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3人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1500元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7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饶河县西丰镇中学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19人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11875元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8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饶河县西丰镇芦源中心小学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500元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hidden w:val="0"/>
        </w:trPr>
        <w:tc>
          <w:tcPr>
            <w:tcW w:type="dxa" w:w="55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9</w:t>
            </w:r>
          </w:p>
        </w:tc>
        <w:tc>
          <w:tcPr>
            <w:tcW w:type="dxa" w:w="31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饶河县第一中学</w:t>
            </w:r>
          </w:p>
        </w:tc>
        <w:tc>
          <w:tcPr>
            <w:tcW w:type="dxa" w:w="705"/>
            <w:vAlign w:val="top"/>
            <w:vMerge/>
            <w:shd w:val="clear"/>
          </w:tcPr>
          <w:p/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3人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1875元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  <w:tr>
        <w:trPr>
          <w:trHeight w:hRule="atleast" w:val="610"/>
          <w:hidden w:val="0"/>
        </w:trPr>
        <w:tc>
          <w:tcPr>
            <w:tcW w:type="dxa" w:w="558"/>
            <w:vAlign w:val="top"/>
            <w:tcBorders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  <w:tc>
          <w:tcPr>
            <w:tcW w:type="dxa" w:w="3105"/>
            <w:vAlign w:val="top"/>
            <w:tcBorders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t>合计</w:t>
            </w:r>
          </w:p>
        </w:tc>
        <w:tc>
          <w:tcPr>
            <w:tcW w:type="dxa" w:w="705"/>
            <w:vAlign w:val="top"/>
            <w:tcBorders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  <w:tc>
          <w:tcPr>
            <w:tcW w:type="dxa" w:w="94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184人</w:t>
            </w:r>
          </w:p>
        </w:tc>
        <w:tc>
          <w:tcPr>
            <w:tcW w:type="dxa" w:w="127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24"/>
                <w:szCs w:val="24"/>
                <w:rFonts w:ascii="仿宋" w:eastAsia="仿宋" w:hAnsi="仿宋" w:hint="default"/>
              </w:rPr>
              <w:t>106625元</w:t>
            </w:r>
          </w:p>
        </w:tc>
        <w:tc>
          <w:tcPr>
            <w:tcW w:type="dxa" w:w="240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auto"/>
                <w:position w:val="0"/>
                <w:sz w:val="24"/>
                <w:szCs w:val="24"/>
                <w:rFonts w:ascii="仿宋" w:eastAsia="仿宋" w:hAnsi="仿宋" w:hint="default"/>
              </w:rPr>
              <w:wordWrap w:val="off"/>
            </w:pP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24"/>
          <w:szCs w:val="24"/>
          <w:highlight w:val="white"/>
          <w:rFonts w:ascii="Microsoft YaHei" w:eastAsia="&quot;Microsoft YaHei&quot;" w:hAnsi="&quot;Microsoft YaHei&quot;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>公示期2018年10</w:t>
      </w: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ab/>
      </w: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>月15日至2018年10月19日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 xml:space="preserve">监督电话：0469-5673062  监督电话：12317 联系人：刘文东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附件：饶河县2018年秋季家庭经济困难寄宿学生补助汇总表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饶河县教育体育局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2018年10月15日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&quot;Microsoft YaHei&quot;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basedOn w:val="PO3"/>
    <w:uiPriority w:val="38"/>
    <w:pPr>
      <w:jc w:val="both"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43" w:type="table">
    <w:name w:val="Calendar1"/>
    <w:uiPriority w:val="143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val="nil"/>
    </w:tcPr>
    <w:tblStylePr w:type="band1Horz">
      <w:tcPr>
        <w:shd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jc w:val="both"/>
      </w:pPr>
      <w:rPr>
        <w:b/>
        <w:shd w:val="clear"/>
        <w:sz w:val="44"/>
        <w:szCs w:val="44"/>
        <w:w w:val="100"/>
      </w:rPr>
      <w:tcPr/>
    </w:tblStylePr>
    <w:tblStylePr w:type="lastRow">
      <w:tcPr>
        <w:shd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customStyle="1" w:styleId="PO144" w:type="table">
    <w:name w:val="Calendar2"/>
    <w:qFormat/>
    <w:uiPriority w:val="144"/>
    <w:pPr>
      <w:autoSpaceDE w:val="1"/>
      <w:autoSpaceDN w:val="1"/>
      <w:jc w:val="center"/>
      <w:widowControl/>
      <w:wordWrap/>
    </w:pPr>
    <w:rPr>
      <w:shd w:val="clear"/>
      <w:sz w:val="28"/>
      <w:szCs w:val="28"/>
      <w:w w:val="100"/>
    </w:rPr>
    <w:tblPr>
      <w:tblBorders>
        <w:insideV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Row">
      <w:rPr>
        <w:caps/>
        <w:color w:val="5B9BD5" w:themeColor="accent1"/>
        <w:b w:val="0"/>
        <w:shd w:val="clear"/>
        <w:sz w:val="32"/>
        <w:szCs w:val="32"/>
        <w:w w:val="100"/>
      </w:rPr>
      <w:tcPr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customStyle="1" w:styleId="PO145" w:type="table">
    <w:name w:val="Calendar3"/>
    <w:qFormat/>
    <w:uiPriority w:val="145"/>
    <w:pPr>
      <w:autoSpaceDE w:val="1"/>
      <w:autoSpaceDN w:val="1"/>
      <w:jc w:val="right"/>
      <w:widowControl/>
      <w:wordWrap/>
    </w:pPr>
    <w:rPr>
      <w:color w:val="000000" w:themeColor="text1"/>
      <w:shd w:val="clear"/>
      <w:sz w:val="22"/>
      <w:szCs w:val="22"/>
      <w:w w:val="100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color w:val="5B9BD5" w:themeColor="accent1"/>
        <w:shd w:val="clear"/>
        <w:sz w:val="20"/>
        <w:szCs w:val="20"/>
        <w:w w:val="100"/>
      </w:rPr>
    </w:tblStylePr>
    <w:tblStylePr w:type="firstRow">
      <w:pPr>
        <w:jc w:val="right"/>
      </w:pPr>
      <w:rPr>
        <w:color w:val="5B9BD5" w:themeColor="accent1"/>
        <w:shd w:val="clear"/>
        <w:sz w:val="44"/>
        <w:szCs w:val="44"/>
        <w:w w:val="100"/>
      </w:rPr>
    </w:tblStylePr>
    <w:tblStylePr w:type="lastCol">
      <w:rPr>
        <w:color w:val="5B9BD5" w:themeColor="accent1"/>
        <w:shd w:val="clear"/>
        <w:sz w:val="20"/>
        <w:szCs w:val="20"/>
        <w:w w:val="100"/>
      </w:rPr>
    </w:tblStylePr>
  </w:style>
  <w:style w:customStyle="1" w:styleId="PO146" w:type="table">
    <w:name w:val="Calendar4"/>
    <w:uiPriority w:val="146"/>
    <w:pPr>
      <w:autoSpaceDE w:val="1"/>
      <w:autoSpaceDN w:val="1"/>
      <w:widowControl/>
      <w:wordWrap/>
    </w:pPr>
    <w:rPr>
      <w:color w:val="FFFFFF" w:themeColor="background1"/>
      <w:b/>
      <w:shd w:val="clear"/>
      <w:sz w:val="16"/>
      <w:szCs w:val="16"/>
      <w:w w:val="100"/>
    </w:rPr>
    <w:tblPr>
      <w:tblBorders>
        <w:bottom w:val="single" w:color="ED7D31" w:themeColor="accent2" w:sz="4"/>
        <w:left w:val="single" w:color="ED7D31" w:themeColor="accent2" w:sz="4"/>
        <w:right w:val="single" w:color="ED7D31" w:themeColor="accent2" w:sz="4"/>
        <w:top w:val="single" w:color="ED7D31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RowBandSize w:val="1"/>
    </w:tblPr>
    <w:tcPr>
      <w:shd w:fill="1E4D78" w:themeFill="accent1" w:themeFillShade="7F" w:color="000000" w:val="clear"/>
    </w:tcPr>
    <w:tblStylePr w:type="band1Horz">
      <w:rPr>
        <w:shd w:val="clear"/>
        <w:sz w:val="16"/>
        <w:szCs w:val="16"/>
        <w:w w:val="100"/>
      </w:rPr>
    </w:tblStylePr>
    <w:tblStylePr w:type="band2Horz">
      <w:rPr>
        <w:shd w:val="clear"/>
        <w:sz w:val="40"/>
        <w:szCs w:val="40"/>
        <w:w w:val="100"/>
      </w:rPr>
      <w:tcPr>
        <w:tcMar>
          <w:bottom w:type="dxa" w:w="86"/>
          <w:left w:type="nil" w:w="115"/>
          <w:right w:type="dxa" w:w="115"/>
          <w:top w:type="dxa" w:w="0"/>
        </w:tcMar>
      </w:tcPr>
    </w:tblStylePr>
    <w:tblStylePr w:type="firstCol">
      <w:pPr>
        <w:ind w:right="144" w:firstLine="0"/>
        <w:jc w:val="right"/>
      </w:pPr>
      <w:rPr>
        <w:b/>
        <w:shd w:val="clear"/>
        <w:sz w:val="72"/>
        <w:szCs w:val="72"/>
        <w:w w:val="100"/>
      </w:rPr>
    </w:tblStylePr>
    <w:tblStylePr w:type="firstRow">
      <w:rPr>
        <w:shd w:val="clear"/>
        <w:sz w:val="8"/>
        <w:szCs w:val="8"/>
        <w:w w:val="100"/>
      </w:rPr>
    </w:tblStylePr>
    <w:tblStylePr w:type="nwCell">
      <w:rPr>
        <w:shd w:val="clear"/>
        <w:sz w:val="8"/>
        <w:szCs w:val="8"/>
        <w:w w:val="100"/>
      </w:rPr>
    </w:tblStylePr>
  </w:style>
  <w:style w:styleId="PO147" w:type="table">
    <w:name w:val="LightShading-Accent1"/>
    <w:uiPriority w:val="147"/>
    <w:pPr>
      <w:autoSpaceDE w:val="1"/>
      <w:autoSpaceDN w:val="1"/>
      <w:widowControl/>
      <w:wordWrap/>
    </w:pPr>
    <w:rPr>
      <w:color w:val="3584CB" w:themeColor="accent1" w:themeShade="D8"/>
      <w:shd w:val="clear"/>
      <w:sz w:val="22"/>
      <w:szCs w:val="22"/>
      <w:w w:val="100"/>
    </w:rPr>
    <w:tblPr>
      <w:tblBorders>
        <w:bottom w:val="single" w:color="5B9BD5" w:themeColor="accent1" w:sz="8"/>
        <w:top w:val="single" w:color="5B9BD5" w:themeColor="accen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band1Vert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5B9BD5" w:themeColor="accent1" w:sz="8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5B9BD5" w:themeColor="accent1" w:sz="8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</w:style>
  <w:style w:styleId="PO148" w:type="table">
    <w:name w:val="MediumShading2-Accent5"/>
    <w:uiPriority w:val="148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auto" w:sz="18"/>
        <w:top w:val="single" w:color="auto" w:sz="1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D7D7" w:themeFill="background1" w:themeFillShade="D7" w:color="000000" w:val="clear"/>
      </w:tcPr>
    </w:tblStylePr>
    <w:tblStylePr w:type="band1Vert">
      <w:tcPr>
        <w:shd w:fill="D7D7D7" w:themeFill="background1" w:themeFillShade="D7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bottom w:val="single" w:color="auto" w:sz="18"/>
          <w:insideH w:val="nil"/>
          <w:insideV w:val="nil"/>
          <w:left w:val="nil"/>
          <w:right w:val="nil"/>
          <w:top w:val="nil"/>
        </w:tcBorders>
      </w:tc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  <w:tblStylePr w:type="lastCol"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insideH w:val="nil"/>
          <w:insideV w:val="nil"/>
          <w:left w:val="nil"/>
          <w:right w:val="nil"/>
        </w:tcBorders>
      </w:tc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shd w:fill="FFFFFF" w:themeFill="background1" w:color="000000" w:val="clear"/>
        <w:tcBorders>
          <w:bottom w:val="single" w:color="auto" w:sz="18"/>
          <w:insideH w:val="nil"/>
          <w:insideV w:val="nil"/>
          <w:left w:val="nil"/>
          <w:right w:val="nil"/>
          <w:top w:val="double" w:color="auto" w:sz="6"/>
        </w:tcBorders>
      </w:tcPr>
    </w:tblStylePr>
    <w:tblStylePr w:type="neCell">
      <w:tcPr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  <w:tblStylePr w:type="nwCell">
      <w:rPr>
        <w:color w:val="FFFFFF" w:themeColor="background1"/>
        <w:shd w:val="clear"/>
        <w:sz w:val="20"/>
        <w:szCs w:val="20"/>
        <w:w w:val="100"/>
      </w:rPr>
      <w:tcPr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</w:style>
  <w:style w:styleId="PO149" w:type="table">
    <w:name w:val="LightList"/>
    <w:uiPriority w:val="149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000000" w:themeColor="text1" w:sz="8"/>
        <w:left w:val="single" w:color="000000" w:themeColor="text1" w:sz="8"/>
        <w:right w:val="single" w:color="000000" w:themeColor="text1" w:sz="8"/>
        <w:top w:val="single" w:color="000000" w:themeColor="tex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single" w:color="000000" w:themeColor="text1" w:sz="8"/>
        </w:tcBorders>
      </w:tcPr>
    </w:tblStylePr>
    <w:tblStylePr w:type="band1Vert"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single" w:color="000000" w:themeColor="text1" w:sz="8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000000" w:themeFill="text1" w:color="000000" w:val="clear"/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double" w:color="000000" w:themeColor="text1" w:sz="6"/>
        </w:tcBorders>
      </w:tcPr>
    </w:tblStylePr>
  </w:style>
  <w:style w:styleId="PO150" w:type="table">
    <w:name w:val="LightList-Accent3"/>
    <w:uiPriority w:val="150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A5A5A5" w:themeColor="accent3" w:sz="8"/>
        <w:left w:val="single" w:color="A5A5A5" w:themeColor="accent3" w:sz="8"/>
        <w:right w:val="single" w:color="A5A5A5" w:themeColor="accent3" w:sz="8"/>
        <w:top w:val="single" w:color="A5A5A5" w:themeColor="accent3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single" w:color="A5A5A5" w:themeColor="accent3" w:sz="8"/>
        </w:tcBorders>
      </w:tcPr>
    </w:tblStylePr>
    <w:tblStylePr w:type="band1Vert"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single" w:color="A5A5A5" w:themeColor="accent3" w:sz="8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A5A5A5" w:themeFill="accent3" w:color="000000" w:val="clear"/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double" w:color="A5A5A5" w:themeColor="accent3" w:sz="8"/>
        </w:tcBorders>
      </w:tcPr>
    </w:tblStylePr>
  </w:style>
  <w:style w:styleId="PO151" w:type="table">
    <w:name w:val="MediumList2-Accent1"/>
    <w:uiPriority w:val="151"/>
    <w:pPr>
      <w:autoSpaceDE w:val="1"/>
      <w:autoSpaceDN w:val="1"/>
      <w:widowControl/>
      <w:wordWrap/>
    </w:pPr>
    <w:rPr>
      <w:color w:val="000000" w:themeColor="text1"/>
      <w:shd w:val="clear"/>
      <w:sz w:val="22"/>
      <w:szCs w:val="22"/>
      <w:w w:val="100"/>
    </w:rPr>
    <w:tblPr>
      <w:tblBorders>
        <w:bottom w:val="single" w:color="5B9BD5" w:themeColor="accent1" w:sz="8"/>
        <w:left w:val="single" w:color="5B9BD5" w:themeColor="accent1" w:sz="8"/>
        <w:right w:val="single" w:color="5B9BD5" w:themeColor="accent1" w:sz="8"/>
        <w:top w:val="single" w:color="5B9BD5" w:themeColor="accen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E7F5" w:themeFill="accent1" w:themeFillTint="3E" w:color="000000" w:val="clear"/>
        <w:tcBorders>
          <w:bottom w:val="nil"/>
          <w:insideH w:val="nil"/>
          <w:insideV w:val="nil"/>
          <w:top w:val="nil"/>
        </w:tcBorders>
      </w:tcPr>
    </w:tblStylePr>
    <w:tblStylePr w:type="band1Vert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single" w:color="5B9BD5" w:themeColor="accent1" w:sz="8"/>
          <w:top w:val="nil"/>
        </w:tcBorders>
      </w:tcPr>
    </w:tblStylePr>
    <w:tblStylePr w:type="firstRow">
      <w:rPr>
        <w:shd w:val="clear"/>
        <w:sz w:val="24"/>
        <w:szCs w:val="24"/>
        <w:w w:val="100"/>
      </w:rPr>
      <w:tcPr>
        <w:shd w:fill="FFFFFF" w:themeFill="background1" w:color="000000" w:val="clear"/>
        <w:tcBorders>
          <w:bottom w:val="single" w:color="5B9BD5" w:themeColor="accent1" w:sz="24"/>
          <w:insideH w:val="nil"/>
          <w:insideV w:val="nil"/>
          <w:left w:val="nil"/>
          <w:right w:val="nil"/>
          <w:top w:val="nil"/>
        </w:tcBorders>
      </w:tcPr>
    </w:tblStylePr>
    <w:tblStylePr w:type="lastCol">
      <w:tcPr>
        <w:shd w:fill="FFFFFF" w:themeFill="background1" w:color="000000" w:val="clear"/>
        <w:tcBorders>
          <w:bottom w:val="nil"/>
          <w:insideH w:val="nil"/>
          <w:insideV w:val="nil"/>
          <w:left w:val="single" w:color="5B9BD5" w:themeColor="accent1" w:sz="8"/>
          <w:right w:val="nil"/>
          <w:top w:val="nil"/>
        </w:tcBorders>
      </w:tcPr>
    </w:tblStylePr>
    <w:tblStylePr w:type="lastRow"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  <w:tblStylePr w:type="nwCell">
      <w:tcPr>
        <w:shd w:fill="FFFFFF" w:themeFill="background1" w:color="000000" w:val="clear"/>
      </w:tcPr>
    </w:tblStylePr>
    <w:tblStylePr w:type="swCell"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85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