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09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营商环境建设监督局</w:t>
      </w:r>
    </w:p>
    <w:p w14:paraId="7FFC30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年政府信息公开年度报告</w:t>
      </w:r>
    </w:p>
    <w:p w14:paraId="64B6D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D1EE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按照《中华人民共和国政府信息公开条例》规定，现公开县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营商环境建设监督局202</w:t>
      </w:r>
      <w:r>
        <w:rPr>
          <w:rFonts w:hint="eastAsia" w:ascii="仿宋_GB2312" w:hAnsi="微软雅黑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政府信息公开工作年度报告。本报告由政府信息主动公开情况、依申请公开情况、政府信息管理工作情况、政府信息公开平台建设情况、政府公开信息监管情况等信息组成，本报告内容统计期限为自2025年1月1日起，至202</w:t>
      </w:r>
      <w:r>
        <w:rPr>
          <w:rFonts w:hint="eastAsia" w:ascii="仿宋_GB2312" w:hAnsi="微软雅黑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年12月31日止。本年度报告内容通过饶河县人民政府网站（http://www.raohe.gov.cn/）中查阅下载或直接与饶河县营商环境建设监督局联系（电话：0469-5621261）电子邮箱：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"mailto:rhxyshjjsjdj@163.com%EF%BC%8C"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rhxyshjjsjdj@163.com，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负责人：王伟堂。</w:t>
      </w:r>
    </w:p>
    <w:p w14:paraId="053E175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-720" w:leftChars="0" w:firstLine="1280" w:firstLineChars="4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总体情况</w:t>
      </w:r>
    </w:p>
    <w:p w14:paraId="7B4465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  <w:t>（一）政府信息主动公开情况</w:t>
      </w:r>
    </w:p>
    <w:p w14:paraId="534B3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对照市专班下发的标准化事项清单，统筹各相关单位完成全县政务服务事项全面梳理工作。目前全县共梳理出政务服务事项 6060 项，其中县本级 1610 项，且全部进驻县政务服务大厅，进驻率达 100%；全县政务服务事项网上可办率实现 100%，“零跑动” 率达 97.3%、即办率达 85.61%。组织全县各单位梳理行政审批信用承诺制适用事项，在原有 120 项的基础上扩充至 213 项，同步编制告知承诺及可容缺要件标准化文本，并通过官方网站对外公布。</w:t>
      </w:r>
    </w:p>
    <w:p w14:paraId="284B8E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  <w:t>（二）依申请公开情况</w:t>
      </w:r>
    </w:p>
    <w:p w14:paraId="0F75D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 年度，我局未收到公民、法人和其他组织提出的政府信息公开申请。</w:t>
      </w:r>
    </w:p>
    <w:p w14:paraId="523215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  <w:t>（三）政府信息管理工作情况</w:t>
      </w:r>
    </w:p>
    <w:p w14:paraId="18014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县政府门户网站的政府信息公开专栏，集中公开现行有效规章文件，为社会公众查询、使用提供便利。以政府门户网站为依托，推进网站集约化建设工作，统一政务公开、政民互动、政务服务等功能的技术标准与应用标准。持续推动政务服务事项线上化办理，实现更多事项网上办、掌上办、一次办，打造一网通查、一网通答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、一网通办的政务服务体系，进一步提升企业和群众办事便利度，持续深化 “办事不求人” 改革成效。</w:t>
      </w:r>
    </w:p>
    <w:p w14:paraId="068CD5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  <w:t>（四）政府信息公开平台建设情况</w:t>
      </w:r>
    </w:p>
    <w:p w14:paraId="01B40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聚焦基层政务服务能力提升，多举措推动政务服务平台建设向纵深发展。一是推动政务服务平台向基层延伸覆盖。动态完成县、乡、村三级 6060 项政务服务事项的认领与复用，实现事项办理同标准、无差别、同流程规范运行；全县 9 个乡镇、79 个行政村相关信息均已录入省政务服务网，建成县、乡、村三级政务服务网上站点全覆盖体系，网上可办率达 100%；同时将 54 种政务服务证明打印服务延伸至基层点位，大幅提升群众办事便捷性。二是优化升级全县政务一体化平台。顺利完成省、市、县新旧一体化政务服务平台割接工作，编制操作手册并下发至各级审批部门，保障平台无感切换、平稳运行，推动各项运行指标稳步提升；完善乡镇、村社区平台子栏目服务功能，持续推动政务服务平台向基层末梢延伸；目前全县 9 个乡镇、79 个行政村均实现政务外网全覆盖，县、乡、村三级均已在一体化政务服务平台设立账号，完成政务服务事项认领，可正常办理各类政务服务业务。三是打造基层政务服务特色模式。在全省率先开展政务直播服务，创新增设政务服务 “潮汐窗口”，梳理 317 项政务服务事项实现远程 “视频办”，服务好评率达 100%；健全基层政务服务联动代办体系，将 35 项政务服务事项下放至社区办理；精准推出退休、新生儿出生、信用修复等 33 个 “一件事一次办” 服务事项，实现多部门办理事项 “跑一次” 甚至 “零跑动”，办理时限由原多个工作日优化为 “及时办结”</w:t>
      </w:r>
    </w:p>
    <w:p w14:paraId="1A8A032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1F2329"/>
          <w:sz w:val="32"/>
          <w:szCs w:val="32"/>
        </w:rPr>
        <w:t>政府公开信息监管情况</w:t>
      </w:r>
    </w:p>
    <w:p w14:paraId="59CEB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以政务服务事项标准化建设为抓手，全面提升基层政务服务能力，持续优化企业和群众办事体验，全力推进 “一网通办、一网统管” 建设。截至目前，已生成符合国家标准的电子证照目录 113599 个，向省级平台汇聚电子证照数据 116312 余条，71 种电子证照在政务服务办理中实现 “免提交”。</w:t>
      </w:r>
    </w:p>
    <w:p w14:paraId="21D44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强化政务一体化信息系统管理，完成全县 149 个政务服务窗口、61 名窗口工作人员的位置、人员、窗口等基础信息采集与录入工作。组织开展基层政务服务能力提升专项培训，全县 90 余名基层政务服务工作人员参训；培训中，政务服务中心围绕业务规范开展系统性、全覆盖教学，同时对照《进一步提升基层政务服务能力建设实施方案》，梳理总结工作中的典型问题，对乡镇、农场、村级政务服务事项办理工作开展针对性指导，为进一步规范事项要素、提升办理准确度夯实工作基础。</w:t>
      </w:r>
    </w:p>
    <w:p w14:paraId="32DB0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二、主动公开政府信息情况</w:t>
      </w:r>
    </w:p>
    <w:p w14:paraId="059B2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 年，饶河县营商环境建设监督局严格遵照《政府信息公开条例》及上级部门工作部署要求，稳步推进政府信息主动公开工作，做到信息更新及时、内容准确、发布公正、服务便民。日常通过饶河县政府网站、官方微信平台等渠道主动公开各类政府信息，所有公开信息均严格按照《政府信息公开条例》要求，规范发布于饶河县政府门户网站对应栏目。</w:t>
      </w:r>
    </w:p>
    <w:p w14:paraId="5526C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FD8D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EF70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4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1257F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028F3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A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1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D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 w14:paraId="672A0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9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B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3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65BB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4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B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A433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5001B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3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E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453A0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3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C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64F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2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4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E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07C8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D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7053E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D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0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6728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F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A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8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8E8A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0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8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7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436F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1F9E1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A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 w14:paraId="66F5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A80F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D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 w14:paraId="79F89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1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4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 w14:paraId="4301F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F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1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7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40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7F1B3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077"/>
        <w:gridCol w:w="810"/>
        <w:gridCol w:w="1095"/>
        <w:gridCol w:w="1020"/>
        <w:gridCol w:w="855"/>
        <w:gridCol w:w="825"/>
        <w:gridCol w:w="822"/>
        <w:gridCol w:w="687"/>
      </w:tblGrid>
      <w:tr w14:paraId="0C01E8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4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61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3E9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申请人情况</w:t>
            </w:r>
          </w:p>
        </w:tc>
      </w:tr>
      <w:tr w14:paraId="47697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E2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8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4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BC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firstLine="42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99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588A08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C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32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C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2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7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E4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FB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B1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CA4B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E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B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2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15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B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77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1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E1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48EB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8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0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E9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9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1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8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B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5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9E3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D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0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E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AF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F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C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9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F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6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CF549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2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5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CC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7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C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3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C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BEF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1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467E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4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C8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D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F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A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3A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E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B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4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B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6DEA2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0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5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0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1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F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9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D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50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F2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7D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7F163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57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B7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2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0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E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13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6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C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F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AE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91EA4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1FF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92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F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47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2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D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61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D8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8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3A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08144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A1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A2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A3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E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E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F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9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B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0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D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CE6E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2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7D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F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F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77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8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B0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A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DC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A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F78F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EF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C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A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C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73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6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8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C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4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5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6F57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E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A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53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AE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2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D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E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0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C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7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F8498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BD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D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D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A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1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4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1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6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A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6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98B95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8B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F6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A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A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7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4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0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D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3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1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1418E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C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1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2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D4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B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D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4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A5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3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C1EC4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B7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57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1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3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B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F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F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C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8F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0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20B09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C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F2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8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0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3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8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D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F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CE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2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B8C7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5B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10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22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95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1B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93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E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F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3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7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2109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6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A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7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E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D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3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0A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F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4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D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D9AFF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4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C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0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F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5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E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5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69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7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5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E462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27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9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8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BA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1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7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5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E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1B2A4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3FC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10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31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1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96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6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6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C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9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B28C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A1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F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99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E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0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A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8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4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7E2FD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textAlignment w:val="auto"/>
        <w:rPr>
          <w:rFonts w:hint="eastAsia"/>
          <w:lang w:eastAsia="zh-CN"/>
        </w:rPr>
      </w:pPr>
    </w:p>
    <w:p w14:paraId="4C19A9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005226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EC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70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行政诉讼</w:t>
            </w:r>
          </w:p>
        </w:tc>
      </w:tr>
      <w:tr w14:paraId="389F47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B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5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F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20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AF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43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1E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复议后起诉</w:t>
            </w:r>
          </w:p>
        </w:tc>
      </w:tr>
      <w:tr w14:paraId="0B59FA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7CF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FB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7B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433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ACC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C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F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C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E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0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C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F2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F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A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3C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</w:tr>
      <w:tr w14:paraId="3D0FCD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F3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D3F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FD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17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9E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24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E91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DB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8C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E0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05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E6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54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D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32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0</w:t>
            </w:r>
          </w:p>
        </w:tc>
      </w:tr>
    </w:tbl>
    <w:p w14:paraId="5E87812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存在的主要问题及改进情况</w:t>
      </w:r>
    </w:p>
    <w:p w14:paraId="195018AA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存在的主要问题</w:t>
      </w:r>
    </w:p>
    <w:p w14:paraId="52E1B45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1F2329"/>
          <w:sz w:val="32"/>
          <w:szCs w:val="32"/>
        </w:rPr>
        <w:t>政务公开精细化程度有待提升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：政府信息公开内容虽能及时更新，但针对企业群众关心的民生服务、政策解读等内容，公开形式较为单一，缺乏通俗化、可视化解读，公开内容的针对性和实用性需进一步增强</w:t>
      </w:r>
    </w:p>
    <w:p w14:paraId="7CF7A41F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下一步改进措施</w:t>
      </w:r>
    </w:p>
    <w:p w14:paraId="57B9BB8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1F2329"/>
          <w:sz w:val="32"/>
          <w:szCs w:val="32"/>
        </w:rPr>
        <w:t>提升政务公开精细化水平：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企业群众关切，优化政府信息公开栏目设置，重点丰富民生服务、政策解读、办事指南等内容的公开形式，采用图文、短视频、一问一答等通俗化方式开展政策解读，让企业群众看得懂、用得上。建立政务公开需求收集机制，通过线上留言、现场征求意见等方式，及时掌握企业群众需求，针对性优化公开内容，提升政务公开的实效性和服务性。</w:t>
      </w:r>
    </w:p>
    <w:p w14:paraId="5C2A0652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其他需要报告的事项</w:t>
      </w:r>
    </w:p>
    <w:p w14:paraId="7C50A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336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2025年，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县营商环境建设监督局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无政府信息公开工作相关的其他需要报告事项，未发生信息公开相关收费及减免情况，未存在违反信息公开条例规定的情形。</w:t>
      </w:r>
    </w:p>
    <w:p w14:paraId="51C9A4C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</w:p>
    <w:p w14:paraId="36D88B3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195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322B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70DB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ACBFC3F">
      <w:pPr>
        <w:rPr>
          <w:rFonts w:hint="eastAsia"/>
        </w:rPr>
      </w:pPr>
    </w:p>
    <w:p w14:paraId="27825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C34CB"/>
    <w:multiLevelType w:val="singleLevel"/>
    <w:tmpl w:val="A47C34C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5A801E"/>
    <w:multiLevelType w:val="singleLevel"/>
    <w:tmpl w:val="ED5A801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FA0D41"/>
    <w:multiLevelType w:val="singleLevel"/>
    <w:tmpl w:val="59FA0D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53764"/>
    <w:rsid w:val="05CF5FA2"/>
    <w:rsid w:val="089A2898"/>
    <w:rsid w:val="1A3D7527"/>
    <w:rsid w:val="26375CFF"/>
    <w:rsid w:val="2B053764"/>
    <w:rsid w:val="2BD23073"/>
    <w:rsid w:val="48C520CC"/>
    <w:rsid w:val="577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84db2452-0cb9-4a31-9640-84b3721dd78a</errorID>
      <errorWord>一网通办</errorWord>
      <group>L1_Political</group>
      <groupName>政治性问题</groupName>
      <ability>L2_Keyword</ability>
      <abilityName>固定表述</abilityName>
      <candidateList>
        <item>“一网通办”</item>
      </candidateList>
      <explain>注意检查当前固定表述标点是否使用规范。</explain>
      <paraID>18014EA6</paraID>
      <start>146</start>
      <end>150</end>
      <status>unmodified</status>
      <modifiedWord/>
      <trackRevisions>false</trackRevisions>
    </reviewItem>
    <reviewItem>
      <errorID>081052fb-74cd-4dfd-bee0-3ebc4d16438c</errorID>
      <errorWord>个</errorWord>
      <group>L1_Word</group>
      <groupName>字词问题</groupName>
      <ability>L2_Typo</ability>
      <abilityName>字词错误</abilityName>
      <candidateList>
        <item>各</item>
      </candidateList>
      <explain>❶〈代〉指示代词。a）表示不止一个：世界～国｜～位来宾。b）表示不止一个并且彼此不同：～种原材料都备齐了｜～人回～人的家。❷〈副〉表示不止一人或一物同做某事或同有某种属性：双方～执一词｜左右两侧～有一门｜三种办法～有优点和缺点。❸（Gè）〈名〉姓。</explain>
      <paraID> 1B409B6</paraID>
      <start>342</start>
      <end>343</end>
      <status>unmodified</status>
      <modifiedWord/>
      <trackRevisions>false</trackRevisions>
    </reviewItem>
    <reviewItem>
      <errorID>77658fe0-06b5-4941-b42f-ccee33b3aae3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59B2AF2</paraID>
      <start>24</start>
      <end>32</end>
      <status>unmodified</status>
      <modifiedWord/>
      <trackRevisions>false</trackRevisions>
    </reviewItem>
    <reviewItem>
      <errorID>64cd812f-0034-4388-8dcd-ac808eed16f4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59B2AF2</paraID>
      <start>128</start>
      <end>136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9606c8-e0d4-493f-8d7c-8b670a6c6f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2996</Words>
  <Characters>3144</Characters>
  <Lines>0</Lines>
  <Paragraphs>0</Paragraphs>
  <TotalTime>41</TotalTime>
  <ScaleCrop>false</ScaleCrop>
  <LinksUpToDate>false</LinksUpToDate>
  <CharactersWithSpaces>3204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2026-02-09T03:00:00Z</dcterms:created>
  <dc:creator>Z
民</dc:creator>
  <cp:lastModifiedBy>黄士毓</cp:lastModifiedBy>
  <cp:lastPrinted>2026-02-09T06:39:00Z</cp:lastPrinted>
  <dcterms:modified xsi:type="dcterms:W3CDTF">2026-02-09T07:11:48Z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065919E5729C4860944C8A27CDB01ED2_13</vt:lpwstr>
  </property>
  <property fmtid="{D5CDD505-2E9C-101B-9397-08002B2CF9AE}" pid="4" name="KSOTemplateDocerSaveRecord">
    <vt:lpwstr>eyJoZGlkIjoiN2M1Y2ZiZjE5MmIyOWFjYzU4ZDY2MzQ1ZjU3MTg4YzQiLCJ1c2VySWQiOiI3MjU5NjQxMzcifQ==</vt:lpwstr>
  </property>
</Properties>
</file>