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D8AB41">
      <w:pPr>
        <w:rPr>
          <w:rFonts w:ascii="仿宋_GB2312" w:hAnsi="仿宋_GB2312" w:eastAsia="仿宋_GB2312" w:cs="仿宋_GB2312"/>
          <w:color w:val="auto"/>
          <w:sz w:val="36"/>
          <w:szCs w:val="36"/>
          <w:highlight w:val="none"/>
        </w:rPr>
      </w:pPr>
      <w:bookmarkStart w:id="0" w:name="_Hlk57883707"/>
    </w:p>
    <w:p w14:paraId="1C1C2475">
      <w:pPr>
        <w:rPr>
          <w:rFonts w:ascii="仿宋_GB2312" w:hAnsi="仿宋_GB2312" w:eastAsia="仿宋_GB2312" w:cs="仿宋_GB2312"/>
          <w:color w:val="auto"/>
          <w:sz w:val="36"/>
          <w:szCs w:val="36"/>
          <w:highlight w:val="none"/>
        </w:rPr>
      </w:pPr>
    </w:p>
    <w:p w14:paraId="0008D37B">
      <w:pPr>
        <w:pStyle w:val="5"/>
        <w:rPr>
          <w:color w:val="auto"/>
        </w:rPr>
      </w:pPr>
    </w:p>
    <w:p w14:paraId="2479ECF9">
      <w:pPr>
        <w:rPr>
          <w:rFonts w:ascii="仿宋_GB2312" w:hAnsi="仿宋_GB2312" w:eastAsia="仿宋_GB2312" w:cs="仿宋_GB2312"/>
          <w:color w:val="auto"/>
          <w:sz w:val="36"/>
          <w:szCs w:val="36"/>
          <w:highlight w:val="none"/>
        </w:rPr>
      </w:pPr>
    </w:p>
    <w:bookmarkEnd w:id="0"/>
    <w:p w14:paraId="3D2955E3">
      <w:pPr>
        <w:keepNext w:val="0"/>
        <w:keepLines w:val="0"/>
        <w:pageBreakBefore w:val="0"/>
        <w:widowControl w:val="0"/>
        <w:kinsoku/>
        <w:wordWrap/>
        <w:overflowPunct/>
        <w:topLinePunct w:val="0"/>
        <w:autoSpaceDE/>
        <w:autoSpaceDN/>
        <w:bidi w:val="0"/>
        <w:adjustRightInd w:val="0"/>
        <w:snapToGrid w:val="0"/>
        <w:jc w:val="center"/>
        <w:textAlignment w:val="auto"/>
        <w:outlineLvl w:val="9"/>
        <w:rPr>
          <w:rFonts w:hint="default" w:ascii="Times New Roman" w:hAnsi="Times New Roman" w:eastAsia="方正小标宋_GBK" w:cs="Times New Roman"/>
          <w:bCs/>
          <w:color w:val="auto"/>
          <w:sz w:val="72"/>
          <w:szCs w:val="72"/>
          <w:highlight w:val="none"/>
        </w:rPr>
      </w:pPr>
      <w:bookmarkStart w:id="1" w:name="_Toc16147"/>
      <w:r>
        <w:rPr>
          <w:rFonts w:hint="default" w:ascii="Times New Roman" w:hAnsi="Times New Roman" w:eastAsia="方正小标宋_GBK" w:cs="Times New Roman"/>
          <w:bCs/>
          <w:color w:val="auto"/>
          <w:sz w:val="72"/>
          <w:szCs w:val="72"/>
          <w:highlight w:val="none"/>
        </w:rPr>
        <w:t>建设项目环境影响报告表</w:t>
      </w:r>
      <w:bookmarkEnd w:id="1"/>
    </w:p>
    <w:p w14:paraId="35650134">
      <w:pPr>
        <w:adjustRightInd w:val="0"/>
        <w:snapToGrid w:val="0"/>
        <w:spacing w:before="192" w:beforeLines="80"/>
        <w:jc w:val="center"/>
        <w:rPr>
          <w:rFonts w:hint="default" w:ascii="Times New Roman" w:hAnsi="Times New Roman" w:eastAsia="楷体_GB2312" w:cs="Times New Roman"/>
          <w:bCs/>
          <w:color w:val="auto"/>
          <w:sz w:val="48"/>
          <w:szCs w:val="48"/>
          <w:highlight w:val="none"/>
        </w:rPr>
      </w:pPr>
      <w:r>
        <w:rPr>
          <w:rFonts w:hint="default" w:ascii="Times New Roman" w:hAnsi="Times New Roman" w:eastAsia="楷体_GB2312" w:cs="Times New Roman"/>
          <w:bCs/>
          <w:color w:val="auto"/>
          <w:sz w:val="48"/>
          <w:szCs w:val="48"/>
          <w:highlight w:val="none"/>
        </w:rPr>
        <w:t>（</w:t>
      </w:r>
      <w:r>
        <w:rPr>
          <w:rFonts w:hint="eastAsia" w:ascii="Times New Roman" w:hAnsi="Times New Roman" w:eastAsia="楷体_GB2312" w:cs="Times New Roman"/>
          <w:bCs/>
          <w:color w:val="auto"/>
          <w:sz w:val="48"/>
          <w:szCs w:val="48"/>
          <w:highlight w:val="none"/>
          <w:lang w:val="en-US" w:eastAsia="zh-CN"/>
        </w:rPr>
        <w:t>污染</w:t>
      </w:r>
      <w:r>
        <w:rPr>
          <w:rFonts w:hint="default" w:ascii="Times New Roman" w:hAnsi="Times New Roman" w:eastAsia="楷体_GB2312" w:cs="Times New Roman"/>
          <w:bCs/>
          <w:color w:val="auto"/>
          <w:sz w:val="48"/>
          <w:szCs w:val="48"/>
          <w:highlight w:val="none"/>
        </w:rPr>
        <w:t>影响类）</w:t>
      </w:r>
    </w:p>
    <w:p w14:paraId="0823B31D">
      <w:pPr>
        <w:adjustRightInd w:val="0"/>
        <w:snapToGrid w:val="0"/>
        <w:spacing w:line="288" w:lineRule="auto"/>
        <w:jc w:val="center"/>
        <w:outlineLvl w:val="9"/>
        <w:rPr>
          <w:rFonts w:hint="default" w:ascii="Times New Roman" w:hAnsi="Times New Roman" w:eastAsia="华文仿宋" w:cs="Times New Roman"/>
          <w:color w:val="auto"/>
          <w:kern w:val="44"/>
          <w:sz w:val="44"/>
          <w:szCs w:val="44"/>
          <w:highlight w:val="none"/>
        </w:rPr>
      </w:pPr>
      <w:bookmarkStart w:id="2" w:name="_Hlk57883728"/>
    </w:p>
    <w:p w14:paraId="19FC7BCB">
      <w:pPr>
        <w:jc w:val="center"/>
        <w:rPr>
          <w:rFonts w:hint="default" w:ascii="Times New Roman" w:hAnsi="Times New Roman" w:eastAsia="仿宋" w:cs="Times New Roman"/>
          <w:color w:val="auto"/>
          <w:sz w:val="52"/>
          <w:szCs w:val="52"/>
          <w:highlight w:val="none"/>
        </w:rPr>
      </w:pPr>
    </w:p>
    <w:p w14:paraId="68D9CD2C">
      <w:pPr>
        <w:keepNext w:val="0"/>
        <w:keepLines w:val="0"/>
        <w:pageBreakBefore w:val="0"/>
        <w:widowControl w:val="0"/>
        <w:kinsoku/>
        <w:wordWrap/>
        <w:overflowPunct/>
        <w:topLinePunct w:val="0"/>
        <w:autoSpaceDE/>
        <w:autoSpaceDN/>
        <w:bidi w:val="0"/>
        <w:ind w:firstLine="880" w:firstLineChars="200"/>
        <w:textAlignment w:val="auto"/>
        <w:rPr>
          <w:rFonts w:hint="default" w:ascii="Times New Roman" w:hAnsi="Times New Roman" w:eastAsia="仿宋" w:cs="Times New Roman"/>
          <w:color w:val="auto"/>
          <w:sz w:val="44"/>
          <w:szCs w:val="44"/>
          <w:highlight w:val="none"/>
        </w:rPr>
      </w:pPr>
    </w:p>
    <w:p w14:paraId="066F3A45">
      <w:pPr>
        <w:keepNext w:val="0"/>
        <w:keepLines w:val="0"/>
        <w:pageBreakBefore w:val="0"/>
        <w:widowControl w:val="0"/>
        <w:kinsoku/>
        <w:wordWrap/>
        <w:overflowPunct/>
        <w:topLinePunct w:val="0"/>
        <w:autoSpaceDE/>
        <w:autoSpaceDN/>
        <w:bidi w:val="0"/>
        <w:ind w:firstLine="880" w:firstLineChars="200"/>
        <w:textAlignment w:val="auto"/>
        <w:rPr>
          <w:rFonts w:hint="default" w:ascii="Times New Roman" w:hAnsi="Times New Roman" w:eastAsia="仿宋" w:cs="Times New Roman"/>
          <w:color w:val="auto"/>
          <w:sz w:val="44"/>
          <w:szCs w:val="44"/>
          <w:highlight w:val="none"/>
        </w:rPr>
      </w:pPr>
    </w:p>
    <w:p w14:paraId="72BFDF3B">
      <w:pPr>
        <w:keepNext w:val="0"/>
        <w:keepLines w:val="0"/>
        <w:pageBreakBefore w:val="0"/>
        <w:widowControl w:val="0"/>
        <w:kinsoku/>
        <w:wordWrap/>
        <w:overflowPunct/>
        <w:topLinePunct w:val="0"/>
        <w:autoSpaceDE/>
        <w:autoSpaceDN/>
        <w:bidi w:val="0"/>
        <w:ind w:firstLine="880" w:firstLineChars="200"/>
        <w:textAlignment w:val="auto"/>
        <w:rPr>
          <w:rFonts w:hint="default" w:ascii="Times New Roman" w:hAnsi="Times New Roman" w:eastAsia="仿宋" w:cs="Times New Roman"/>
          <w:color w:val="auto"/>
          <w:sz w:val="44"/>
          <w:szCs w:val="44"/>
          <w:highlight w:val="none"/>
        </w:rPr>
      </w:pPr>
    </w:p>
    <w:bookmarkEnd w:id="2"/>
    <w:tbl>
      <w:tblPr>
        <w:tblStyle w:val="21"/>
        <w:tblW w:w="43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0"/>
      </w:tblGrid>
      <w:tr w14:paraId="47BC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951" w:type="dxa"/>
            <w:tcBorders>
              <w:top w:val="nil"/>
              <w:left w:val="nil"/>
              <w:bottom w:val="nil"/>
              <w:right w:val="nil"/>
            </w:tcBorders>
            <w:vAlign w:val="top"/>
          </w:tcPr>
          <w:p w14:paraId="13C7DAEA">
            <w:pPr>
              <w:keepNext w:val="0"/>
              <w:keepLines w:val="0"/>
              <w:pageBreakBefore w:val="0"/>
              <w:widowControl w:val="0"/>
              <w:kinsoku/>
              <w:wordWrap/>
              <w:overflowPunct/>
              <w:topLinePunct w:val="0"/>
              <w:autoSpaceDE/>
              <w:autoSpaceDN/>
              <w:bidi w:val="0"/>
              <w:adjustRightInd w:val="0"/>
              <w:snapToGrid w:val="0"/>
              <w:spacing w:line="288" w:lineRule="auto"/>
              <w:ind w:left="1800" w:hanging="1800" w:hangingChars="500"/>
              <w:jc w:val="both"/>
              <w:textAlignment w:val="auto"/>
              <w:rPr>
                <w:rFonts w:hint="default" w:ascii="Times New Roman" w:hAnsi="Times New Roman" w:eastAsia="仿宋" w:cs="Times New Roman"/>
                <w:color w:val="auto"/>
                <w:w w:val="100"/>
                <w:sz w:val="36"/>
                <w:szCs w:val="36"/>
                <w:highlight w:val="none"/>
                <w:u w:val="single"/>
                <w:vertAlign w:val="baseline"/>
                <w:lang w:val="en-US" w:eastAsia="zh-CN"/>
              </w:rPr>
            </w:pPr>
            <w:r>
              <w:rPr>
                <w:rFonts w:hint="default" w:ascii="Times New Roman" w:hAnsi="Times New Roman" w:eastAsia="仿宋" w:cs="Times New Roman"/>
                <w:color w:val="auto"/>
                <w:sz w:val="36"/>
                <w:szCs w:val="36"/>
                <w:highlight w:val="none"/>
              </w:rPr>
              <w:t>项目名称</w:t>
            </w:r>
            <w:r>
              <w:rPr>
                <w:rFonts w:hint="default" w:ascii="Times New Roman" w:hAnsi="Times New Roman" w:eastAsia="仿宋" w:cs="Times New Roman"/>
                <w:color w:val="auto"/>
                <w:sz w:val="36"/>
                <w:szCs w:val="36"/>
                <w:highlight w:val="none"/>
                <w:lang w:eastAsia="zh-CN"/>
              </w:rPr>
              <w:t>：</w:t>
            </w:r>
            <w:r>
              <w:rPr>
                <w:rFonts w:hint="eastAsia" w:ascii="Times New Roman" w:hAnsi="Times New Roman" w:eastAsia="仿宋" w:cs="Times New Roman"/>
                <w:color w:val="auto"/>
                <w:sz w:val="36"/>
                <w:szCs w:val="36"/>
                <w:highlight w:val="none"/>
                <w:u w:val="single"/>
                <w:lang w:val="en-US" w:eastAsia="zh-CN"/>
              </w:rPr>
              <w:t xml:space="preserve"> 饶河县农村综合改革试点试验（二期）项目</w:t>
            </w:r>
            <w:r>
              <w:rPr>
                <w:rFonts w:hint="eastAsia" w:eastAsia="仿宋" w:cs="Times New Roman"/>
                <w:color w:val="auto"/>
                <w:sz w:val="36"/>
                <w:szCs w:val="36"/>
                <w:highlight w:val="none"/>
                <w:u w:val="single"/>
                <w:lang w:val="en-US" w:eastAsia="zh-CN"/>
              </w:rPr>
              <w:t>-</w:t>
            </w:r>
            <w:r>
              <w:rPr>
                <w:rFonts w:hint="eastAsia" w:ascii="Times New Roman" w:hAnsi="Times New Roman" w:eastAsia="仿宋" w:cs="Times New Roman"/>
                <w:color w:val="auto"/>
                <w:sz w:val="36"/>
                <w:szCs w:val="36"/>
                <w:highlight w:val="none"/>
                <w:u w:val="single"/>
                <w:lang w:val="en-US" w:eastAsia="zh-CN"/>
              </w:rPr>
              <w:t>四排村供热保障提升项目</w:t>
            </w:r>
            <w:r>
              <w:rPr>
                <w:rFonts w:hint="eastAsia" w:ascii="Times New Roman" w:hAnsi="Times New Roman" w:eastAsia="仿宋" w:cs="Times New Roman"/>
                <w:color w:val="auto"/>
                <w:w w:val="100"/>
                <w:sz w:val="36"/>
                <w:szCs w:val="36"/>
                <w:highlight w:val="none"/>
                <w:u w:val="single"/>
                <w:lang w:val="en-US" w:eastAsia="zh-CN"/>
              </w:rPr>
              <w:t xml:space="preserve">     </w:t>
            </w:r>
          </w:p>
        </w:tc>
      </w:tr>
      <w:tr w14:paraId="4FDFF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1" w:type="dxa"/>
            <w:tcBorders>
              <w:top w:val="nil"/>
              <w:left w:val="nil"/>
              <w:bottom w:val="nil"/>
              <w:right w:val="nil"/>
            </w:tcBorders>
            <w:vAlign w:val="top"/>
          </w:tcPr>
          <w:p w14:paraId="0B03E7BE">
            <w:pPr>
              <w:keepNext w:val="0"/>
              <w:keepLines w:val="0"/>
              <w:pageBreakBefore w:val="0"/>
              <w:widowControl w:val="0"/>
              <w:kinsoku/>
              <w:wordWrap/>
              <w:overflowPunct/>
              <w:topLinePunct w:val="0"/>
              <w:autoSpaceDE/>
              <w:autoSpaceDN/>
              <w:bidi w:val="0"/>
              <w:adjustRightInd w:val="0"/>
              <w:snapToGrid w:val="0"/>
              <w:spacing w:line="288" w:lineRule="auto"/>
              <w:ind w:left="3240" w:hanging="3240" w:hangingChars="900"/>
              <w:jc w:val="left"/>
              <w:textAlignment w:val="auto"/>
              <w:rPr>
                <w:rFonts w:hint="default" w:ascii="Times New Roman" w:hAnsi="Times New Roman" w:eastAsia="仿宋" w:cs="Times New Roman"/>
                <w:color w:val="auto"/>
                <w:w w:val="100"/>
                <w:sz w:val="36"/>
                <w:szCs w:val="36"/>
                <w:highlight w:val="none"/>
                <w:u w:val="single"/>
                <w:vertAlign w:val="baseline"/>
                <w:lang w:val="en-US" w:eastAsia="zh-CN"/>
              </w:rPr>
            </w:pPr>
            <w:r>
              <w:rPr>
                <w:rFonts w:hint="default" w:ascii="Times New Roman" w:hAnsi="Times New Roman" w:eastAsia="仿宋" w:cs="Times New Roman"/>
                <w:color w:val="auto"/>
                <w:sz w:val="36"/>
                <w:szCs w:val="36"/>
                <w:highlight w:val="none"/>
              </w:rPr>
              <w:t>建设单位（盖章）：</w:t>
            </w:r>
            <w:r>
              <w:rPr>
                <w:rFonts w:hint="eastAsia" w:eastAsia="仿宋" w:cs="Times New Roman"/>
                <w:color w:val="auto"/>
                <w:sz w:val="36"/>
                <w:szCs w:val="36"/>
                <w:highlight w:val="none"/>
                <w:u w:val="single"/>
                <w:lang w:val="en-US" w:eastAsia="zh-CN"/>
              </w:rPr>
              <w:t xml:space="preserve">   </w:t>
            </w:r>
            <w:r>
              <w:rPr>
                <w:rFonts w:hint="eastAsia" w:eastAsia="仿宋" w:cs="Times New Roman"/>
                <w:color w:val="auto"/>
                <w:w w:val="100"/>
                <w:sz w:val="36"/>
                <w:szCs w:val="36"/>
                <w:highlight w:val="none"/>
                <w:u w:val="single"/>
                <w:lang w:val="en-US" w:eastAsia="zh-CN"/>
              </w:rPr>
              <w:t xml:space="preserve">饶河县农业农村局                 </w:t>
            </w:r>
          </w:p>
        </w:tc>
      </w:tr>
      <w:tr w14:paraId="0BFF4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1" w:type="dxa"/>
            <w:tcBorders>
              <w:top w:val="nil"/>
              <w:left w:val="nil"/>
              <w:bottom w:val="nil"/>
              <w:right w:val="nil"/>
            </w:tcBorders>
            <w:vAlign w:val="top"/>
          </w:tcPr>
          <w:p w14:paraId="4B07D538">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default" w:ascii="Times New Roman" w:hAnsi="Times New Roman" w:eastAsia="仿宋" w:cs="Times New Roman"/>
                <w:color w:val="auto"/>
                <w:w w:val="100"/>
                <w:sz w:val="36"/>
                <w:szCs w:val="36"/>
                <w:highlight w:val="none"/>
                <w:u w:val="single"/>
                <w:vertAlign w:val="baseline"/>
                <w:lang w:val="en-US" w:eastAsia="zh-CN"/>
              </w:rPr>
            </w:pPr>
            <w:r>
              <w:rPr>
                <w:rFonts w:hint="default" w:ascii="Times New Roman" w:hAnsi="Times New Roman" w:eastAsia="仿宋" w:cs="Times New Roman"/>
                <w:color w:val="auto"/>
                <w:sz w:val="36"/>
                <w:szCs w:val="36"/>
                <w:highlight w:val="none"/>
              </w:rPr>
              <w:t>编制日期：</w:t>
            </w:r>
            <w:r>
              <w:rPr>
                <w:rFonts w:hint="default" w:ascii="Times New Roman" w:hAnsi="Times New Roman" w:eastAsia="仿宋" w:cs="Times New Roman"/>
                <w:color w:val="auto"/>
                <w:sz w:val="36"/>
                <w:szCs w:val="36"/>
                <w:highlight w:val="none"/>
                <w:u w:val="single"/>
              </w:rPr>
              <w:t xml:space="preserve">    </w:t>
            </w:r>
            <w:r>
              <w:rPr>
                <w:rFonts w:hint="default" w:ascii="Times New Roman" w:hAnsi="Times New Roman" w:eastAsia="仿宋" w:cs="Times New Roman"/>
                <w:color w:val="auto"/>
                <w:sz w:val="36"/>
                <w:szCs w:val="36"/>
                <w:highlight w:val="none"/>
                <w:u w:val="single"/>
                <w:lang w:val="en-US" w:eastAsia="zh-CN"/>
              </w:rPr>
              <w:t xml:space="preserve">     </w:t>
            </w:r>
            <w:r>
              <w:rPr>
                <w:rFonts w:hint="eastAsia" w:eastAsia="仿宋" w:cs="Times New Roman"/>
                <w:color w:val="auto"/>
                <w:sz w:val="36"/>
                <w:szCs w:val="36"/>
                <w:highlight w:val="none"/>
                <w:u w:val="single"/>
                <w:lang w:val="en-US" w:eastAsia="zh-CN"/>
              </w:rPr>
              <w:t xml:space="preserve">  </w:t>
            </w:r>
            <w:r>
              <w:rPr>
                <w:rFonts w:hint="default" w:ascii="Times New Roman" w:hAnsi="Times New Roman" w:eastAsia="仿宋" w:cs="Times New Roman"/>
                <w:color w:val="auto"/>
                <w:sz w:val="36"/>
                <w:szCs w:val="36"/>
                <w:highlight w:val="none"/>
                <w:u w:val="single"/>
                <w:lang w:val="en-US" w:eastAsia="zh-CN"/>
              </w:rPr>
              <w:t xml:space="preserve"> 20</w:t>
            </w:r>
            <w:r>
              <w:rPr>
                <w:rFonts w:hint="eastAsia" w:eastAsia="仿宋" w:cs="Times New Roman"/>
                <w:color w:val="auto"/>
                <w:sz w:val="36"/>
                <w:szCs w:val="36"/>
                <w:highlight w:val="none"/>
                <w:u w:val="single"/>
                <w:lang w:val="en-US" w:eastAsia="zh-CN"/>
              </w:rPr>
              <w:t>26</w:t>
            </w:r>
            <w:r>
              <w:rPr>
                <w:rFonts w:hint="default" w:ascii="Times New Roman" w:hAnsi="Times New Roman" w:eastAsia="仿宋" w:cs="Times New Roman"/>
                <w:color w:val="auto"/>
                <w:sz w:val="36"/>
                <w:szCs w:val="36"/>
                <w:highlight w:val="none"/>
                <w:u w:val="single"/>
                <w:lang w:val="en-US" w:eastAsia="zh-CN"/>
              </w:rPr>
              <w:t>年</w:t>
            </w:r>
            <w:r>
              <w:rPr>
                <w:rFonts w:hint="eastAsia" w:eastAsia="仿宋" w:cs="Times New Roman"/>
                <w:color w:val="auto"/>
                <w:sz w:val="36"/>
                <w:szCs w:val="36"/>
                <w:highlight w:val="none"/>
                <w:u w:val="single"/>
                <w:lang w:val="en-US" w:eastAsia="zh-CN"/>
              </w:rPr>
              <w:t>9</w:t>
            </w:r>
            <w:r>
              <w:rPr>
                <w:rFonts w:hint="default" w:ascii="Times New Roman" w:hAnsi="Times New Roman" w:eastAsia="仿宋" w:cs="Times New Roman"/>
                <w:color w:val="auto"/>
                <w:sz w:val="36"/>
                <w:szCs w:val="36"/>
                <w:highlight w:val="none"/>
                <w:u w:val="single"/>
                <w:lang w:val="en-US" w:eastAsia="zh-CN"/>
              </w:rPr>
              <w:t>月</w:t>
            </w:r>
            <w:r>
              <w:rPr>
                <w:rFonts w:hint="default" w:ascii="Times New Roman" w:hAnsi="Times New Roman" w:eastAsia="仿宋" w:cs="Times New Roman"/>
                <w:color w:val="auto"/>
                <w:sz w:val="36"/>
                <w:szCs w:val="36"/>
                <w:highlight w:val="none"/>
                <w:u w:val="single"/>
              </w:rPr>
              <w:t xml:space="preserve">     </w:t>
            </w:r>
            <w:r>
              <w:rPr>
                <w:rFonts w:hint="eastAsia" w:eastAsia="仿宋" w:cs="Times New Roman"/>
                <w:color w:val="auto"/>
                <w:sz w:val="36"/>
                <w:szCs w:val="36"/>
                <w:highlight w:val="none"/>
                <w:u w:val="single"/>
                <w:lang w:val="en-US" w:eastAsia="zh-CN"/>
              </w:rPr>
              <w:t xml:space="preserve">   </w:t>
            </w:r>
            <w:r>
              <w:rPr>
                <w:rFonts w:hint="default" w:ascii="Times New Roman" w:hAnsi="Times New Roman" w:eastAsia="仿宋" w:cs="Times New Roman"/>
                <w:color w:val="auto"/>
                <w:sz w:val="36"/>
                <w:szCs w:val="36"/>
                <w:highlight w:val="none"/>
                <w:u w:val="single"/>
              </w:rPr>
              <w:t xml:space="preserve">  </w:t>
            </w:r>
            <w:r>
              <w:rPr>
                <w:rFonts w:hint="default" w:ascii="Times New Roman" w:hAnsi="Times New Roman" w:eastAsia="仿宋" w:cs="Times New Roman"/>
                <w:color w:val="auto"/>
                <w:sz w:val="36"/>
                <w:szCs w:val="36"/>
                <w:highlight w:val="none"/>
                <w:u w:val="single"/>
                <w:lang w:val="en-US" w:eastAsia="zh-CN"/>
              </w:rPr>
              <w:t xml:space="preserve">  </w:t>
            </w:r>
          </w:p>
        </w:tc>
      </w:tr>
    </w:tbl>
    <w:p w14:paraId="3629447C">
      <w:pPr>
        <w:keepNext w:val="0"/>
        <w:keepLines w:val="0"/>
        <w:pageBreakBefore w:val="0"/>
        <w:widowControl w:val="0"/>
        <w:kinsoku/>
        <w:wordWrap/>
        <w:overflowPunct/>
        <w:topLinePunct w:val="0"/>
        <w:autoSpaceDE/>
        <w:autoSpaceDN/>
        <w:bidi w:val="0"/>
        <w:adjustRightInd w:val="0"/>
        <w:snapToGrid w:val="0"/>
        <w:spacing w:line="288" w:lineRule="auto"/>
        <w:ind w:left="2158" w:leftChars="342" w:hanging="1440" w:hangingChars="400"/>
        <w:textAlignment w:val="auto"/>
        <w:rPr>
          <w:rFonts w:hint="default" w:eastAsia="仿宋_GB2312" w:cs="Times New Roman"/>
          <w:color w:val="auto"/>
          <w:w w:val="100"/>
          <w:sz w:val="36"/>
          <w:szCs w:val="36"/>
          <w:highlight w:val="none"/>
          <w:u w:val="single"/>
          <w:lang w:val="en-US" w:eastAsia="zh-CN"/>
        </w:rPr>
      </w:pPr>
    </w:p>
    <w:p w14:paraId="28C798DE">
      <w:pPr>
        <w:keepNext w:val="0"/>
        <w:keepLines w:val="0"/>
        <w:pageBreakBefore w:val="0"/>
        <w:widowControl w:val="0"/>
        <w:kinsoku/>
        <w:wordWrap/>
        <w:overflowPunct/>
        <w:topLinePunct w:val="0"/>
        <w:autoSpaceDE/>
        <w:autoSpaceDN/>
        <w:bidi w:val="0"/>
        <w:adjustRightInd w:val="0"/>
        <w:snapToGrid w:val="0"/>
        <w:spacing w:line="288" w:lineRule="auto"/>
        <w:ind w:firstLine="720" w:firstLineChars="200"/>
        <w:textAlignment w:val="auto"/>
        <w:rPr>
          <w:rFonts w:ascii="仿宋_GB2312" w:eastAsia="仿宋_GB2312"/>
          <w:color w:val="auto"/>
          <w:sz w:val="36"/>
          <w:szCs w:val="36"/>
          <w:highlight w:val="none"/>
        </w:rPr>
      </w:pPr>
    </w:p>
    <w:p w14:paraId="6CEFF268">
      <w:pPr>
        <w:keepNext w:val="0"/>
        <w:keepLines w:val="0"/>
        <w:pageBreakBefore w:val="0"/>
        <w:widowControl w:val="0"/>
        <w:kinsoku/>
        <w:wordWrap/>
        <w:overflowPunct/>
        <w:topLinePunct w:val="0"/>
        <w:autoSpaceDE/>
        <w:autoSpaceDN/>
        <w:bidi w:val="0"/>
        <w:adjustRightInd w:val="0"/>
        <w:snapToGrid w:val="0"/>
        <w:spacing w:line="288" w:lineRule="auto"/>
        <w:ind w:firstLine="720" w:firstLineChars="200"/>
        <w:textAlignment w:val="auto"/>
        <w:rPr>
          <w:rFonts w:hint="eastAsia" w:ascii="仿宋_GB2312" w:eastAsia="仿宋_GB2312"/>
          <w:color w:val="auto"/>
          <w:sz w:val="36"/>
          <w:szCs w:val="36"/>
          <w:highlight w:val="none"/>
        </w:rPr>
      </w:pPr>
    </w:p>
    <w:p w14:paraId="28777100">
      <w:pPr>
        <w:rPr>
          <w:rFonts w:hint="eastAsia"/>
          <w:color w:val="auto"/>
        </w:rPr>
      </w:pPr>
    </w:p>
    <w:p w14:paraId="48AD9356">
      <w:pPr>
        <w:keepNext w:val="0"/>
        <w:keepLines w:val="0"/>
        <w:pageBreakBefore w:val="0"/>
        <w:widowControl w:val="0"/>
        <w:kinsoku/>
        <w:wordWrap/>
        <w:overflowPunct/>
        <w:topLinePunct w:val="0"/>
        <w:autoSpaceDE/>
        <w:autoSpaceDN/>
        <w:bidi w:val="0"/>
        <w:adjustRightInd w:val="0"/>
        <w:snapToGrid w:val="0"/>
        <w:spacing w:line="288" w:lineRule="auto"/>
        <w:ind w:firstLine="720" w:firstLineChars="200"/>
        <w:textAlignment w:val="auto"/>
        <w:rPr>
          <w:rFonts w:hint="eastAsia" w:ascii="仿宋_GB2312" w:eastAsia="仿宋_GB2312"/>
          <w:color w:val="auto"/>
          <w:sz w:val="36"/>
          <w:szCs w:val="36"/>
          <w:highlight w:val="none"/>
        </w:rPr>
      </w:pPr>
    </w:p>
    <w:p w14:paraId="61216EA9">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outlineLvl w:val="9"/>
        <w:rPr>
          <w:rFonts w:ascii="楷体_GB2312" w:eastAsia="楷体_GB2312"/>
          <w:color w:val="auto"/>
          <w:sz w:val="36"/>
          <w:szCs w:val="36"/>
          <w:highlight w:val="none"/>
        </w:rPr>
      </w:pPr>
      <w:bookmarkStart w:id="3" w:name="_Toc19446"/>
      <w:r>
        <w:rPr>
          <w:rFonts w:hint="eastAsia" w:ascii="楷体_GB2312" w:eastAsia="楷体_GB2312"/>
          <w:color w:val="auto"/>
          <w:sz w:val="36"/>
          <w:szCs w:val="36"/>
          <w:highlight w:val="none"/>
        </w:rPr>
        <w:t>中华人民共和国生态环境部制</w:t>
      </w:r>
      <w:bookmarkEnd w:id="3"/>
    </w:p>
    <w:p w14:paraId="18A69723">
      <w:pPr>
        <w:rPr>
          <w:color w:val="FF0000"/>
        </w:rPr>
      </w:pPr>
    </w:p>
    <w:p w14:paraId="2D6CECC4">
      <w:pPr>
        <w:rPr>
          <w:color w:val="FF0000"/>
        </w:rPr>
      </w:pPr>
    </w:p>
    <w:p w14:paraId="5CE47AEF">
      <w:pPr>
        <w:tabs>
          <w:tab w:val="left" w:pos="7081"/>
        </w:tabs>
        <w:bidi w:val="0"/>
        <w:jc w:val="center"/>
        <w:rPr>
          <w:rFonts w:hint="default" w:ascii="Times New Roman" w:hAnsi="Times New Roman" w:cs="Times New Roman"/>
          <w:b/>
          <w:bCs/>
          <w:color w:val="FF0000"/>
          <w:sz w:val="48"/>
          <w:szCs w:val="48"/>
          <w:highlight w:val="none"/>
          <w:lang w:val="en-US" w:eastAsia="zh-CN"/>
        </w:rPr>
        <w:sectPr>
          <w:headerReference r:id="rId3" w:type="default"/>
          <w:footerReference r:id="rId4" w:type="default"/>
          <w:pgSz w:w="11906" w:h="16838"/>
          <w:pgMar w:top="1587" w:right="1440" w:bottom="1587" w:left="1440" w:header="851" w:footer="1077" w:gutter="0"/>
          <w:pgBorders>
            <w:top w:val="none" w:sz="0" w:space="0"/>
            <w:left w:val="none" w:sz="0" w:space="0"/>
            <w:bottom w:val="none" w:sz="0" w:space="0"/>
            <w:right w:val="none" w:sz="0" w:space="0"/>
          </w:pgBorders>
          <w:pgNumType w:fmt="decimal" w:start="3"/>
          <w:cols w:space="720" w:num="1"/>
          <w:docGrid w:linePitch="312" w:charSpace="0"/>
        </w:sectPr>
      </w:pPr>
    </w:p>
    <w:p w14:paraId="4CB4D979">
      <w:pPr>
        <w:tabs>
          <w:tab w:val="left" w:pos="7081"/>
        </w:tabs>
        <w:bidi w:val="0"/>
        <w:jc w:val="both"/>
        <w:rPr>
          <w:rFonts w:hint="default" w:ascii="Times New Roman" w:hAnsi="Times New Roman" w:cs="Times New Roman"/>
          <w:b/>
          <w:bCs/>
          <w:color w:val="FF0000"/>
          <w:sz w:val="48"/>
          <w:szCs w:val="48"/>
          <w:highlight w:val="none"/>
          <w:lang w:val="en-US" w:eastAsia="zh-CN"/>
        </w:rPr>
        <w:sectPr>
          <w:pgSz w:w="11906" w:h="16838"/>
          <w:pgMar w:top="1587" w:right="1440" w:bottom="1587" w:left="1440" w:header="851" w:footer="1077" w:gutter="0"/>
          <w:pgBorders>
            <w:top w:val="none" w:sz="0" w:space="0"/>
            <w:left w:val="none" w:sz="0" w:space="0"/>
            <w:bottom w:val="none" w:sz="0" w:space="0"/>
            <w:right w:val="none" w:sz="0" w:space="0"/>
          </w:pgBorders>
          <w:pgNumType w:fmt="decimal" w:start="3"/>
          <w:cols w:space="720" w:num="1"/>
          <w:docGrid w:linePitch="312" w:charSpace="0"/>
        </w:sectPr>
      </w:pPr>
      <w:r>
        <w:rPr>
          <w:rFonts w:hint="default" w:ascii="Times New Roman" w:hAnsi="Times New Roman" w:cs="Times New Roman"/>
          <w:b/>
          <w:bCs/>
          <w:color w:val="FF0000"/>
          <w:sz w:val="48"/>
          <w:szCs w:val="48"/>
          <w:highlight w:val="none"/>
          <w:lang w:val="en-US" w:eastAsia="zh-CN"/>
        </w:rPr>
        <w:drawing>
          <wp:inline distT="0" distB="0" distL="114300" distR="114300">
            <wp:extent cx="5888355" cy="8333105"/>
            <wp:effectExtent l="0" t="0" r="4445" b="10795"/>
            <wp:docPr id="5" name="图片 5" descr="饶河县农村综合改革试点试验（二期）项目-四排村供热保障提升项目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饶河县农村综合改革试点试验（二期）项目-四排村供热保障提升项目_01"/>
                    <pic:cNvPicPr>
                      <a:picLocks noChangeAspect="1"/>
                    </pic:cNvPicPr>
                  </pic:nvPicPr>
                  <pic:blipFill>
                    <a:blip r:embed="rId9"/>
                    <a:stretch>
                      <a:fillRect/>
                    </a:stretch>
                  </pic:blipFill>
                  <pic:spPr>
                    <a:xfrm>
                      <a:off x="0" y="0"/>
                      <a:ext cx="5888355" cy="8333105"/>
                    </a:xfrm>
                    <a:prstGeom prst="rect">
                      <a:avLst/>
                    </a:prstGeom>
                  </pic:spPr>
                </pic:pic>
              </a:graphicData>
            </a:graphic>
          </wp:inline>
        </w:drawing>
      </w:r>
    </w:p>
    <w:sdt>
      <w:sdtPr>
        <w:rPr>
          <w:rFonts w:hint="default" w:ascii="Times New Roman" w:hAnsi="Times New Roman" w:eastAsia="黑体" w:cs="Times New Roman"/>
          <w:b/>
          <w:bCs/>
          <w:color w:val="FF0000"/>
          <w:sz w:val="28"/>
          <w:szCs w:val="28"/>
          <w:highlight w:val="none"/>
          <w:lang w:val="en-US" w:eastAsia="zh-CN"/>
        </w:rPr>
        <w:id w:val="147480216"/>
        <w15:color w:val="DBDBDB"/>
        <w:docPartObj>
          <w:docPartGallery w:val="Table of Contents"/>
          <w:docPartUnique/>
        </w:docPartObj>
      </w:sdtPr>
      <w:sdtEndPr>
        <w:rPr>
          <w:rFonts w:hint="default" w:ascii="Times New Roman" w:hAnsi="Times New Roman" w:eastAsia="宋体" w:cs="Times New Roman"/>
          <w:b/>
          <w:bCs/>
          <w:color w:val="FF0000"/>
          <w:sz w:val="24"/>
          <w:szCs w:val="24"/>
          <w:highlight w:val="none"/>
          <w:lang w:val="en-US" w:eastAsia="zh-CN"/>
        </w:rPr>
      </w:sdtEndPr>
      <w:sdtContent>
        <w:p w14:paraId="20B8003A">
          <w:pPr>
            <w:pStyle w:val="15"/>
            <w:tabs>
              <w:tab w:val="right" w:leader="dot" w:pos="8844"/>
            </w:tabs>
            <w:spacing w:line="360" w:lineRule="auto"/>
            <w:jc w:val="center"/>
            <w:rPr>
              <w:rFonts w:hint="default" w:ascii="Times New Roman" w:hAnsi="Times New Roman" w:eastAsia="黑体" w:cs="Times New Roman"/>
              <w:color w:val="000000" w:themeColor="text1"/>
              <w:kern w:val="2"/>
              <w:sz w:val="24"/>
              <w:szCs w:val="24"/>
              <w:highlight w:val="yellow"/>
              <w:lang w:val="en-US" w:eastAsia="zh-CN" w:bidi="ar-SA"/>
              <w14:textFill>
                <w14:solidFill>
                  <w14:schemeClr w14:val="tx1"/>
                </w14:solidFill>
              </w14:textFill>
            </w:rPr>
          </w:pPr>
          <w:r>
            <w:rPr>
              <w:rFonts w:hint="default" w:ascii="Times New Roman" w:hAnsi="Times New Roman" w:eastAsia="黑体" w:cs="Times New Roman"/>
              <w:b/>
              <w:bCs/>
              <w:color w:val="000000" w:themeColor="text1"/>
              <w:sz w:val="28"/>
              <w:szCs w:val="28"/>
              <w:highlight w:val="none"/>
              <w:lang w:eastAsia="zh-CN"/>
              <w14:textFill>
                <w14:solidFill>
                  <w14:schemeClr w14:val="tx1"/>
                </w14:solidFill>
              </w14:textFill>
            </w:rPr>
            <w:t>目</w:t>
          </w:r>
          <w:r>
            <w:rPr>
              <w:rFonts w:hint="default" w:ascii="Times New Roman" w:hAnsi="Times New Roman" w:eastAsia="黑体" w:cs="Times New Roman"/>
              <w:b/>
              <w:bCs/>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b/>
              <w:bCs/>
              <w:color w:val="000000" w:themeColor="text1"/>
              <w:sz w:val="28"/>
              <w:szCs w:val="28"/>
              <w:highlight w:val="none"/>
              <w:lang w:eastAsia="zh-CN"/>
              <w14:textFill>
                <w14:solidFill>
                  <w14:schemeClr w14:val="tx1"/>
                </w14:solidFill>
              </w14:textFill>
            </w:rPr>
            <w:t>录</w:t>
          </w:r>
          <w:r>
            <w:rPr>
              <w:rFonts w:hint="default" w:ascii="Times New Roman" w:hAnsi="Times New Roman" w:eastAsia="黑体" w:cs="Times New Roman"/>
              <w:color w:val="000000" w:themeColor="text1"/>
              <w:sz w:val="24"/>
              <w:szCs w:val="24"/>
              <w:highlight w:val="yellow"/>
              <w:lang w:eastAsia="zh-CN"/>
              <w14:textFill>
                <w14:solidFill>
                  <w14:schemeClr w14:val="tx1"/>
                </w14:solidFill>
              </w14:textFill>
            </w:rPr>
            <w:fldChar w:fldCharType="begin"/>
          </w:r>
          <w:r>
            <w:rPr>
              <w:rFonts w:hint="default" w:ascii="Times New Roman" w:hAnsi="Times New Roman" w:eastAsia="黑体" w:cs="Times New Roman"/>
              <w:color w:val="000000" w:themeColor="text1"/>
              <w:sz w:val="24"/>
              <w:szCs w:val="24"/>
              <w:highlight w:val="yellow"/>
              <w:lang w:eastAsia="zh-CN"/>
              <w14:textFill>
                <w14:solidFill>
                  <w14:schemeClr w14:val="tx1"/>
                </w14:solidFill>
              </w14:textFill>
            </w:rPr>
            <w:instrText xml:space="preserve">TOC \o "1-1" \h \u </w:instrText>
          </w:r>
          <w:r>
            <w:rPr>
              <w:rFonts w:hint="default" w:ascii="Times New Roman" w:hAnsi="Times New Roman" w:eastAsia="黑体" w:cs="Times New Roman"/>
              <w:color w:val="000000" w:themeColor="text1"/>
              <w:sz w:val="24"/>
              <w:szCs w:val="24"/>
              <w:highlight w:val="yellow"/>
              <w:lang w:eastAsia="zh-CN"/>
              <w14:textFill>
                <w14:solidFill>
                  <w14:schemeClr w14:val="tx1"/>
                </w14:solidFill>
              </w14:textFill>
            </w:rPr>
            <w:fldChar w:fldCharType="separate"/>
          </w:r>
        </w:p>
        <w:p w14:paraId="5F56D845">
          <w:pPr>
            <w:pStyle w:val="15"/>
            <w:tabs>
              <w:tab w:val="right" w:leader="dot" w:pos="8844"/>
            </w:tabs>
            <w:spacing w:line="360" w:lineRule="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_Toc13779 </w:instrText>
          </w:r>
          <w:r>
            <w:rPr>
              <w:rFonts w:hint="default" w:ascii="Times New Roman" w:hAnsi="Times New Roman" w:eastAsia="黑体" w:cs="Times New Roman"/>
              <w:szCs w:val="24"/>
              <w:highlight w:val="yellow"/>
              <w:lang w:eastAsia="zh-CN"/>
            </w:rPr>
            <w:fldChar w:fldCharType="separate"/>
          </w:r>
          <w:r>
            <w:rPr>
              <w:rFonts w:hint="eastAsia" w:ascii="黑体" w:hAnsi="黑体" w:eastAsia="黑体"/>
              <w:snapToGrid w:val="0"/>
              <w:szCs w:val="30"/>
              <w:highlight w:val="none"/>
            </w:rPr>
            <w:t>一、建设项目基本情况</w:t>
          </w:r>
          <w:r>
            <w:tab/>
          </w:r>
          <w:r>
            <w:fldChar w:fldCharType="begin"/>
          </w:r>
          <w:r>
            <w:instrText xml:space="preserve"> PAGEREF _Toc13779 \h </w:instrText>
          </w:r>
          <w:r>
            <w:fldChar w:fldCharType="separate"/>
          </w:r>
          <w:r>
            <w:t>1</w:t>
          </w:r>
          <w:r>
            <w:fldChar w:fldCharType="end"/>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34465F7A">
          <w:pPr>
            <w:pStyle w:val="15"/>
            <w:tabs>
              <w:tab w:val="right" w:leader="dot" w:pos="8844"/>
            </w:tabs>
            <w:spacing w:line="360" w:lineRule="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_Toc24851 </w:instrText>
          </w:r>
          <w:r>
            <w:rPr>
              <w:rFonts w:hint="default" w:ascii="Times New Roman" w:hAnsi="Times New Roman" w:eastAsia="黑体" w:cs="Times New Roman"/>
              <w:szCs w:val="24"/>
              <w:highlight w:val="yellow"/>
              <w:lang w:eastAsia="zh-CN"/>
            </w:rPr>
            <w:fldChar w:fldCharType="separate"/>
          </w:r>
          <w:r>
            <w:rPr>
              <w:rFonts w:hint="eastAsia" w:ascii="黑体" w:hAnsi="黑体" w:eastAsia="黑体"/>
              <w:snapToGrid w:val="0"/>
              <w:szCs w:val="30"/>
              <w:highlight w:val="none"/>
            </w:rPr>
            <w:t>二、建设项目工程分析</w:t>
          </w:r>
          <w:r>
            <w:tab/>
          </w:r>
          <w:r>
            <w:fldChar w:fldCharType="begin"/>
          </w:r>
          <w:r>
            <w:instrText xml:space="preserve"> PAGEREF _Toc24851 \h </w:instrText>
          </w:r>
          <w:r>
            <w:fldChar w:fldCharType="separate"/>
          </w:r>
          <w:r>
            <w:t>13</w:t>
          </w:r>
          <w:r>
            <w:fldChar w:fldCharType="end"/>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45E767B8">
          <w:pPr>
            <w:pStyle w:val="15"/>
            <w:tabs>
              <w:tab w:val="right" w:leader="dot" w:pos="8844"/>
            </w:tabs>
            <w:spacing w:line="360" w:lineRule="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_Toc21209 </w:instrText>
          </w:r>
          <w:r>
            <w:rPr>
              <w:rFonts w:hint="default" w:ascii="Times New Roman" w:hAnsi="Times New Roman" w:eastAsia="黑体" w:cs="Times New Roman"/>
              <w:szCs w:val="24"/>
              <w:highlight w:val="yellow"/>
              <w:lang w:eastAsia="zh-CN"/>
            </w:rPr>
            <w:fldChar w:fldCharType="separate"/>
          </w:r>
          <w:r>
            <w:rPr>
              <w:rFonts w:hint="eastAsia" w:ascii="黑体" w:hAnsi="黑体" w:eastAsia="黑体"/>
              <w:snapToGrid w:val="0"/>
              <w:szCs w:val="30"/>
              <w:highlight w:val="none"/>
            </w:rPr>
            <w:t>三、区域环境质量现状、环境保护目标及评价标准</w:t>
          </w:r>
          <w:r>
            <w:tab/>
          </w:r>
          <w:r>
            <w:fldChar w:fldCharType="begin"/>
          </w:r>
          <w:r>
            <w:instrText xml:space="preserve"> PAGEREF _Toc21209 \h </w:instrText>
          </w:r>
          <w:r>
            <w:fldChar w:fldCharType="separate"/>
          </w:r>
          <w:r>
            <w:t>24</w:t>
          </w:r>
          <w:r>
            <w:fldChar w:fldCharType="end"/>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5B799D2B">
          <w:pPr>
            <w:pStyle w:val="15"/>
            <w:tabs>
              <w:tab w:val="right" w:leader="dot" w:pos="8844"/>
            </w:tabs>
            <w:spacing w:line="360" w:lineRule="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_Toc21094 </w:instrText>
          </w:r>
          <w:r>
            <w:rPr>
              <w:rFonts w:hint="default" w:ascii="Times New Roman" w:hAnsi="Times New Roman" w:eastAsia="黑体" w:cs="Times New Roman"/>
              <w:szCs w:val="24"/>
              <w:highlight w:val="yellow"/>
              <w:lang w:eastAsia="zh-CN"/>
            </w:rPr>
            <w:fldChar w:fldCharType="separate"/>
          </w:r>
          <w:r>
            <w:rPr>
              <w:rFonts w:hint="eastAsia" w:ascii="黑体" w:hAnsi="黑体" w:eastAsia="黑体"/>
              <w:snapToGrid w:val="0"/>
              <w:szCs w:val="30"/>
              <w:highlight w:val="none"/>
            </w:rPr>
            <w:t>四、主要环境影响和保护措施</w:t>
          </w:r>
          <w:r>
            <w:tab/>
          </w:r>
          <w:r>
            <w:fldChar w:fldCharType="begin"/>
          </w:r>
          <w:r>
            <w:instrText xml:space="preserve"> PAGEREF _Toc21094 \h </w:instrText>
          </w:r>
          <w:r>
            <w:fldChar w:fldCharType="separate"/>
          </w:r>
          <w:r>
            <w:t>31</w:t>
          </w:r>
          <w:r>
            <w:fldChar w:fldCharType="end"/>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461272D4">
          <w:pPr>
            <w:pStyle w:val="15"/>
            <w:tabs>
              <w:tab w:val="right" w:leader="dot" w:pos="8844"/>
            </w:tabs>
            <w:spacing w:line="360" w:lineRule="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_Toc1741 </w:instrText>
          </w:r>
          <w:r>
            <w:rPr>
              <w:rFonts w:hint="default" w:ascii="Times New Roman" w:hAnsi="Times New Roman" w:eastAsia="黑体" w:cs="Times New Roman"/>
              <w:szCs w:val="24"/>
              <w:highlight w:val="yellow"/>
              <w:lang w:eastAsia="zh-CN"/>
            </w:rPr>
            <w:fldChar w:fldCharType="separate"/>
          </w:r>
          <w:r>
            <w:rPr>
              <w:rFonts w:hint="eastAsia" w:ascii="黑体" w:hAnsi="黑体" w:eastAsia="黑体"/>
              <w:snapToGrid w:val="0"/>
              <w:szCs w:val="30"/>
              <w:highlight w:val="none"/>
            </w:rPr>
            <w:t>五、环境保护措施监督检查清单</w:t>
          </w:r>
          <w:bookmarkStart w:id="33" w:name="_GoBack"/>
          <w:bookmarkEnd w:id="33"/>
          <w:r>
            <w:tab/>
          </w:r>
          <w:r>
            <w:fldChar w:fldCharType="begin"/>
          </w:r>
          <w:r>
            <w:instrText xml:space="preserve"> PAGEREF _Toc1741 \h </w:instrText>
          </w:r>
          <w:r>
            <w:fldChar w:fldCharType="separate"/>
          </w:r>
          <w:r>
            <w:t>55</w:t>
          </w:r>
          <w:r>
            <w:fldChar w:fldCharType="end"/>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15411C43">
          <w:pPr>
            <w:pStyle w:val="15"/>
            <w:tabs>
              <w:tab w:val="right" w:leader="dot" w:pos="8844"/>
            </w:tabs>
            <w:spacing w:line="360" w:lineRule="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_Toc31583 </w:instrText>
          </w:r>
          <w:r>
            <w:rPr>
              <w:rFonts w:hint="default" w:ascii="Times New Roman" w:hAnsi="Times New Roman" w:eastAsia="黑体" w:cs="Times New Roman"/>
              <w:szCs w:val="24"/>
              <w:highlight w:val="yellow"/>
              <w:lang w:eastAsia="zh-CN"/>
            </w:rPr>
            <w:fldChar w:fldCharType="separate"/>
          </w:r>
          <w:r>
            <w:rPr>
              <w:rFonts w:hint="eastAsia" w:ascii="黑体" w:hAnsi="黑体" w:eastAsia="黑体"/>
              <w:snapToGrid w:val="0"/>
              <w:szCs w:val="30"/>
              <w:highlight w:val="none"/>
            </w:rPr>
            <w:t>六、结论</w:t>
          </w:r>
          <w:r>
            <w:tab/>
          </w:r>
          <w:r>
            <w:fldChar w:fldCharType="begin"/>
          </w:r>
          <w:r>
            <w:instrText xml:space="preserve"> PAGEREF _Toc31583 \h </w:instrText>
          </w:r>
          <w:r>
            <w:fldChar w:fldCharType="separate"/>
          </w:r>
          <w:r>
            <w:t>57</w:t>
          </w:r>
          <w:r>
            <w:fldChar w:fldCharType="end"/>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602CDDF5">
          <w:pPr>
            <w:pStyle w:val="15"/>
            <w:tabs>
              <w:tab w:val="right" w:leader="dot" w:pos="8844"/>
            </w:tabs>
            <w:spacing w:line="360" w:lineRule="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_Toc10119 </w:instrText>
          </w:r>
          <w:r>
            <w:rPr>
              <w:rFonts w:hint="default" w:ascii="Times New Roman" w:hAnsi="Times New Roman" w:eastAsia="黑体" w:cs="Times New Roman"/>
              <w:szCs w:val="24"/>
              <w:highlight w:val="yellow"/>
              <w:lang w:eastAsia="zh-CN"/>
            </w:rPr>
            <w:fldChar w:fldCharType="separate"/>
          </w:r>
          <w:r>
            <w:rPr>
              <w:rFonts w:hint="eastAsia" w:ascii="黑体" w:hAnsi="黑体" w:eastAsia="黑体"/>
              <w:snapToGrid w:val="0"/>
              <w:szCs w:val="32"/>
              <w:highlight w:val="none"/>
            </w:rPr>
            <w:t>附表</w:t>
          </w:r>
          <w:r>
            <w:tab/>
          </w:r>
          <w:r>
            <w:fldChar w:fldCharType="begin"/>
          </w:r>
          <w:r>
            <w:instrText xml:space="preserve"> PAGEREF _Toc10119 \h </w:instrText>
          </w:r>
          <w:r>
            <w:fldChar w:fldCharType="separate"/>
          </w:r>
          <w:r>
            <w:t>58</w:t>
          </w:r>
          <w:r>
            <w:fldChar w:fldCharType="end"/>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60D27FA5">
          <w:pPr>
            <w:pStyle w:val="15"/>
            <w:keepNext w:val="0"/>
            <w:keepLines w:val="0"/>
            <w:pageBreakBefore w:val="0"/>
            <w:widowControl w:val="0"/>
            <w:tabs>
              <w:tab w:val="right" w:leader="dot" w:pos="8844"/>
            </w:tabs>
            <w:kinsoku/>
            <w:wordWrap/>
            <w:overflowPunct/>
            <w:topLinePunct w:val="0"/>
            <w:autoSpaceDE/>
            <w:autoSpaceDN/>
            <w:bidi w:val="0"/>
            <w:adjustRightInd/>
            <w:snapToGrid/>
            <w:spacing w:line="400" w:lineRule="exact"/>
            <w:ind w:firstLine="420" w:firstLineChars="200"/>
            <w:textAlignment w:val="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_Toc2020 </w:instrText>
          </w:r>
          <w:r>
            <w:rPr>
              <w:rFonts w:hint="default" w:ascii="Times New Roman" w:hAnsi="Times New Roman" w:eastAsia="黑体" w:cs="Times New Roman"/>
              <w:szCs w:val="24"/>
              <w:highlight w:val="yellow"/>
              <w:lang w:eastAsia="zh-CN"/>
            </w:rPr>
            <w:fldChar w:fldCharType="separate"/>
          </w:r>
          <w:r>
            <w:rPr>
              <w:rFonts w:hint="default" w:ascii="Times New Roman" w:hAnsi="Times New Roman" w:eastAsia="黑体" w:cs="Times New Roman"/>
              <w:bCs/>
              <w:szCs w:val="24"/>
              <w:highlight w:val="none"/>
              <w:lang w:val="en-US" w:eastAsia="zh-CN"/>
            </w:rPr>
            <w:t>附图1</w:t>
          </w:r>
          <w:r>
            <w:rPr>
              <w:rFonts w:hint="eastAsia" w:ascii="Times New Roman" w:hAnsi="Times New Roman" w:eastAsia="黑体" w:cs="Times New Roman"/>
              <w:bCs/>
              <w:szCs w:val="24"/>
              <w:highlight w:val="none"/>
              <w:lang w:val="en-US" w:eastAsia="zh-CN"/>
            </w:rPr>
            <w:t xml:space="preserve">  </w:t>
          </w:r>
          <w:r>
            <w:rPr>
              <w:rFonts w:hint="default" w:ascii="Times New Roman" w:hAnsi="Times New Roman" w:eastAsia="黑体" w:cs="Times New Roman"/>
              <w:bCs/>
              <w:szCs w:val="24"/>
              <w:highlight w:val="none"/>
              <w:lang w:val="en-US" w:eastAsia="zh-CN"/>
            </w:rPr>
            <w:t>项目地理位置图</w:t>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2E3DBF69">
          <w:pPr>
            <w:pStyle w:val="15"/>
            <w:keepNext w:val="0"/>
            <w:keepLines w:val="0"/>
            <w:pageBreakBefore w:val="0"/>
            <w:widowControl w:val="0"/>
            <w:tabs>
              <w:tab w:val="right" w:leader="dot" w:pos="8844"/>
            </w:tabs>
            <w:kinsoku/>
            <w:wordWrap/>
            <w:overflowPunct/>
            <w:topLinePunct w:val="0"/>
            <w:autoSpaceDE/>
            <w:autoSpaceDN/>
            <w:bidi w:val="0"/>
            <w:adjustRightInd/>
            <w:snapToGrid/>
            <w:spacing w:line="400" w:lineRule="exact"/>
            <w:ind w:firstLine="420" w:firstLineChars="200"/>
            <w:textAlignment w:val="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_Toc28923 </w:instrText>
          </w:r>
          <w:r>
            <w:rPr>
              <w:rFonts w:hint="default" w:ascii="Times New Roman" w:hAnsi="Times New Roman" w:eastAsia="黑体" w:cs="Times New Roman"/>
              <w:szCs w:val="24"/>
              <w:highlight w:val="yellow"/>
              <w:lang w:eastAsia="zh-CN"/>
            </w:rPr>
            <w:fldChar w:fldCharType="separate"/>
          </w:r>
          <w:r>
            <w:rPr>
              <w:rFonts w:hint="default" w:ascii="Times New Roman" w:hAnsi="Times New Roman" w:eastAsia="黑体" w:cs="Times New Roman"/>
              <w:bCs/>
              <w:szCs w:val="24"/>
              <w:highlight w:val="none"/>
              <w:lang w:val="en-US" w:eastAsia="zh-CN"/>
            </w:rPr>
            <w:t>附图2</w:t>
          </w:r>
          <w:r>
            <w:rPr>
              <w:rFonts w:hint="eastAsia" w:eastAsia="黑体" w:cs="Times New Roman"/>
              <w:bCs/>
              <w:szCs w:val="24"/>
              <w:highlight w:val="none"/>
              <w:lang w:val="en-US" w:eastAsia="zh-CN"/>
            </w:rPr>
            <w:t>-1</w:t>
          </w:r>
          <w:r>
            <w:rPr>
              <w:rFonts w:hint="default" w:ascii="Times New Roman" w:hAnsi="Times New Roman" w:eastAsia="黑体" w:cs="Times New Roman"/>
              <w:bCs/>
              <w:szCs w:val="24"/>
              <w:highlight w:val="none"/>
              <w:lang w:val="en-US" w:eastAsia="zh-CN"/>
            </w:rPr>
            <w:t xml:space="preserve">  </w:t>
          </w:r>
          <w:r>
            <w:rPr>
              <w:rFonts w:hint="eastAsia" w:eastAsia="黑体" w:cs="Times New Roman"/>
              <w:bCs/>
              <w:szCs w:val="24"/>
              <w:highlight w:val="none"/>
              <w:lang w:val="en-US" w:eastAsia="zh-CN"/>
            </w:rPr>
            <w:t>总</w:t>
          </w:r>
          <w:r>
            <w:rPr>
              <w:rFonts w:hint="default" w:ascii="Times New Roman" w:hAnsi="Times New Roman" w:eastAsia="黑体" w:cs="Times New Roman"/>
              <w:bCs/>
              <w:szCs w:val="24"/>
              <w:highlight w:val="none"/>
              <w:lang w:val="en-US" w:eastAsia="zh-CN"/>
            </w:rPr>
            <w:t>平面布置图</w:t>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13FFB6C7">
          <w:pPr>
            <w:pStyle w:val="15"/>
            <w:keepNext w:val="0"/>
            <w:keepLines w:val="0"/>
            <w:pageBreakBefore w:val="0"/>
            <w:widowControl w:val="0"/>
            <w:tabs>
              <w:tab w:val="right" w:leader="dot" w:pos="8844"/>
            </w:tabs>
            <w:kinsoku/>
            <w:wordWrap/>
            <w:overflowPunct/>
            <w:topLinePunct w:val="0"/>
            <w:autoSpaceDE/>
            <w:autoSpaceDN/>
            <w:bidi w:val="0"/>
            <w:adjustRightInd/>
            <w:snapToGrid/>
            <w:spacing w:line="400" w:lineRule="exact"/>
            <w:ind w:firstLine="420" w:firstLineChars="200"/>
            <w:textAlignment w:val="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_Toc11553 </w:instrText>
          </w:r>
          <w:r>
            <w:rPr>
              <w:rFonts w:hint="default" w:ascii="Times New Roman" w:hAnsi="Times New Roman" w:eastAsia="黑体" w:cs="Times New Roman"/>
              <w:szCs w:val="24"/>
              <w:highlight w:val="yellow"/>
              <w:lang w:eastAsia="zh-CN"/>
            </w:rPr>
            <w:fldChar w:fldCharType="separate"/>
          </w:r>
          <w:r>
            <w:rPr>
              <w:rFonts w:hint="default" w:ascii="Times New Roman" w:hAnsi="Times New Roman" w:eastAsia="黑体" w:cs="Times New Roman"/>
              <w:bCs/>
              <w:szCs w:val="24"/>
              <w:highlight w:val="none"/>
              <w:lang w:val="en-US" w:eastAsia="zh-CN"/>
            </w:rPr>
            <w:t>附图2</w:t>
          </w:r>
          <w:r>
            <w:rPr>
              <w:rFonts w:hint="eastAsia" w:eastAsia="黑体" w:cs="Times New Roman"/>
              <w:bCs/>
              <w:szCs w:val="24"/>
              <w:highlight w:val="none"/>
              <w:lang w:val="en-US" w:eastAsia="zh-CN"/>
            </w:rPr>
            <w:t>-2</w:t>
          </w:r>
          <w:r>
            <w:rPr>
              <w:rFonts w:hint="default" w:ascii="Times New Roman" w:hAnsi="Times New Roman" w:eastAsia="黑体" w:cs="Times New Roman"/>
              <w:bCs/>
              <w:szCs w:val="24"/>
              <w:highlight w:val="none"/>
              <w:lang w:val="en-US" w:eastAsia="zh-CN"/>
            </w:rPr>
            <w:t xml:space="preserve">  </w:t>
          </w:r>
          <w:r>
            <w:rPr>
              <w:rFonts w:hint="eastAsia" w:eastAsia="黑体" w:cs="Times New Roman"/>
              <w:bCs/>
              <w:szCs w:val="24"/>
              <w:highlight w:val="none"/>
              <w:lang w:val="en-US" w:eastAsia="zh-CN"/>
            </w:rPr>
            <w:t>锅炉房平面</w:t>
          </w:r>
          <w:r>
            <w:rPr>
              <w:rFonts w:hint="default" w:ascii="Times New Roman" w:hAnsi="Times New Roman" w:eastAsia="黑体" w:cs="Times New Roman"/>
              <w:bCs/>
              <w:szCs w:val="24"/>
              <w:highlight w:val="none"/>
              <w:lang w:val="en-US" w:eastAsia="zh-CN"/>
            </w:rPr>
            <w:t>布置图</w:t>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3566019E">
          <w:pPr>
            <w:pStyle w:val="15"/>
            <w:keepNext w:val="0"/>
            <w:keepLines w:val="0"/>
            <w:pageBreakBefore w:val="0"/>
            <w:widowControl w:val="0"/>
            <w:tabs>
              <w:tab w:val="right" w:leader="dot" w:pos="8844"/>
            </w:tabs>
            <w:kinsoku/>
            <w:wordWrap/>
            <w:overflowPunct/>
            <w:topLinePunct w:val="0"/>
            <w:autoSpaceDE/>
            <w:autoSpaceDN/>
            <w:bidi w:val="0"/>
            <w:adjustRightInd/>
            <w:snapToGrid/>
            <w:spacing w:line="400" w:lineRule="exact"/>
            <w:ind w:firstLine="420" w:firstLineChars="200"/>
            <w:textAlignment w:val="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_Toc4256 </w:instrText>
          </w:r>
          <w:r>
            <w:rPr>
              <w:rFonts w:hint="default" w:ascii="Times New Roman" w:hAnsi="Times New Roman" w:eastAsia="黑体" w:cs="Times New Roman"/>
              <w:szCs w:val="24"/>
              <w:highlight w:val="yellow"/>
              <w:lang w:eastAsia="zh-CN"/>
            </w:rPr>
            <w:fldChar w:fldCharType="separate"/>
          </w:r>
          <w:r>
            <w:rPr>
              <w:rFonts w:hint="eastAsia" w:ascii="Times New Roman" w:hAnsi="Times New Roman" w:eastAsia="黑体" w:cs="Times New Roman"/>
              <w:bCs/>
              <w:szCs w:val="24"/>
              <w:highlight w:val="none"/>
              <w:lang w:val="en-US" w:eastAsia="zh-CN"/>
            </w:rPr>
            <w:t xml:space="preserve">附图3  </w:t>
          </w:r>
          <w:r>
            <w:rPr>
              <w:rFonts w:hint="eastAsia" w:eastAsia="黑体" w:cs="Times New Roman"/>
              <w:bCs/>
              <w:szCs w:val="24"/>
              <w:highlight w:val="none"/>
              <w:lang w:val="en-US" w:eastAsia="zh-CN"/>
            </w:rPr>
            <w:t>环境保护目标</w:t>
          </w:r>
          <w:r>
            <w:rPr>
              <w:rFonts w:hint="eastAsia" w:ascii="Times New Roman" w:hAnsi="Times New Roman" w:eastAsia="黑体" w:cs="Times New Roman"/>
              <w:bCs/>
              <w:szCs w:val="24"/>
              <w:highlight w:val="none"/>
              <w:lang w:val="en-US" w:eastAsia="zh-CN"/>
            </w:rPr>
            <w:t>图</w:t>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668DCB99">
          <w:pPr>
            <w:pStyle w:val="15"/>
            <w:keepNext w:val="0"/>
            <w:keepLines w:val="0"/>
            <w:pageBreakBefore w:val="0"/>
            <w:widowControl w:val="0"/>
            <w:tabs>
              <w:tab w:val="right" w:leader="dot" w:pos="8844"/>
            </w:tabs>
            <w:kinsoku/>
            <w:wordWrap/>
            <w:overflowPunct/>
            <w:topLinePunct w:val="0"/>
            <w:autoSpaceDE/>
            <w:autoSpaceDN/>
            <w:bidi w:val="0"/>
            <w:adjustRightInd/>
            <w:snapToGrid/>
            <w:spacing w:line="400" w:lineRule="exact"/>
            <w:ind w:firstLine="420" w:firstLineChars="200"/>
            <w:textAlignment w:val="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_Toc25533 </w:instrText>
          </w:r>
          <w:r>
            <w:rPr>
              <w:rFonts w:hint="default" w:ascii="Times New Roman" w:hAnsi="Times New Roman" w:eastAsia="黑体" w:cs="Times New Roman"/>
              <w:szCs w:val="24"/>
              <w:highlight w:val="yellow"/>
              <w:lang w:eastAsia="zh-CN"/>
            </w:rPr>
            <w:fldChar w:fldCharType="separate"/>
          </w:r>
          <w:r>
            <w:rPr>
              <w:rFonts w:hint="eastAsia" w:ascii="Times New Roman" w:hAnsi="Times New Roman" w:eastAsia="黑体" w:cs="Times New Roman"/>
              <w:bCs/>
              <w:szCs w:val="24"/>
              <w:highlight w:val="none"/>
              <w:lang w:val="en-US" w:eastAsia="zh-CN"/>
            </w:rPr>
            <w:t>附图4  供热管网走向示意图</w:t>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3F9A8ABE">
          <w:pPr>
            <w:pStyle w:val="15"/>
            <w:keepNext w:val="0"/>
            <w:keepLines w:val="0"/>
            <w:pageBreakBefore w:val="0"/>
            <w:widowControl w:val="0"/>
            <w:tabs>
              <w:tab w:val="right" w:leader="dot" w:pos="8844"/>
            </w:tabs>
            <w:kinsoku/>
            <w:wordWrap/>
            <w:overflowPunct/>
            <w:topLinePunct w:val="0"/>
            <w:autoSpaceDE/>
            <w:autoSpaceDN/>
            <w:bidi w:val="0"/>
            <w:adjustRightInd/>
            <w:snapToGrid/>
            <w:spacing w:line="400" w:lineRule="exact"/>
            <w:ind w:firstLine="420" w:firstLineChars="200"/>
            <w:textAlignment w:val="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_Toc24909 </w:instrText>
          </w:r>
          <w:r>
            <w:rPr>
              <w:rFonts w:hint="default" w:ascii="Times New Roman" w:hAnsi="Times New Roman" w:eastAsia="黑体" w:cs="Times New Roman"/>
              <w:szCs w:val="24"/>
              <w:highlight w:val="yellow"/>
              <w:lang w:eastAsia="zh-CN"/>
            </w:rPr>
            <w:fldChar w:fldCharType="separate"/>
          </w:r>
          <w:r>
            <w:rPr>
              <w:rFonts w:hint="eastAsia" w:ascii="Times New Roman" w:hAnsi="Times New Roman" w:eastAsia="黑体" w:cs="Times New Roman"/>
              <w:bCs/>
              <w:szCs w:val="24"/>
              <w:highlight w:val="none"/>
              <w:lang w:val="en-US" w:eastAsia="zh-CN"/>
            </w:rPr>
            <w:t xml:space="preserve">附图5  </w:t>
          </w:r>
          <w:r>
            <w:rPr>
              <w:rFonts w:hint="eastAsia" w:eastAsia="黑体" w:cs="Times New Roman"/>
              <w:bCs/>
              <w:szCs w:val="24"/>
              <w:highlight w:val="none"/>
              <w:lang w:val="en-US" w:eastAsia="zh-CN"/>
            </w:rPr>
            <w:t>现有</w:t>
          </w:r>
          <w:r>
            <w:rPr>
              <w:rFonts w:hint="eastAsia" w:ascii="Times New Roman" w:hAnsi="Times New Roman" w:eastAsia="黑体" w:cs="Times New Roman"/>
              <w:bCs/>
              <w:szCs w:val="24"/>
              <w:highlight w:val="none"/>
              <w:lang w:val="en-US" w:eastAsia="zh-CN"/>
            </w:rPr>
            <w:t>厂区及周边环境图</w:t>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0DD74139">
          <w:pPr>
            <w:pStyle w:val="15"/>
            <w:keepNext w:val="0"/>
            <w:keepLines w:val="0"/>
            <w:pageBreakBefore w:val="0"/>
            <w:widowControl w:val="0"/>
            <w:tabs>
              <w:tab w:val="right" w:leader="dot" w:pos="8844"/>
            </w:tabs>
            <w:kinsoku/>
            <w:wordWrap/>
            <w:overflowPunct/>
            <w:topLinePunct w:val="0"/>
            <w:autoSpaceDE/>
            <w:autoSpaceDN/>
            <w:bidi w:val="0"/>
            <w:adjustRightInd/>
            <w:snapToGrid/>
            <w:spacing w:line="400" w:lineRule="exact"/>
            <w:ind w:firstLine="420" w:firstLineChars="200"/>
            <w:textAlignment w:val="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_Toc29911 </w:instrText>
          </w:r>
          <w:r>
            <w:rPr>
              <w:rFonts w:hint="default" w:ascii="Times New Roman" w:hAnsi="Times New Roman" w:eastAsia="黑体" w:cs="Times New Roman"/>
              <w:szCs w:val="24"/>
              <w:highlight w:val="yellow"/>
              <w:lang w:eastAsia="zh-CN"/>
            </w:rPr>
            <w:fldChar w:fldCharType="separate"/>
          </w:r>
          <w:r>
            <w:rPr>
              <w:rFonts w:hint="eastAsia" w:ascii="Times New Roman" w:hAnsi="Times New Roman" w:eastAsia="黑体" w:cs="Times New Roman"/>
              <w:bCs/>
              <w:szCs w:val="24"/>
              <w:highlight w:val="none"/>
              <w:lang w:val="en-US" w:eastAsia="zh-CN"/>
            </w:rPr>
            <w:t xml:space="preserve">附件1  </w:t>
          </w:r>
          <w:r>
            <w:rPr>
              <w:rFonts w:hint="eastAsia" w:eastAsia="黑体" w:cs="Times New Roman"/>
              <w:bCs/>
              <w:szCs w:val="24"/>
              <w:highlight w:val="none"/>
              <w:lang w:val="en-US" w:eastAsia="zh-CN"/>
            </w:rPr>
            <w:t>统一社会信用代码证书</w:t>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7E857B6E">
          <w:pPr>
            <w:pStyle w:val="15"/>
            <w:keepNext w:val="0"/>
            <w:keepLines w:val="0"/>
            <w:pageBreakBefore w:val="0"/>
            <w:widowControl w:val="0"/>
            <w:tabs>
              <w:tab w:val="right" w:leader="dot" w:pos="8844"/>
            </w:tabs>
            <w:kinsoku/>
            <w:wordWrap/>
            <w:overflowPunct/>
            <w:topLinePunct w:val="0"/>
            <w:autoSpaceDE/>
            <w:autoSpaceDN/>
            <w:bidi w:val="0"/>
            <w:adjustRightInd/>
            <w:snapToGrid/>
            <w:spacing w:line="400" w:lineRule="exact"/>
            <w:ind w:firstLine="420" w:firstLineChars="200"/>
            <w:textAlignment w:val="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_Toc700 </w:instrText>
          </w:r>
          <w:r>
            <w:rPr>
              <w:rFonts w:hint="default" w:ascii="Times New Roman" w:hAnsi="Times New Roman" w:eastAsia="黑体" w:cs="Times New Roman"/>
              <w:szCs w:val="24"/>
              <w:highlight w:val="yellow"/>
              <w:lang w:eastAsia="zh-CN"/>
            </w:rPr>
            <w:fldChar w:fldCharType="separate"/>
          </w:r>
          <w:r>
            <w:rPr>
              <w:rFonts w:hint="eastAsia" w:ascii="Times New Roman" w:hAnsi="Times New Roman" w:eastAsia="黑体" w:cs="Times New Roman"/>
              <w:bCs/>
              <w:szCs w:val="24"/>
              <w:highlight w:val="none"/>
              <w:lang w:val="en-US" w:eastAsia="zh-CN"/>
            </w:rPr>
            <w:t xml:space="preserve">附件2  </w:t>
          </w:r>
          <w:r>
            <w:rPr>
              <w:rFonts w:hint="eastAsia" w:eastAsia="黑体" w:cs="Times New Roman"/>
              <w:bCs/>
              <w:szCs w:val="24"/>
              <w:highlight w:val="none"/>
              <w:lang w:val="en-US" w:eastAsia="zh-CN"/>
            </w:rPr>
            <w:t>土地证明</w:t>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6B265B91">
          <w:pPr>
            <w:pStyle w:val="15"/>
            <w:keepNext w:val="0"/>
            <w:keepLines w:val="0"/>
            <w:pageBreakBefore w:val="0"/>
            <w:widowControl w:val="0"/>
            <w:tabs>
              <w:tab w:val="right" w:leader="dot" w:pos="8844"/>
            </w:tabs>
            <w:kinsoku/>
            <w:wordWrap/>
            <w:overflowPunct/>
            <w:topLinePunct w:val="0"/>
            <w:autoSpaceDE/>
            <w:autoSpaceDN/>
            <w:bidi w:val="0"/>
            <w:adjustRightInd/>
            <w:snapToGrid/>
            <w:spacing w:line="400" w:lineRule="exact"/>
            <w:ind w:firstLine="420" w:firstLineChars="200"/>
            <w:textAlignment w:val="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_Toc30707 </w:instrText>
          </w:r>
          <w:r>
            <w:rPr>
              <w:rFonts w:hint="default" w:ascii="Times New Roman" w:hAnsi="Times New Roman" w:eastAsia="黑体" w:cs="Times New Roman"/>
              <w:szCs w:val="24"/>
              <w:highlight w:val="yellow"/>
              <w:lang w:eastAsia="zh-CN"/>
            </w:rPr>
            <w:fldChar w:fldCharType="separate"/>
          </w:r>
          <w:r>
            <w:rPr>
              <w:rFonts w:hint="eastAsia" w:ascii="Times New Roman" w:hAnsi="Times New Roman" w:eastAsia="黑体" w:cs="Times New Roman"/>
              <w:bCs/>
              <w:szCs w:val="24"/>
              <w:highlight w:val="none"/>
              <w:lang w:val="en-US" w:eastAsia="zh-CN"/>
            </w:rPr>
            <w:t>附件3  生物质成型燃料成分分析检测报告</w:t>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278F5A2E">
          <w:pPr>
            <w:pStyle w:val="15"/>
            <w:keepNext w:val="0"/>
            <w:keepLines w:val="0"/>
            <w:pageBreakBefore w:val="0"/>
            <w:widowControl w:val="0"/>
            <w:tabs>
              <w:tab w:val="right" w:leader="dot" w:pos="8844"/>
            </w:tabs>
            <w:kinsoku/>
            <w:wordWrap/>
            <w:overflowPunct/>
            <w:topLinePunct w:val="0"/>
            <w:autoSpaceDE/>
            <w:autoSpaceDN/>
            <w:bidi w:val="0"/>
            <w:adjustRightInd/>
            <w:snapToGrid/>
            <w:spacing w:line="400" w:lineRule="exact"/>
            <w:ind w:firstLine="420" w:firstLineChars="200"/>
            <w:textAlignment w:val="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_Toc4683 </w:instrText>
          </w:r>
          <w:r>
            <w:rPr>
              <w:rFonts w:hint="default" w:ascii="Times New Roman" w:hAnsi="Times New Roman" w:eastAsia="黑体" w:cs="Times New Roman"/>
              <w:szCs w:val="24"/>
              <w:highlight w:val="yellow"/>
              <w:lang w:eastAsia="zh-CN"/>
            </w:rPr>
            <w:fldChar w:fldCharType="separate"/>
          </w:r>
          <w:r>
            <w:rPr>
              <w:rFonts w:hint="eastAsia" w:ascii="Times New Roman" w:hAnsi="Times New Roman" w:eastAsia="黑体" w:cs="Times New Roman"/>
              <w:bCs/>
              <w:szCs w:val="24"/>
              <w:highlight w:val="none"/>
              <w:lang w:val="en-US" w:eastAsia="zh-CN"/>
            </w:rPr>
            <w:t>附件4  生态环境分区管控分析报告</w:t>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5F6CEE4F">
          <w:pPr>
            <w:pStyle w:val="15"/>
            <w:keepNext w:val="0"/>
            <w:keepLines w:val="0"/>
            <w:pageBreakBefore w:val="0"/>
            <w:widowControl w:val="0"/>
            <w:tabs>
              <w:tab w:val="right" w:leader="dot" w:pos="8844"/>
            </w:tabs>
            <w:kinsoku/>
            <w:wordWrap/>
            <w:overflowPunct/>
            <w:topLinePunct w:val="0"/>
            <w:autoSpaceDE/>
            <w:autoSpaceDN/>
            <w:bidi w:val="0"/>
            <w:adjustRightInd/>
            <w:snapToGrid/>
            <w:spacing w:line="400" w:lineRule="exact"/>
            <w:ind w:firstLine="420" w:firstLineChars="200"/>
            <w:textAlignment w:val="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_Toc4410 </w:instrText>
          </w:r>
          <w:r>
            <w:rPr>
              <w:rFonts w:hint="default" w:ascii="Times New Roman" w:hAnsi="Times New Roman" w:eastAsia="黑体" w:cs="Times New Roman"/>
              <w:szCs w:val="24"/>
              <w:highlight w:val="yellow"/>
              <w:lang w:eastAsia="zh-CN"/>
            </w:rPr>
            <w:fldChar w:fldCharType="separate"/>
          </w:r>
          <w:r>
            <w:rPr>
              <w:rFonts w:hint="eastAsia" w:ascii="Times New Roman" w:hAnsi="Times New Roman" w:eastAsia="黑体" w:cs="Times New Roman"/>
              <w:bCs/>
              <w:szCs w:val="24"/>
              <w:highlight w:val="none"/>
              <w:lang w:val="en-US" w:eastAsia="zh-CN"/>
            </w:rPr>
            <w:t xml:space="preserve">附件5  </w:t>
          </w:r>
          <w:r>
            <w:rPr>
              <w:rFonts w:hint="eastAsia" w:eastAsia="黑体" w:cs="Times New Roman"/>
              <w:bCs/>
              <w:szCs w:val="24"/>
              <w:highlight w:val="none"/>
              <w:lang w:val="en-US" w:eastAsia="zh-CN"/>
            </w:rPr>
            <w:t>环境现状</w:t>
          </w:r>
          <w:r>
            <w:rPr>
              <w:rFonts w:hint="eastAsia" w:ascii="Times New Roman" w:hAnsi="Times New Roman" w:eastAsia="黑体" w:cs="Times New Roman"/>
              <w:bCs/>
              <w:szCs w:val="24"/>
              <w:highlight w:val="none"/>
              <w:lang w:val="en-US" w:eastAsia="zh-CN"/>
            </w:rPr>
            <w:t>监测报告</w:t>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7D914F45">
          <w:pPr>
            <w:pStyle w:val="15"/>
            <w:keepNext w:val="0"/>
            <w:keepLines w:val="0"/>
            <w:pageBreakBefore w:val="0"/>
            <w:widowControl w:val="0"/>
            <w:tabs>
              <w:tab w:val="right" w:leader="dot" w:pos="8844"/>
            </w:tabs>
            <w:kinsoku/>
            <w:wordWrap/>
            <w:overflowPunct/>
            <w:topLinePunct w:val="0"/>
            <w:autoSpaceDE/>
            <w:autoSpaceDN/>
            <w:bidi w:val="0"/>
            <w:adjustRightInd/>
            <w:snapToGrid/>
            <w:spacing w:line="400" w:lineRule="exact"/>
            <w:ind w:firstLine="420" w:firstLineChars="200"/>
            <w:textAlignment w:val="auto"/>
          </w:pP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begin"/>
          </w:r>
          <w:r>
            <w:rPr>
              <w:rFonts w:hint="default" w:ascii="Times New Roman" w:hAnsi="Times New Roman" w:eastAsia="黑体" w:cs="Times New Roman"/>
              <w:szCs w:val="24"/>
              <w:highlight w:val="yellow"/>
              <w:lang w:eastAsia="zh-CN"/>
            </w:rPr>
            <w:instrText xml:space="preserve"> HYPERLINK \l _Toc14013 </w:instrText>
          </w:r>
          <w:r>
            <w:rPr>
              <w:rFonts w:hint="default" w:ascii="Times New Roman" w:hAnsi="Times New Roman" w:eastAsia="黑体" w:cs="Times New Roman"/>
              <w:szCs w:val="24"/>
              <w:highlight w:val="yellow"/>
              <w:lang w:eastAsia="zh-CN"/>
            </w:rPr>
            <w:fldChar w:fldCharType="separate"/>
          </w:r>
          <w:r>
            <w:rPr>
              <w:rFonts w:hint="eastAsia" w:ascii="Times New Roman" w:hAnsi="Times New Roman" w:eastAsia="黑体" w:cs="Times New Roman"/>
              <w:bCs/>
              <w:szCs w:val="24"/>
              <w:highlight w:val="none"/>
              <w:lang w:val="en-US" w:eastAsia="zh-CN"/>
            </w:rPr>
            <w:t>附件</w:t>
          </w:r>
          <w:r>
            <w:rPr>
              <w:rFonts w:hint="eastAsia" w:eastAsia="黑体" w:cs="Times New Roman"/>
              <w:bCs/>
              <w:szCs w:val="24"/>
              <w:highlight w:val="none"/>
              <w:lang w:val="en-US" w:eastAsia="zh-CN"/>
            </w:rPr>
            <w:t>6</w:t>
          </w:r>
          <w:r>
            <w:rPr>
              <w:rFonts w:hint="eastAsia" w:ascii="Times New Roman" w:hAnsi="Times New Roman" w:eastAsia="黑体" w:cs="Times New Roman"/>
              <w:bCs/>
              <w:szCs w:val="24"/>
              <w:highlight w:val="none"/>
              <w:lang w:val="en-US" w:eastAsia="zh-CN"/>
            </w:rPr>
            <w:t xml:space="preserve">  核定总量计算说明</w:t>
          </w:r>
          <w:r>
            <w:rPr>
              <w:rFonts w:hint="default" w:ascii="Times New Roman" w:hAnsi="Times New Roman" w:eastAsia="黑体" w:cs="Times New Roman"/>
              <w:color w:val="000000" w:themeColor="text1"/>
              <w:szCs w:val="24"/>
              <w:highlight w:val="yellow"/>
              <w:lang w:eastAsia="zh-CN"/>
              <w14:textFill>
                <w14:solidFill>
                  <w14:schemeClr w14:val="tx1"/>
                </w14:solidFill>
              </w14:textFill>
            </w:rPr>
            <w:fldChar w:fldCharType="end"/>
          </w:r>
        </w:p>
        <w:p w14:paraId="3E206D4C">
          <w:pPr>
            <w:pStyle w:val="15"/>
            <w:tabs>
              <w:tab w:val="right" w:leader="dot" w:pos="8844"/>
            </w:tabs>
            <w:spacing w:line="360" w:lineRule="auto"/>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黑体" w:cs="Times New Roman"/>
              <w:color w:val="000000" w:themeColor="text1"/>
              <w:sz w:val="24"/>
              <w:szCs w:val="24"/>
              <w:highlight w:val="yellow"/>
              <w:lang w:eastAsia="zh-CN"/>
              <w14:textFill>
                <w14:solidFill>
                  <w14:schemeClr w14:val="tx1"/>
                </w14:solidFill>
              </w14:textFill>
            </w:rPr>
            <w:fldChar w:fldCharType="end"/>
          </w:r>
        </w:p>
      </w:sdtContent>
    </w:sdt>
    <w:p w14:paraId="5F637921">
      <w:pPr>
        <w:rPr>
          <w:rFonts w:hint="eastAsia"/>
          <w:color w:val="FF0000"/>
          <w:highlight w:val="none"/>
          <w:lang w:eastAsia="zh-CN"/>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fmt="upperRoman" w:start="1"/>
          <w:cols w:space="720" w:num="1"/>
          <w:docGrid w:linePitch="312" w:charSpace="0"/>
        </w:sectPr>
      </w:pPr>
    </w:p>
    <w:p w14:paraId="01B0E511">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rFonts w:hint="eastAsia" w:ascii="黑体" w:hAnsi="黑体" w:eastAsia="黑体"/>
          <w:snapToGrid w:val="0"/>
          <w:color w:val="auto"/>
          <w:sz w:val="30"/>
          <w:szCs w:val="30"/>
          <w:highlight w:val="none"/>
        </w:rPr>
      </w:pPr>
      <w:bookmarkStart w:id="4" w:name="_Toc13779"/>
      <w:r>
        <w:rPr>
          <w:rFonts w:hint="eastAsia" w:ascii="黑体" w:hAnsi="黑体" w:eastAsia="黑体"/>
          <w:snapToGrid w:val="0"/>
          <w:color w:val="auto"/>
          <w:sz w:val="30"/>
          <w:szCs w:val="30"/>
          <w:highlight w:val="none"/>
        </w:rPr>
        <w:t>一、建设项目基本情况</w:t>
      </w:r>
      <w:bookmarkEnd w:id="4"/>
    </w:p>
    <w:tbl>
      <w:tblPr>
        <w:tblStyle w:val="20"/>
        <w:tblW w:w="962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724"/>
        <w:gridCol w:w="2934"/>
        <w:gridCol w:w="1680"/>
        <w:gridCol w:w="3289"/>
      </w:tblGrid>
      <w:tr w14:paraId="33592D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24" w:type="dxa"/>
            <w:noWrap w:val="0"/>
            <w:tcMar>
              <w:top w:w="16" w:type="dxa"/>
              <w:left w:w="16" w:type="dxa"/>
              <w:right w:w="16" w:type="dxa"/>
            </w:tcMar>
            <w:vAlign w:val="center"/>
          </w:tcPr>
          <w:p w14:paraId="37EA3FF3">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建设项目名称</w:t>
            </w:r>
          </w:p>
        </w:tc>
        <w:tc>
          <w:tcPr>
            <w:tcW w:w="7903" w:type="dxa"/>
            <w:gridSpan w:val="3"/>
            <w:noWrap w:val="0"/>
            <w:vAlign w:val="center"/>
          </w:tcPr>
          <w:p w14:paraId="06ABE50F">
            <w:pPr>
              <w:adjustRightInd w:val="0"/>
              <w:snapToGrid w:val="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饶河县农村综合改革试点试验（二期）项目-四排村供热保障提升项目</w:t>
            </w:r>
          </w:p>
        </w:tc>
      </w:tr>
      <w:tr w14:paraId="4542D6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24" w:type="dxa"/>
            <w:noWrap w:val="0"/>
            <w:tcMar>
              <w:top w:w="16" w:type="dxa"/>
              <w:left w:w="16" w:type="dxa"/>
              <w:right w:w="16" w:type="dxa"/>
            </w:tcMar>
            <w:vAlign w:val="center"/>
          </w:tcPr>
          <w:p w14:paraId="304D40A6">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项目代码</w:t>
            </w:r>
          </w:p>
        </w:tc>
        <w:tc>
          <w:tcPr>
            <w:tcW w:w="7903" w:type="dxa"/>
            <w:gridSpan w:val="3"/>
            <w:noWrap w:val="0"/>
            <w:vAlign w:val="center"/>
          </w:tcPr>
          <w:p w14:paraId="52F6931E">
            <w:pPr>
              <w:adjustRightInd w:val="0"/>
              <w:snapToGrid w:val="0"/>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w:t>
            </w:r>
          </w:p>
        </w:tc>
      </w:tr>
      <w:tr w14:paraId="40755C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24" w:type="dxa"/>
            <w:noWrap w:val="0"/>
            <w:tcMar>
              <w:top w:w="16" w:type="dxa"/>
              <w:left w:w="16" w:type="dxa"/>
              <w:right w:w="16" w:type="dxa"/>
            </w:tcMar>
            <w:vAlign w:val="center"/>
          </w:tcPr>
          <w:p w14:paraId="21760CFE">
            <w:pPr>
              <w:adjustRightInd w:val="0"/>
              <w:snapToGrid w:val="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建设单位联系人</w:t>
            </w:r>
          </w:p>
        </w:tc>
        <w:tc>
          <w:tcPr>
            <w:tcW w:w="2934" w:type="dxa"/>
            <w:noWrap w:val="0"/>
            <w:vAlign w:val="center"/>
          </w:tcPr>
          <w:p w14:paraId="09473D2B">
            <w:pPr>
              <w:adjustRightInd w:val="0"/>
              <w:snapToGrid w:val="0"/>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薛磊</w:t>
            </w:r>
          </w:p>
        </w:tc>
        <w:tc>
          <w:tcPr>
            <w:tcW w:w="1680" w:type="dxa"/>
            <w:noWrap w:val="0"/>
            <w:vAlign w:val="center"/>
          </w:tcPr>
          <w:p w14:paraId="365E1E06">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联系方式</w:t>
            </w:r>
          </w:p>
        </w:tc>
        <w:tc>
          <w:tcPr>
            <w:tcW w:w="3289" w:type="dxa"/>
            <w:noWrap w:val="0"/>
            <w:vAlign w:val="center"/>
          </w:tcPr>
          <w:p w14:paraId="282617E0">
            <w:pPr>
              <w:adjustRightInd w:val="0"/>
              <w:snapToGrid w:val="0"/>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13329330270</w:t>
            </w:r>
          </w:p>
        </w:tc>
      </w:tr>
      <w:tr w14:paraId="702196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24" w:type="dxa"/>
            <w:noWrap w:val="0"/>
            <w:tcMar>
              <w:top w:w="16" w:type="dxa"/>
              <w:left w:w="16" w:type="dxa"/>
              <w:right w:w="16" w:type="dxa"/>
            </w:tcMar>
            <w:vAlign w:val="center"/>
          </w:tcPr>
          <w:p w14:paraId="6311DB93">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建设地点</w:t>
            </w:r>
          </w:p>
        </w:tc>
        <w:tc>
          <w:tcPr>
            <w:tcW w:w="7903" w:type="dxa"/>
            <w:gridSpan w:val="3"/>
            <w:noWrap w:val="0"/>
            <w:vAlign w:val="center"/>
          </w:tcPr>
          <w:p w14:paraId="6B9CA8B6">
            <w:pPr>
              <w:adjustRightInd w:val="0"/>
              <w:snapToGrid w:val="0"/>
              <w:jc w:val="center"/>
              <w:rPr>
                <w:rFonts w:hint="eastAsia"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u w:val="none"/>
                <w:lang w:val="en-US" w:eastAsia="zh-CN"/>
              </w:rPr>
              <w:t>黑龙江</w:t>
            </w:r>
            <w:r>
              <w:rPr>
                <w:rFonts w:hint="default" w:ascii="Times New Roman" w:hAnsi="Times New Roman" w:cs="Times New Roman"/>
                <w:color w:val="auto"/>
                <w:sz w:val="24"/>
                <w:szCs w:val="24"/>
                <w:highlight w:val="none"/>
                <w:u w:val="none"/>
              </w:rPr>
              <w:t>省</w:t>
            </w:r>
            <w:r>
              <w:rPr>
                <w:rFonts w:hint="eastAsia" w:cs="Times New Roman"/>
                <w:color w:val="auto"/>
                <w:sz w:val="24"/>
                <w:szCs w:val="24"/>
                <w:highlight w:val="none"/>
                <w:u w:val="none"/>
                <w:lang w:val="en-US" w:eastAsia="zh-CN"/>
              </w:rPr>
              <w:t>双鸭山</w:t>
            </w:r>
            <w:r>
              <w:rPr>
                <w:rFonts w:hint="default" w:ascii="Times New Roman" w:hAnsi="Times New Roman" w:cs="Times New Roman"/>
                <w:color w:val="auto"/>
                <w:sz w:val="24"/>
                <w:szCs w:val="24"/>
                <w:highlight w:val="none"/>
                <w:u w:val="none"/>
              </w:rPr>
              <w:t>市</w:t>
            </w:r>
            <w:r>
              <w:rPr>
                <w:rFonts w:hint="eastAsia" w:cs="Times New Roman"/>
                <w:color w:val="auto"/>
                <w:sz w:val="24"/>
                <w:szCs w:val="24"/>
                <w:highlight w:val="none"/>
                <w:u w:val="none"/>
                <w:lang w:val="en-US" w:eastAsia="zh-CN"/>
              </w:rPr>
              <w:t>饶河</w:t>
            </w:r>
            <w:r>
              <w:rPr>
                <w:rFonts w:hint="default" w:ascii="Times New Roman" w:hAnsi="Times New Roman" w:cs="Times New Roman"/>
                <w:color w:val="auto"/>
                <w:sz w:val="24"/>
                <w:szCs w:val="24"/>
                <w:highlight w:val="none"/>
                <w:u w:val="none"/>
              </w:rPr>
              <w:t>县</w:t>
            </w:r>
            <w:r>
              <w:rPr>
                <w:rFonts w:hint="eastAsia" w:cs="Times New Roman"/>
                <w:color w:val="auto"/>
                <w:sz w:val="24"/>
                <w:szCs w:val="24"/>
                <w:highlight w:val="none"/>
                <w:u w:val="none"/>
                <w:lang w:val="en-US" w:eastAsia="zh-CN"/>
              </w:rPr>
              <w:t>四排乡四排村</w:t>
            </w:r>
          </w:p>
        </w:tc>
      </w:tr>
      <w:tr w14:paraId="0D3EBF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24" w:type="dxa"/>
            <w:noWrap w:val="0"/>
            <w:tcMar>
              <w:top w:w="16" w:type="dxa"/>
              <w:left w:w="16" w:type="dxa"/>
              <w:right w:w="16" w:type="dxa"/>
            </w:tcMar>
            <w:vAlign w:val="center"/>
          </w:tcPr>
          <w:p w14:paraId="524D00F3">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地理坐标</w:t>
            </w:r>
          </w:p>
        </w:tc>
        <w:tc>
          <w:tcPr>
            <w:tcW w:w="7903" w:type="dxa"/>
            <w:gridSpan w:val="3"/>
            <w:noWrap w:val="0"/>
            <w:vAlign w:val="center"/>
          </w:tcPr>
          <w:p w14:paraId="43993417">
            <w:pPr>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u w:val="single"/>
                <w:lang w:val="en-US" w:eastAsia="zh-CN"/>
              </w:rPr>
              <w:t>1</w:t>
            </w:r>
            <w:r>
              <w:rPr>
                <w:rFonts w:hint="eastAsia" w:cs="Times New Roman"/>
                <w:color w:val="auto"/>
                <w:sz w:val="24"/>
                <w:szCs w:val="24"/>
                <w:highlight w:val="none"/>
                <w:u w:val="single"/>
                <w:lang w:val="en-US" w:eastAsia="zh-CN"/>
              </w:rPr>
              <w:t>34</w:t>
            </w:r>
            <w:r>
              <w:rPr>
                <w:rFonts w:hint="default" w:ascii="Times New Roman" w:hAnsi="Times New Roman" w:cs="Times New Roman"/>
                <w:color w:val="auto"/>
                <w:sz w:val="24"/>
                <w:szCs w:val="24"/>
                <w:highlight w:val="none"/>
              </w:rPr>
              <w:t>度</w:t>
            </w:r>
            <w:r>
              <w:rPr>
                <w:rFonts w:hint="eastAsia" w:cs="Times New Roman"/>
                <w:color w:val="auto"/>
                <w:sz w:val="24"/>
                <w:szCs w:val="24"/>
                <w:highlight w:val="none"/>
                <w:u w:val="single"/>
                <w:lang w:val="en-US" w:eastAsia="zh-CN"/>
              </w:rPr>
              <w:t>2</w:t>
            </w:r>
            <w:r>
              <w:rPr>
                <w:rFonts w:hint="default" w:ascii="Times New Roman" w:hAnsi="Times New Roman" w:cs="Times New Roman"/>
                <w:color w:val="auto"/>
                <w:sz w:val="24"/>
                <w:szCs w:val="24"/>
                <w:highlight w:val="none"/>
              </w:rPr>
              <w:t>分</w:t>
            </w:r>
            <w:r>
              <w:rPr>
                <w:rFonts w:hint="eastAsia" w:cs="Times New Roman"/>
                <w:color w:val="auto"/>
                <w:sz w:val="24"/>
                <w:szCs w:val="24"/>
                <w:highlight w:val="none"/>
                <w:u w:val="single"/>
                <w:lang w:val="en-US" w:eastAsia="zh-CN"/>
              </w:rPr>
              <w:t>45</w:t>
            </w:r>
            <w:r>
              <w:rPr>
                <w:rFonts w:hint="default" w:ascii="Times New Roman" w:hAnsi="Times New Roman" w:cs="Times New Roman"/>
                <w:color w:val="auto"/>
                <w:sz w:val="24"/>
                <w:szCs w:val="24"/>
                <w:highlight w:val="none"/>
                <w:u w:val="single"/>
                <w:lang w:val="en-US" w:eastAsia="zh-CN"/>
              </w:rPr>
              <w:t>.</w:t>
            </w:r>
            <w:r>
              <w:rPr>
                <w:rFonts w:hint="eastAsia" w:cs="Times New Roman"/>
                <w:color w:val="auto"/>
                <w:sz w:val="24"/>
                <w:szCs w:val="24"/>
                <w:highlight w:val="none"/>
                <w:u w:val="single"/>
                <w:lang w:val="en-US" w:eastAsia="zh-CN"/>
              </w:rPr>
              <w:t>194</w:t>
            </w:r>
            <w:r>
              <w:rPr>
                <w:rFonts w:hint="default" w:ascii="Times New Roman" w:hAnsi="Times New Roman" w:cs="Times New Roman"/>
                <w:color w:val="auto"/>
                <w:sz w:val="24"/>
                <w:szCs w:val="24"/>
                <w:highlight w:val="none"/>
              </w:rPr>
              <w:t>秒，</w:t>
            </w:r>
            <w:r>
              <w:rPr>
                <w:rFonts w:hint="default" w:ascii="Times New Roman" w:hAnsi="Times New Roman" w:cs="Times New Roman"/>
                <w:color w:val="auto"/>
                <w:sz w:val="24"/>
                <w:szCs w:val="24"/>
                <w:highlight w:val="none"/>
                <w:u w:val="single"/>
                <w:lang w:val="en-US" w:eastAsia="zh-CN"/>
              </w:rPr>
              <w:t>4</w:t>
            </w:r>
            <w:r>
              <w:rPr>
                <w:rFonts w:hint="eastAsia" w:cs="Times New Roman"/>
                <w:color w:val="auto"/>
                <w:sz w:val="24"/>
                <w:szCs w:val="24"/>
                <w:highlight w:val="none"/>
                <w:u w:val="single"/>
                <w:lang w:val="en-US" w:eastAsia="zh-CN"/>
              </w:rPr>
              <w:t>6</w:t>
            </w:r>
            <w:r>
              <w:rPr>
                <w:rFonts w:hint="default" w:ascii="Times New Roman" w:hAnsi="Times New Roman" w:cs="Times New Roman"/>
                <w:color w:val="auto"/>
                <w:sz w:val="24"/>
                <w:szCs w:val="24"/>
                <w:highlight w:val="none"/>
              </w:rPr>
              <w:t>度</w:t>
            </w:r>
            <w:r>
              <w:rPr>
                <w:rFonts w:hint="eastAsia" w:cs="Times New Roman"/>
                <w:color w:val="auto"/>
                <w:sz w:val="24"/>
                <w:szCs w:val="24"/>
                <w:highlight w:val="none"/>
                <w:u w:val="single"/>
                <w:lang w:val="en-US" w:eastAsia="zh-CN"/>
              </w:rPr>
              <w:t>57</w:t>
            </w:r>
            <w:r>
              <w:rPr>
                <w:rFonts w:hint="default" w:ascii="Times New Roman" w:hAnsi="Times New Roman" w:cs="Times New Roman"/>
                <w:color w:val="auto"/>
                <w:sz w:val="24"/>
                <w:szCs w:val="24"/>
                <w:highlight w:val="none"/>
              </w:rPr>
              <w:t>分</w:t>
            </w:r>
            <w:r>
              <w:rPr>
                <w:rFonts w:hint="eastAsia" w:cs="Times New Roman"/>
                <w:color w:val="auto"/>
                <w:sz w:val="24"/>
                <w:szCs w:val="24"/>
                <w:highlight w:val="none"/>
                <w:u w:val="single"/>
                <w:lang w:val="en-US" w:eastAsia="zh-CN"/>
              </w:rPr>
              <w:t>54</w:t>
            </w:r>
            <w:r>
              <w:rPr>
                <w:rFonts w:hint="default" w:ascii="Times New Roman" w:hAnsi="Times New Roman" w:cs="Times New Roman"/>
                <w:color w:val="auto"/>
                <w:sz w:val="24"/>
                <w:szCs w:val="24"/>
                <w:highlight w:val="none"/>
                <w:u w:val="single"/>
                <w:lang w:val="en-US" w:eastAsia="zh-CN"/>
              </w:rPr>
              <w:t>.</w:t>
            </w:r>
            <w:r>
              <w:rPr>
                <w:rFonts w:hint="eastAsia" w:cs="Times New Roman"/>
                <w:color w:val="auto"/>
                <w:sz w:val="24"/>
                <w:szCs w:val="24"/>
                <w:highlight w:val="none"/>
                <w:u w:val="single"/>
                <w:lang w:val="en-US" w:eastAsia="zh-CN"/>
              </w:rPr>
              <w:t>789</w:t>
            </w:r>
            <w:r>
              <w:rPr>
                <w:rFonts w:hint="default" w:ascii="Times New Roman" w:hAnsi="Times New Roman" w:cs="Times New Roman"/>
                <w:color w:val="auto"/>
                <w:sz w:val="24"/>
                <w:szCs w:val="24"/>
                <w:highlight w:val="none"/>
              </w:rPr>
              <w:t>秒）</w:t>
            </w:r>
          </w:p>
        </w:tc>
      </w:tr>
      <w:tr w14:paraId="713963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39" w:hRule="atLeast"/>
          <w:jc w:val="center"/>
        </w:trPr>
        <w:tc>
          <w:tcPr>
            <w:tcW w:w="1724" w:type="dxa"/>
            <w:noWrap w:val="0"/>
            <w:tcMar>
              <w:top w:w="16" w:type="dxa"/>
              <w:left w:w="16" w:type="dxa"/>
              <w:right w:w="16" w:type="dxa"/>
            </w:tcMar>
            <w:vAlign w:val="center"/>
          </w:tcPr>
          <w:p w14:paraId="721CCD6B">
            <w:pPr>
              <w:adjustRightInd w:val="0"/>
              <w:snapToGrid w:val="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国民经济</w:t>
            </w:r>
          </w:p>
          <w:p w14:paraId="22FD24CF">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行业类别</w:t>
            </w:r>
          </w:p>
        </w:tc>
        <w:tc>
          <w:tcPr>
            <w:tcW w:w="2934" w:type="dxa"/>
            <w:noWrap w:val="0"/>
            <w:vAlign w:val="center"/>
          </w:tcPr>
          <w:p w14:paraId="46A36E3D">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24"/>
                <w:szCs w:val="24"/>
                <w:highlight w:val="none"/>
                <w:lang w:eastAsia="zh-CN"/>
              </w:rPr>
            </w:pPr>
            <w:r>
              <w:rPr>
                <w:rFonts w:hint="default" w:ascii="Times New Roman" w:hAnsi="Times New Roman" w:eastAsia="宋体" w:cs="Times New Roman"/>
                <w:color w:val="auto"/>
                <w:sz w:val="24"/>
                <w:szCs w:val="24"/>
                <w:highlight w:val="none"/>
              </w:rPr>
              <w:t>D4430热力生产和供应</w:t>
            </w:r>
          </w:p>
        </w:tc>
        <w:tc>
          <w:tcPr>
            <w:tcW w:w="1680" w:type="dxa"/>
            <w:noWrap w:val="0"/>
            <w:vAlign w:val="center"/>
          </w:tcPr>
          <w:p w14:paraId="0705957C">
            <w:pPr>
              <w:adjustRightInd w:val="0"/>
              <w:snapToGrid w:val="0"/>
              <w:jc w:val="center"/>
              <w:rPr>
                <w:rFonts w:ascii="宋体" w:hAnsi="宋体" w:cs="宋体"/>
                <w:color w:val="auto"/>
                <w:sz w:val="24"/>
                <w:szCs w:val="24"/>
                <w:highlight w:val="none"/>
              </w:rPr>
            </w:pPr>
            <w:bookmarkStart w:id="5" w:name="_Hlk49843745"/>
            <w:r>
              <w:rPr>
                <w:rFonts w:hint="eastAsia" w:ascii="宋体" w:hAnsi="宋体" w:cs="宋体"/>
                <w:color w:val="auto"/>
                <w:sz w:val="24"/>
                <w:szCs w:val="24"/>
                <w:highlight w:val="none"/>
              </w:rPr>
              <w:t>建设项目</w:t>
            </w:r>
          </w:p>
          <w:p w14:paraId="69E72689">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行业类别</w:t>
            </w:r>
            <w:bookmarkEnd w:id="5"/>
          </w:p>
        </w:tc>
        <w:tc>
          <w:tcPr>
            <w:tcW w:w="3289" w:type="dxa"/>
            <w:noWrap w:val="0"/>
            <w:vAlign w:val="center"/>
          </w:tcPr>
          <w:p w14:paraId="4E996266">
            <w:pPr>
              <w:adjustRightInd w:val="0"/>
              <w:snapToGrid w:val="0"/>
              <w:rPr>
                <w:rFonts w:ascii="宋体" w:hAnsi="宋体" w:cs="宋体"/>
                <w:color w:val="auto"/>
                <w:sz w:val="24"/>
                <w:szCs w:val="24"/>
                <w:highlight w:val="none"/>
              </w:rPr>
            </w:pPr>
            <w:r>
              <w:rPr>
                <w:rFonts w:hint="eastAsia" w:ascii="Times New Roman" w:hAnsi="Times New Roman" w:cs="Times New Roman"/>
                <w:color w:val="auto"/>
                <w:sz w:val="24"/>
                <w:szCs w:val="24"/>
                <w:highlight w:val="none"/>
              </w:rPr>
              <w:t>四十一、电力热力生产和供应业</w:t>
            </w:r>
            <w:r>
              <w:rPr>
                <w:rFonts w:ascii="Times New Roman" w:hAnsi="Times New Roman" w:cs="Times New Roman"/>
                <w:color w:val="auto"/>
                <w:sz w:val="24"/>
                <w:szCs w:val="24"/>
                <w:highlight w:val="none"/>
              </w:rPr>
              <w:t xml:space="preserve"> 91热力生产和供应工程（包括建设单位自建自用的供热工程）</w:t>
            </w:r>
          </w:p>
        </w:tc>
      </w:tr>
      <w:tr w14:paraId="77DD51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724" w:type="dxa"/>
            <w:noWrap w:val="0"/>
            <w:tcMar>
              <w:top w:w="16" w:type="dxa"/>
              <w:left w:w="16" w:type="dxa"/>
              <w:right w:w="16" w:type="dxa"/>
            </w:tcMar>
            <w:vAlign w:val="center"/>
          </w:tcPr>
          <w:p w14:paraId="678D718D">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建设性质</w:t>
            </w:r>
          </w:p>
        </w:tc>
        <w:tc>
          <w:tcPr>
            <w:tcW w:w="2934" w:type="dxa"/>
            <w:noWrap w:val="0"/>
            <w:vAlign w:val="center"/>
          </w:tcPr>
          <w:p w14:paraId="3EAC7FE3">
            <w:pPr>
              <w:jc w:val="left"/>
              <w:rPr>
                <w:rFonts w:ascii="宋体" w:hAnsi="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新建（迁建）</w:t>
            </w:r>
          </w:p>
          <w:p w14:paraId="06D26847">
            <w:pPr>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改建</w:t>
            </w:r>
          </w:p>
          <w:p w14:paraId="4C164E21">
            <w:pPr>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扩建</w:t>
            </w:r>
          </w:p>
          <w:p w14:paraId="651DC3A2">
            <w:pPr>
              <w:jc w:val="left"/>
              <w:rPr>
                <w:rFonts w:ascii="宋体" w:hAnsi="宋体" w:cs="宋体"/>
                <w:color w:val="auto"/>
                <w:sz w:val="24"/>
                <w:szCs w:val="24"/>
                <w:highlight w:val="none"/>
              </w:rPr>
            </w:pPr>
            <w:r>
              <w:rPr>
                <w:rFonts w:hint="eastAsia" w:ascii="宋体" w:hAnsi="宋体" w:cs="宋体"/>
                <w:color w:val="auto"/>
                <w:sz w:val="24"/>
                <w:szCs w:val="24"/>
                <w:highlight w:val="none"/>
              </w:rPr>
              <w:t>□技术改造</w:t>
            </w:r>
          </w:p>
        </w:tc>
        <w:tc>
          <w:tcPr>
            <w:tcW w:w="1680" w:type="dxa"/>
            <w:noWrap w:val="0"/>
            <w:vAlign w:val="center"/>
          </w:tcPr>
          <w:p w14:paraId="05C4E6EE">
            <w:pPr>
              <w:adjustRightInd w:val="0"/>
              <w:snapToGrid w:val="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建设项目</w:t>
            </w:r>
          </w:p>
          <w:p w14:paraId="591F27C4">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申报情形</w:t>
            </w:r>
          </w:p>
        </w:tc>
        <w:tc>
          <w:tcPr>
            <w:tcW w:w="3289" w:type="dxa"/>
            <w:noWrap w:val="0"/>
            <w:vAlign w:val="center"/>
          </w:tcPr>
          <w:p w14:paraId="524802F3">
            <w:pPr>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首次申报项目</w:t>
            </w:r>
          </w:p>
          <w:p w14:paraId="4B5A5CCB">
            <w:pPr>
              <w:jc w:val="left"/>
              <w:rPr>
                <w:rFonts w:ascii="宋体" w:hAnsi="宋体" w:cs="宋体"/>
                <w:color w:val="auto"/>
                <w:sz w:val="24"/>
                <w:szCs w:val="24"/>
                <w:highlight w:val="none"/>
              </w:rPr>
            </w:pPr>
            <w:r>
              <w:rPr>
                <w:rFonts w:hint="eastAsia" w:ascii="宋体" w:hAnsi="宋体" w:cs="宋体"/>
                <w:color w:val="auto"/>
                <w:sz w:val="24"/>
                <w:szCs w:val="24"/>
                <w:highlight w:val="none"/>
              </w:rPr>
              <w:t>□不予批准后再次申报项目</w:t>
            </w:r>
          </w:p>
          <w:p w14:paraId="209E96E2">
            <w:pPr>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sym w:font="Wingdings 2" w:char="00A3"/>
            </w:r>
            <w:r>
              <w:rPr>
                <w:rFonts w:hint="eastAsia" w:ascii="宋体" w:hAnsi="宋体" w:cs="宋体"/>
                <w:color w:val="auto"/>
                <w:sz w:val="24"/>
                <w:szCs w:val="24"/>
                <w:highlight w:val="none"/>
              </w:rPr>
              <w:t>超五年重新审核项目</w:t>
            </w:r>
          </w:p>
          <w:p w14:paraId="67439137">
            <w:pPr>
              <w:jc w:val="left"/>
              <w:rPr>
                <w:rFonts w:ascii="宋体" w:hAnsi="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重大变动重新报批项目</w:t>
            </w:r>
          </w:p>
        </w:tc>
      </w:tr>
      <w:tr w14:paraId="5F892A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724" w:type="dxa"/>
            <w:noWrap w:val="0"/>
            <w:tcMar>
              <w:top w:w="16" w:type="dxa"/>
              <w:left w:w="16" w:type="dxa"/>
              <w:right w:w="16" w:type="dxa"/>
            </w:tcMar>
            <w:vAlign w:val="center"/>
          </w:tcPr>
          <w:p w14:paraId="3F18B94F">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项目审批（核准/</w:t>
            </w:r>
          </w:p>
          <w:p w14:paraId="17CE67E2">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备案）部门（选填）</w:t>
            </w:r>
          </w:p>
        </w:tc>
        <w:tc>
          <w:tcPr>
            <w:tcW w:w="2934" w:type="dxa"/>
            <w:noWrap w:val="0"/>
            <w:vAlign w:val="center"/>
          </w:tcPr>
          <w:p w14:paraId="4E6FAD20">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w:t>
            </w:r>
          </w:p>
        </w:tc>
        <w:tc>
          <w:tcPr>
            <w:tcW w:w="1680" w:type="dxa"/>
            <w:noWrap w:val="0"/>
            <w:vAlign w:val="center"/>
          </w:tcPr>
          <w:p w14:paraId="5BCE3637">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项目审批（核准/</w:t>
            </w:r>
          </w:p>
          <w:p w14:paraId="3387A71B">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备案）文号（选填）</w:t>
            </w:r>
          </w:p>
        </w:tc>
        <w:tc>
          <w:tcPr>
            <w:tcW w:w="3289" w:type="dxa"/>
            <w:noWrap w:val="0"/>
            <w:vAlign w:val="center"/>
          </w:tcPr>
          <w:p w14:paraId="6282C4E2">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w:t>
            </w:r>
          </w:p>
        </w:tc>
      </w:tr>
      <w:tr w14:paraId="55FB5A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27" w:hRule="atLeast"/>
          <w:jc w:val="center"/>
        </w:trPr>
        <w:tc>
          <w:tcPr>
            <w:tcW w:w="1724" w:type="dxa"/>
            <w:noWrap w:val="0"/>
            <w:tcMar>
              <w:top w:w="16" w:type="dxa"/>
              <w:left w:w="16" w:type="dxa"/>
              <w:right w:w="16" w:type="dxa"/>
            </w:tcMar>
            <w:vAlign w:val="center"/>
          </w:tcPr>
          <w:p w14:paraId="22AB9E64">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总投资（万元）</w:t>
            </w:r>
          </w:p>
        </w:tc>
        <w:tc>
          <w:tcPr>
            <w:tcW w:w="2934" w:type="dxa"/>
            <w:noWrap w:val="0"/>
            <w:vAlign w:val="center"/>
          </w:tcPr>
          <w:p w14:paraId="7420B32A">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620</w:t>
            </w:r>
          </w:p>
        </w:tc>
        <w:tc>
          <w:tcPr>
            <w:tcW w:w="1680" w:type="dxa"/>
            <w:noWrap w:val="0"/>
            <w:tcMar>
              <w:top w:w="16" w:type="dxa"/>
              <w:left w:w="16" w:type="dxa"/>
              <w:right w:w="16" w:type="dxa"/>
            </w:tcMar>
            <w:vAlign w:val="center"/>
          </w:tcPr>
          <w:p w14:paraId="7A9EF70A">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环保投资（万元）</w:t>
            </w:r>
          </w:p>
        </w:tc>
        <w:tc>
          <w:tcPr>
            <w:tcW w:w="3289" w:type="dxa"/>
            <w:noWrap w:val="0"/>
            <w:vAlign w:val="center"/>
          </w:tcPr>
          <w:p w14:paraId="5F35C04E">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32</w:t>
            </w:r>
          </w:p>
        </w:tc>
      </w:tr>
      <w:tr w14:paraId="6732AA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24" w:type="dxa"/>
            <w:noWrap w:val="0"/>
            <w:tcMar>
              <w:top w:w="16" w:type="dxa"/>
              <w:left w:w="16" w:type="dxa"/>
              <w:right w:w="16" w:type="dxa"/>
            </w:tcMar>
            <w:vAlign w:val="center"/>
          </w:tcPr>
          <w:p w14:paraId="7587D240">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环保投资占比（%）</w:t>
            </w:r>
          </w:p>
        </w:tc>
        <w:tc>
          <w:tcPr>
            <w:tcW w:w="2934" w:type="dxa"/>
            <w:noWrap w:val="0"/>
            <w:vAlign w:val="center"/>
          </w:tcPr>
          <w:p w14:paraId="1492648A">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5.16</w:t>
            </w:r>
          </w:p>
        </w:tc>
        <w:tc>
          <w:tcPr>
            <w:tcW w:w="1680" w:type="dxa"/>
            <w:noWrap w:val="0"/>
            <w:tcMar>
              <w:top w:w="16" w:type="dxa"/>
              <w:left w:w="16" w:type="dxa"/>
              <w:right w:w="16" w:type="dxa"/>
            </w:tcMar>
            <w:vAlign w:val="center"/>
          </w:tcPr>
          <w:p w14:paraId="03FCC3F6">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施工工期</w:t>
            </w:r>
          </w:p>
        </w:tc>
        <w:tc>
          <w:tcPr>
            <w:tcW w:w="3289" w:type="dxa"/>
            <w:noWrap w:val="0"/>
            <w:vAlign w:val="center"/>
          </w:tcPr>
          <w:p w14:paraId="0044683D">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202</w:t>
            </w:r>
            <w:r>
              <w:rPr>
                <w:rFonts w:hint="eastAsia"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年</w:t>
            </w:r>
            <w:r>
              <w:rPr>
                <w:rFonts w:hint="eastAsia" w:cs="Times New Roman"/>
                <w:color w:val="auto"/>
                <w:sz w:val="24"/>
                <w:szCs w:val="24"/>
                <w:highlight w:val="none"/>
                <w:lang w:val="en-US" w:eastAsia="zh-CN"/>
              </w:rPr>
              <w:t>10月</w:t>
            </w:r>
            <w:r>
              <w:rPr>
                <w:rFonts w:hint="default" w:ascii="Times New Roman" w:hAnsi="Times New Roman" w:eastAsia="宋体" w:cs="Times New Roman"/>
                <w:color w:val="auto"/>
                <w:sz w:val="24"/>
                <w:szCs w:val="24"/>
                <w:highlight w:val="none"/>
                <w:lang w:val="en-US" w:eastAsia="zh-CN"/>
              </w:rPr>
              <w:t>~202</w:t>
            </w:r>
            <w:r>
              <w:rPr>
                <w:rFonts w:hint="eastAsia"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lang w:val="en-US" w:eastAsia="zh-CN"/>
              </w:rPr>
              <w:t>年</w:t>
            </w:r>
            <w:r>
              <w:rPr>
                <w:rFonts w:hint="eastAsia"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lang w:val="en-US" w:eastAsia="zh-CN"/>
              </w:rPr>
              <w:t>月</w:t>
            </w:r>
          </w:p>
        </w:tc>
      </w:tr>
      <w:tr w14:paraId="4EB613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24" w:type="dxa"/>
            <w:noWrap w:val="0"/>
            <w:tcMar>
              <w:top w:w="16" w:type="dxa"/>
              <w:left w:w="16" w:type="dxa"/>
              <w:right w:w="16" w:type="dxa"/>
            </w:tcMar>
            <w:vAlign w:val="center"/>
          </w:tcPr>
          <w:p w14:paraId="70028B97">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是否开工建设</w:t>
            </w:r>
          </w:p>
        </w:tc>
        <w:tc>
          <w:tcPr>
            <w:tcW w:w="2934" w:type="dxa"/>
            <w:noWrap w:val="0"/>
            <w:vAlign w:val="center"/>
          </w:tcPr>
          <w:p w14:paraId="11F93633">
            <w:pPr>
              <w:adjustRightInd w:val="0"/>
              <w:snapToGrid w:val="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2" w:char="0052"/>
            </w:r>
            <w:r>
              <w:rPr>
                <w:rFonts w:hint="default" w:ascii="Times New Roman" w:hAnsi="Times New Roman" w:eastAsia="宋体" w:cs="Times New Roman"/>
                <w:color w:val="auto"/>
                <w:sz w:val="24"/>
                <w:szCs w:val="24"/>
                <w:highlight w:val="none"/>
              </w:rPr>
              <w:t>否</w:t>
            </w:r>
          </w:p>
          <w:p w14:paraId="30011033">
            <w:pPr>
              <w:adjustRightInd w:val="0"/>
              <w:snapToGrid w:val="0"/>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sz w:val="24"/>
                <w:szCs w:val="24"/>
                <w:highlight w:val="none"/>
              </w:rPr>
              <w:sym w:font="Wingdings 2" w:char="00A3"/>
            </w:r>
            <w:r>
              <w:rPr>
                <w:rFonts w:hint="default" w:ascii="Times New Roman" w:hAnsi="Times New Roman" w:eastAsia="宋体" w:cs="Times New Roman"/>
                <w:color w:val="auto"/>
                <w:sz w:val="24"/>
                <w:szCs w:val="24"/>
                <w:highlight w:val="none"/>
              </w:rPr>
              <w:t>是：</w:t>
            </w:r>
            <w:r>
              <w:rPr>
                <w:rFonts w:hint="eastAsia" w:cs="Times New Roman"/>
                <w:color w:val="auto"/>
                <w:sz w:val="24"/>
                <w:szCs w:val="24"/>
                <w:highlight w:val="none"/>
                <w:u w:val="single"/>
                <w:lang w:val="en-US" w:eastAsia="zh-CN"/>
              </w:rPr>
              <w:t xml:space="preserve">             </w:t>
            </w:r>
          </w:p>
        </w:tc>
        <w:tc>
          <w:tcPr>
            <w:tcW w:w="1680" w:type="dxa"/>
            <w:noWrap w:val="0"/>
            <w:tcMar>
              <w:top w:w="16" w:type="dxa"/>
              <w:left w:w="16" w:type="dxa"/>
              <w:right w:w="16" w:type="dxa"/>
            </w:tcMar>
            <w:vAlign w:val="center"/>
          </w:tcPr>
          <w:p w14:paraId="6C9BC609">
            <w:pPr>
              <w:adjustRightInd w:val="0"/>
              <w:snapToGrid w:val="0"/>
              <w:jc w:val="center"/>
              <w:rPr>
                <w:rFonts w:hint="default" w:ascii="Times New Roman" w:hAnsi="Times New Roman" w:eastAsia="宋体" w:cs="Times New Roman"/>
                <w:color w:val="auto"/>
                <w:spacing w:val="-6"/>
                <w:sz w:val="24"/>
                <w:szCs w:val="24"/>
                <w:highlight w:val="none"/>
              </w:rPr>
            </w:pPr>
            <w:r>
              <w:rPr>
                <w:rFonts w:hint="default" w:ascii="Times New Roman" w:hAnsi="Times New Roman" w:eastAsia="宋体" w:cs="Times New Roman"/>
                <w:color w:val="auto"/>
                <w:spacing w:val="-6"/>
                <w:sz w:val="24"/>
                <w:szCs w:val="24"/>
                <w:highlight w:val="none"/>
              </w:rPr>
              <w:t>用地（用海）</w:t>
            </w:r>
          </w:p>
          <w:p w14:paraId="7E4651F0">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6"/>
                <w:sz w:val="24"/>
                <w:szCs w:val="24"/>
                <w:highlight w:val="none"/>
              </w:rPr>
              <w:t>面积（m</w:t>
            </w:r>
            <w:r>
              <w:rPr>
                <w:rFonts w:hint="default" w:ascii="Times New Roman" w:hAnsi="Times New Roman" w:eastAsia="宋体" w:cs="Times New Roman"/>
                <w:color w:val="auto"/>
                <w:spacing w:val="-6"/>
                <w:sz w:val="24"/>
                <w:szCs w:val="24"/>
                <w:highlight w:val="none"/>
                <w:vertAlign w:val="superscript"/>
              </w:rPr>
              <w:t>2</w:t>
            </w:r>
            <w:r>
              <w:rPr>
                <w:rFonts w:hint="default" w:ascii="Times New Roman" w:hAnsi="Times New Roman" w:eastAsia="宋体" w:cs="Times New Roman"/>
                <w:color w:val="auto"/>
                <w:spacing w:val="-6"/>
                <w:sz w:val="24"/>
                <w:szCs w:val="24"/>
                <w:highlight w:val="none"/>
              </w:rPr>
              <w:t>）</w:t>
            </w:r>
          </w:p>
        </w:tc>
        <w:tc>
          <w:tcPr>
            <w:tcW w:w="3289" w:type="dxa"/>
            <w:noWrap w:val="0"/>
            <w:vAlign w:val="center"/>
          </w:tcPr>
          <w:p w14:paraId="2EFCA9C7">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3752.89</w:t>
            </w:r>
          </w:p>
        </w:tc>
      </w:tr>
      <w:tr w14:paraId="0D6D35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724" w:type="dxa"/>
            <w:noWrap w:val="0"/>
            <w:vAlign w:val="center"/>
          </w:tcPr>
          <w:p w14:paraId="3D04C920">
            <w:pPr>
              <w:autoSpaceDE w:val="0"/>
              <w:autoSpaceDN w:val="0"/>
              <w:adjustRightInd w:val="0"/>
              <w:snapToGrid w:val="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专项评价设置情况</w:t>
            </w:r>
          </w:p>
        </w:tc>
        <w:tc>
          <w:tcPr>
            <w:tcW w:w="7903" w:type="dxa"/>
            <w:gridSpan w:val="3"/>
            <w:noWrap w:val="0"/>
            <w:vAlign w:val="center"/>
          </w:tcPr>
          <w:p w14:paraId="30C99132">
            <w:pPr>
              <w:keepNext w:val="0"/>
              <w:keepLines w:val="0"/>
              <w:pageBreakBefore w:val="0"/>
              <w:widowControl w:val="0"/>
              <w:numPr>
                <w:ilvl w:val="0"/>
                <w:numId w:val="0"/>
              </w:numPr>
              <w:kinsoku/>
              <w:wordWrap/>
              <w:overflowPunct/>
              <w:topLinePunct w:val="0"/>
              <w:autoSpaceDE/>
              <w:autoSpaceDN/>
              <w:bidi w:val="0"/>
              <w:adjustRightInd/>
              <w:snapToGrid/>
              <w:spacing w:before="0" w:beforeLines="0"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 xml:space="preserve">表1-1  </w:t>
            </w:r>
            <w:r>
              <w:rPr>
                <w:rFonts w:hint="default" w:ascii="Times New Roman" w:hAnsi="Times New Roman" w:eastAsia="宋体" w:cs="Times New Roman"/>
                <w:b/>
                <w:bCs/>
                <w:color w:val="auto"/>
                <w:sz w:val="21"/>
                <w:szCs w:val="21"/>
                <w:highlight w:val="none"/>
              </w:rPr>
              <w:t>专项评价设置原则表</w:t>
            </w:r>
          </w:p>
          <w:tbl>
            <w:tblPr>
              <w:tblStyle w:val="20"/>
              <w:tblW w:w="5000" w:type="pct"/>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191"/>
              <w:gridCol w:w="3333"/>
              <w:gridCol w:w="2160"/>
              <w:gridCol w:w="1002"/>
            </w:tblGrid>
            <w:tr w14:paraId="4A950BEE">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07" w:type="dxa"/>
                  <w:tcBorders>
                    <w:tl2br w:val="nil"/>
                    <w:tr2bl w:val="nil"/>
                  </w:tcBorders>
                  <w:noWrap w:val="0"/>
                  <w:vAlign w:val="center"/>
                </w:tcPr>
                <w:p w14:paraId="47DCEF59">
                  <w:pPr>
                    <w:spacing w:line="240" w:lineRule="auto"/>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专项评价的类别</w:t>
                  </w:r>
                </w:p>
              </w:tc>
              <w:tc>
                <w:tcPr>
                  <w:tcW w:w="3099" w:type="dxa"/>
                  <w:tcBorders>
                    <w:tl2br w:val="nil"/>
                    <w:tr2bl w:val="nil"/>
                  </w:tcBorders>
                  <w:noWrap w:val="0"/>
                  <w:vAlign w:val="center"/>
                </w:tcPr>
                <w:p w14:paraId="3BE41672">
                  <w:pPr>
                    <w:spacing w:line="240" w:lineRule="auto"/>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设置原则</w:t>
                  </w:r>
                </w:p>
              </w:tc>
              <w:tc>
                <w:tcPr>
                  <w:tcW w:w="2009" w:type="dxa"/>
                  <w:tcBorders>
                    <w:tl2br w:val="nil"/>
                    <w:tr2bl w:val="nil"/>
                  </w:tcBorders>
                  <w:noWrap w:val="0"/>
                  <w:vAlign w:val="center"/>
                </w:tcPr>
                <w:p w14:paraId="41CD998C">
                  <w:pPr>
                    <w:spacing w:line="240" w:lineRule="auto"/>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本项目情况</w:t>
                  </w:r>
                </w:p>
              </w:tc>
              <w:tc>
                <w:tcPr>
                  <w:tcW w:w="932" w:type="dxa"/>
                  <w:tcBorders>
                    <w:tl2br w:val="nil"/>
                    <w:tr2bl w:val="nil"/>
                  </w:tcBorders>
                  <w:noWrap w:val="0"/>
                  <w:vAlign w:val="center"/>
                </w:tcPr>
                <w:p w14:paraId="18984970">
                  <w:pPr>
                    <w:spacing w:line="240" w:lineRule="auto"/>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设置情况</w:t>
                  </w:r>
                </w:p>
              </w:tc>
            </w:tr>
            <w:tr w14:paraId="3F359CD7">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113" w:hRule="atLeast"/>
                <w:jc w:val="center"/>
              </w:trPr>
              <w:tc>
                <w:tcPr>
                  <w:tcW w:w="1107" w:type="dxa"/>
                  <w:tcBorders>
                    <w:tl2br w:val="nil"/>
                    <w:tr2bl w:val="nil"/>
                  </w:tcBorders>
                  <w:noWrap w:val="0"/>
                  <w:vAlign w:val="center"/>
                </w:tcPr>
                <w:p w14:paraId="019DCE59">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w:t>
                  </w:r>
                </w:p>
              </w:tc>
              <w:tc>
                <w:tcPr>
                  <w:tcW w:w="3099" w:type="dxa"/>
                  <w:tcBorders>
                    <w:tl2br w:val="nil"/>
                    <w:tr2bl w:val="nil"/>
                  </w:tcBorders>
                  <w:noWrap w:val="0"/>
                  <w:vAlign w:val="center"/>
                </w:tcPr>
                <w:p w14:paraId="201F5378">
                  <w:pPr>
                    <w:pStyle w:val="42"/>
                    <w:bidi w:val="0"/>
                    <w:rPr>
                      <w:rFonts w:hint="default"/>
                      <w:color w:val="auto"/>
                      <w:sz w:val="21"/>
                      <w:szCs w:val="21"/>
                      <w:highlight w:val="none"/>
                    </w:rPr>
                  </w:pPr>
                  <w:r>
                    <w:rPr>
                      <w:rFonts w:hint="default"/>
                      <w:color w:val="auto"/>
                      <w:sz w:val="21"/>
                      <w:szCs w:val="21"/>
                      <w:highlight w:val="none"/>
                    </w:rPr>
                    <w:t>排放废气含有毒有害污染物1、二噁英、苯并[a]芘、氰化物、氯气且厂界外500米范围内有环境空气保护目标</w:t>
                  </w:r>
                  <w:r>
                    <w:rPr>
                      <w:rFonts w:hint="default"/>
                      <w:color w:val="auto"/>
                      <w:sz w:val="21"/>
                      <w:szCs w:val="21"/>
                      <w:highlight w:val="none"/>
                      <w:vertAlign w:val="superscript"/>
                    </w:rPr>
                    <w:t>2</w:t>
                  </w:r>
                  <w:r>
                    <w:rPr>
                      <w:rFonts w:hint="default"/>
                      <w:color w:val="auto"/>
                      <w:sz w:val="21"/>
                      <w:szCs w:val="21"/>
                      <w:highlight w:val="none"/>
                    </w:rPr>
                    <w:t>的建设项目</w:t>
                  </w:r>
                </w:p>
              </w:tc>
              <w:tc>
                <w:tcPr>
                  <w:tcW w:w="2009" w:type="dxa"/>
                  <w:tcBorders>
                    <w:tl2br w:val="nil"/>
                    <w:tr2bl w:val="nil"/>
                  </w:tcBorders>
                  <w:noWrap w:val="0"/>
                  <w:vAlign w:val="center"/>
                </w:tcPr>
                <w:p w14:paraId="0D243DB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项目废气排放污染物为</w:t>
                  </w:r>
                  <w:r>
                    <w:rPr>
                      <w:rFonts w:hint="default" w:ascii="Times New Roman" w:hAnsi="Times New Roman" w:cs="Times New Roman"/>
                      <w:color w:val="auto"/>
                      <w:sz w:val="21"/>
                      <w:szCs w:val="21"/>
                      <w:highlight w:val="none"/>
                      <w:lang w:val="en-US" w:eastAsia="zh-CN"/>
                    </w:rPr>
                    <w:t>颗粒物、二氧化硫、氮氧化物</w:t>
                  </w:r>
                  <w:r>
                    <w:rPr>
                      <w:rFonts w:hint="default" w:ascii="Times New Roman" w:hAnsi="Times New Roman" w:cs="Times New Roman"/>
                      <w:b w:val="0"/>
                      <w:bCs w:val="0"/>
                      <w:color w:val="auto"/>
                      <w:sz w:val="21"/>
                      <w:szCs w:val="21"/>
                      <w:highlight w:val="none"/>
                      <w:vertAlign w:val="baseline"/>
                      <w:lang w:val="en-US" w:eastAsia="zh-CN"/>
                    </w:rPr>
                    <w:t>、烟气黑度，</w:t>
                  </w:r>
                  <w:r>
                    <w:rPr>
                      <w:rFonts w:hint="default" w:ascii="Times New Roman" w:hAnsi="Times New Roman" w:eastAsia="宋体" w:cs="Times New Roman"/>
                      <w:color w:val="auto"/>
                      <w:sz w:val="21"/>
                      <w:szCs w:val="21"/>
                      <w:highlight w:val="none"/>
                      <w:lang w:val="en-US" w:eastAsia="zh-CN"/>
                    </w:rPr>
                    <w:t>不涉及</w:t>
                  </w:r>
                  <w:r>
                    <w:rPr>
                      <w:rFonts w:hint="default" w:ascii="Times New Roman" w:hAnsi="Times New Roman" w:cs="Times New Roman"/>
                      <w:color w:val="auto"/>
                      <w:sz w:val="21"/>
                      <w:szCs w:val="21"/>
                      <w:highlight w:val="none"/>
                    </w:rPr>
                    <w:t>二噁英、苯并[a]芘</w:t>
                  </w:r>
                  <w:r>
                    <w:rPr>
                      <w:rFonts w:hint="default"/>
                      <w:color w:val="auto"/>
                      <w:sz w:val="21"/>
                      <w:szCs w:val="21"/>
                      <w:highlight w:val="none"/>
                    </w:rPr>
                    <w:t>、氰化物、氯气</w:t>
                  </w:r>
                  <w:r>
                    <w:rPr>
                      <w:rFonts w:hint="eastAsia"/>
                      <w:color w:val="auto"/>
                      <w:sz w:val="21"/>
                      <w:szCs w:val="21"/>
                      <w:highlight w:val="none"/>
                      <w:lang w:val="en-US" w:eastAsia="zh-CN"/>
                    </w:rPr>
                    <w:t>等有毒有害污染物。</w:t>
                  </w:r>
                </w:p>
              </w:tc>
              <w:tc>
                <w:tcPr>
                  <w:tcW w:w="932" w:type="dxa"/>
                  <w:tcBorders>
                    <w:tl2br w:val="nil"/>
                    <w:tr2bl w:val="nil"/>
                  </w:tcBorders>
                  <w:noWrap w:val="0"/>
                  <w:vAlign w:val="center"/>
                </w:tcPr>
                <w:p w14:paraId="73BEC509">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不设置</w:t>
                  </w:r>
                </w:p>
              </w:tc>
            </w:tr>
            <w:tr w14:paraId="582AD724">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07" w:type="dxa"/>
                  <w:tcBorders>
                    <w:tl2br w:val="nil"/>
                    <w:tr2bl w:val="nil"/>
                  </w:tcBorders>
                  <w:noWrap w:val="0"/>
                  <w:vAlign w:val="center"/>
                </w:tcPr>
                <w:p w14:paraId="3FAE3BBB">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地表水</w:t>
                  </w:r>
                </w:p>
              </w:tc>
              <w:tc>
                <w:tcPr>
                  <w:tcW w:w="3099" w:type="dxa"/>
                  <w:tcBorders>
                    <w:tl2br w:val="nil"/>
                    <w:tr2bl w:val="nil"/>
                  </w:tcBorders>
                  <w:noWrap w:val="0"/>
                  <w:vAlign w:val="center"/>
                </w:tcPr>
                <w:p w14:paraId="33AF3DB3">
                  <w:pPr>
                    <w:pStyle w:val="42"/>
                    <w:bidi w:val="0"/>
                    <w:rPr>
                      <w:rFonts w:hint="default"/>
                      <w:color w:val="auto"/>
                      <w:sz w:val="21"/>
                      <w:szCs w:val="21"/>
                      <w:highlight w:val="none"/>
                    </w:rPr>
                  </w:pPr>
                  <w:r>
                    <w:rPr>
                      <w:rFonts w:hint="default"/>
                      <w:color w:val="auto"/>
                      <w:sz w:val="21"/>
                      <w:szCs w:val="21"/>
                      <w:highlight w:val="none"/>
                    </w:rPr>
                    <w:t>新增工业废水直排建设项目（槽罐车外送</w:t>
                  </w:r>
                  <w:r>
                    <w:rPr>
                      <w:rFonts w:hint="eastAsia"/>
                      <w:color w:val="auto"/>
                      <w:sz w:val="21"/>
                      <w:szCs w:val="21"/>
                      <w:highlight w:val="none"/>
                      <w:lang w:eastAsia="zh-CN"/>
                    </w:rPr>
                    <w:t>污水处理厂</w:t>
                  </w:r>
                  <w:r>
                    <w:rPr>
                      <w:rFonts w:hint="default"/>
                      <w:color w:val="auto"/>
                      <w:sz w:val="21"/>
                      <w:szCs w:val="21"/>
                      <w:highlight w:val="none"/>
                    </w:rPr>
                    <w:t>的除外）；新增废水直排的污水集中处理厂</w:t>
                  </w:r>
                </w:p>
              </w:tc>
              <w:tc>
                <w:tcPr>
                  <w:tcW w:w="2009" w:type="dxa"/>
                  <w:tcBorders>
                    <w:tl2br w:val="nil"/>
                    <w:tr2bl w:val="nil"/>
                  </w:tcBorders>
                  <w:noWrap w:val="0"/>
                  <w:vAlign w:val="center"/>
                </w:tcPr>
                <w:p w14:paraId="6EE777F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项目不属于工业废水直排建设项目、废水直排的污水处理厂。</w:t>
                  </w:r>
                </w:p>
              </w:tc>
              <w:tc>
                <w:tcPr>
                  <w:tcW w:w="932" w:type="dxa"/>
                  <w:tcBorders>
                    <w:tl2br w:val="nil"/>
                    <w:tr2bl w:val="nil"/>
                  </w:tcBorders>
                  <w:noWrap w:val="0"/>
                  <w:vAlign w:val="center"/>
                </w:tcPr>
                <w:p w14:paraId="6A5492D7">
                  <w:pPr>
                    <w:spacing w:line="240" w:lineRule="auto"/>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不设置</w:t>
                  </w:r>
                </w:p>
              </w:tc>
            </w:tr>
            <w:tr w14:paraId="1C93D3EB">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07" w:type="dxa"/>
                  <w:tcBorders>
                    <w:tl2br w:val="nil"/>
                    <w:tr2bl w:val="nil"/>
                  </w:tcBorders>
                  <w:noWrap w:val="0"/>
                  <w:vAlign w:val="center"/>
                </w:tcPr>
                <w:p w14:paraId="1D384D23">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环境风险</w:t>
                  </w:r>
                </w:p>
              </w:tc>
              <w:tc>
                <w:tcPr>
                  <w:tcW w:w="3099" w:type="dxa"/>
                  <w:tcBorders>
                    <w:tl2br w:val="nil"/>
                    <w:tr2bl w:val="nil"/>
                  </w:tcBorders>
                  <w:noWrap w:val="0"/>
                  <w:vAlign w:val="center"/>
                </w:tcPr>
                <w:p w14:paraId="663445DF">
                  <w:pPr>
                    <w:pStyle w:val="42"/>
                    <w:bidi w:val="0"/>
                    <w:rPr>
                      <w:rFonts w:hint="default"/>
                      <w:color w:val="auto"/>
                      <w:sz w:val="21"/>
                      <w:szCs w:val="21"/>
                      <w:highlight w:val="none"/>
                    </w:rPr>
                  </w:pPr>
                  <w:r>
                    <w:rPr>
                      <w:rFonts w:hint="default"/>
                      <w:color w:val="auto"/>
                      <w:sz w:val="21"/>
                      <w:szCs w:val="21"/>
                      <w:highlight w:val="none"/>
                    </w:rPr>
                    <w:t>有毒有害和易燃易爆危险物质存储量超过临界量</w:t>
                  </w:r>
                  <w:r>
                    <w:rPr>
                      <w:rFonts w:hint="default"/>
                      <w:color w:val="auto"/>
                      <w:sz w:val="21"/>
                      <w:szCs w:val="21"/>
                      <w:highlight w:val="none"/>
                      <w:vertAlign w:val="superscript"/>
                    </w:rPr>
                    <w:t>3</w:t>
                  </w:r>
                  <w:r>
                    <w:rPr>
                      <w:rFonts w:hint="default"/>
                      <w:color w:val="auto"/>
                      <w:sz w:val="21"/>
                      <w:szCs w:val="21"/>
                      <w:highlight w:val="none"/>
                    </w:rPr>
                    <w:t>的建设项目</w:t>
                  </w:r>
                </w:p>
              </w:tc>
              <w:tc>
                <w:tcPr>
                  <w:tcW w:w="2009" w:type="dxa"/>
                  <w:tcBorders>
                    <w:tl2br w:val="nil"/>
                    <w:tr2bl w:val="nil"/>
                  </w:tcBorders>
                  <w:noWrap w:val="0"/>
                  <w:vAlign w:val="center"/>
                </w:tcPr>
                <w:p w14:paraId="3323F97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项目危险物质储存量未超过临界值。</w:t>
                  </w:r>
                </w:p>
              </w:tc>
              <w:tc>
                <w:tcPr>
                  <w:tcW w:w="932" w:type="dxa"/>
                  <w:tcBorders>
                    <w:tl2br w:val="nil"/>
                    <w:tr2bl w:val="nil"/>
                  </w:tcBorders>
                  <w:noWrap w:val="0"/>
                  <w:vAlign w:val="center"/>
                </w:tcPr>
                <w:p w14:paraId="6CC30194">
                  <w:pPr>
                    <w:spacing w:line="240" w:lineRule="auto"/>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不设置</w:t>
                  </w:r>
                </w:p>
              </w:tc>
            </w:tr>
            <w:tr w14:paraId="6F4E32BF">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07" w:type="dxa"/>
                  <w:tcBorders>
                    <w:tl2br w:val="nil"/>
                    <w:tr2bl w:val="nil"/>
                  </w:tcBorders>
                  <w:noWrap w:val="0"/>
                  <w:vAlign w:val="center"/>
                </w:tcPr>
                <w:p w14:paraId="367094FA">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生态</w:t>
                  </w:r>
                </w:p>
              </w:tc>
              <w:tc>
                <w:tcPr>
                  <w:tcW w:w="3099" w:type="dxa"/>
                  <w:tcBorders>
                    <w:tl2br w:val="nil"/>
                    <w:tr2bl w:val="nil"/>
                  </w:tcBorders>
                  <w:noWrap w:val="0"/>
                  <w:vAlign w:val="center"/>
                </w:tcPr>
                <w:p w14:paraId="61D30B4E">
                  <w:pPr>
                    <w:pStyle w:val="42"/>
                    <w:bidi w:val="0"/>
                    <w:rPr>
                      <w:rFonts w:hint="default"/>
                      <w:color w:val="auto"/>
                      <w:sz w:val="21"/>
                      <w:szCs w:val="21"/>
                      <w:highlight w:val="none"/>
                    </w:rPr>
                  </w:pPr>
                  <w:r>
                    <w:rPr>
                      <w:rFonts w:hint="default"/>
                      <w:color w:val="auto"/>
                      <w:sz w:val="21"/>
                      <w:szCs w:val="21"/>
                      <w:highlight w:val="none"/>
                    </w:rPr>
                    <w:t>取水口下游500米范围内有重要水生生物的自然产卵场、索饵场、越冬场和洄游通道的新增河道取水的污染类建设项目</w:t>
                  </w:r>
                </w:p>
              </w:tc>
              <w:tc>
                <w:tcPr>
                  <w:tcW w:w="2009" w:type="dxa"/>
                  <w:tcBorders>
                    <w:tl2br w:val="nil"/>
                    <w:tr2bl w:val="nil"/>
                  </w:tcBorders>
                  <w:noWrap w:val="0"/>
                  <w:vAlign w:val="center"/>
                </w:tcPr>
                <w:p w14:paraId="063ECDB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项目不属于河道取水的污染类项目。</w:t>
                  </w:r>
                </w:p>
              </w:tc>
              <w:tc>
                <w:tcPr>
                  <w:tcW w:w="932" w:type="dxa"/>
                  <w:tcBorders>
                    <w:tl2br w:val="nil"/>
                    <w:tr2bl w:val="nil"/>
                  </w:tcBorders>
                  <w:noWrap w:val="0"/>
                  <w:vAlign w:val="center"/>
                </w:tcPr>
                <w:p w14:paraId="76AF8A91">
                  <w:pPr>
                    <w:spacing w:line="240" w:lineRule="auto"/>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不设置</w:t>
                  </w:r>
                </w:p>
              </w:tc>
            </w:tr>
            <w:tr w14:paraId="5FC2D305">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07" w:type="dxa"/>
                  <w:tcBorders>
                    <w:tl2br w:val="nil"/>
                    <w:tr2bl w:val="nil"/>
                  </w:tcBorders>
                  <w:noWrap w:val="0"/>
                  <w:vAlign w:val="center"/>
                </w:tcPr>
                <w:p w14:paraId="5A3AD412">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海洋</w:t>
                  </w:r>
                </w:p>
              </w:tc>
              <w:tc>
                <w:tcPr>
                  <w:tcW w:w="3099" w:type="dxa"/>
                  <w:tcBorders>
                    <w:tl2br w:val="nil"/>
                    <w:tr2bl w:val="nil"/>
                  </w:tcBorders>
                  <w:noWrap w:val="0"/>
                  <w:vAlign w:val="center"/>
                </w:tcPr>
                <w:p w14:paraId="42A8271D">
                  <w:pPr>
                    <w:pStyle w:val="42"/>
                    <w:bidi w:val="0"/>
                    <w:rPr>
                      <w:rFonts w:hint="default"/>
                      <w:color w:val="auto"/>
                      <w:sz w:val="21"/>
                      <w:szCs w:val="21"/>
                      <w:highlight w:val="none"/>
                    </w:rPr>
                  </w:pPr>
                  <w:r>
                    <w:rPr>
                      <w:rFonts w:hint="default"/>
                      <w:color w:val="auto"/>
                      <w:sz w:val="21"/>
                      <w:szCs w:val="21"/>
                      <w:highlight w:val="none"/>
                    </w:rPr>
                    <w:t>直接向海排放污染物的海洋工程建设项目</w:t>
                  </w:r>
                </w:p>
              </w:tc>
              <w:tc>
                <w:tcPr>
                  <w:tcW w:w="2009" w:type="dxa"/>
                  <w:tcBorders>
                    <w:tl2br w:val="nil"/>
                    <w:tr2bl w:val="nil"/>
                  </w:tcBorders>
                  <w:noWrap w:val="0"/>
                  <w:vAlign w:val="center"/>
                </w:tcPr>
                <w:p w14:paraId="627FB55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项目不属于直接向海洋排放污染物的海洋工程建设项目。</w:t>
                  </w:r>
                </w:p>
              </w:tc>
              <w:tc>
                <w:tcPr>
                  <w:tcW w:w="932" w:type="dxa"/>
                  <w:tcBorders>
                    <w:tl2br w:val="nil"/>
                    <w:tr2bl w:val="nil"/>
                  </w:tcBorders>
                  <w:noWrap w:val="0"/>
                  <w:vAlign w:val="center"/>
                </w:tcPr>
                <w:p w14:paraId="369AA1B0">
                  <w:pPr>
                    <w:spacing w:line="240" w:lineRule="auto"/>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不设置</w:t>
                  </w:r>
                </w:p>
              </w:tc>
            </w:tr>
            <w:tr w14:paraId="23456F3C">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07" w:type="dxa"/>
                  <w:tcBorders>
                    <w:tl2br w:val="nil"/>
                    <w:tr2bl w:val="nil"/>
                  </w:tcBorders>
                  <w:noWrap w:val="0"/>
                  <w:vAlign w:val="center"/>
                </w:tcPr>
                <w:p w14:paraId="328647CE">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地下水</w:t>
                  </w:r>
                </w:p>
              </w:tc>
              <w:tc>
                <w:tcPr>
                  <w:tcW w:w="3099" w:type="dxa"/>
                  <w:tcBorders>
                    <w:tl2br w:val="nil"/>
                    <w:tr2bl w:val="nil"/>
                  </w:tcBorders>
                  <w:noWrap w:val="0"/>
                  <w:vAlign w:val="center"/>
                </w:tcPr>
                <w:p w14:paraId="18F545C8">
                  <w:pPr>
                    <w:pStyle w:val="42"/>
                    <w:bidi w:val="0"/>
                    <w:rPr>
                      <w:rFonts w:hint="default" w:eastAsia="宋体"/>
                      <w:color w:val="auto"/>
                      <w:sz w:val="21"/>
                      <w:szCs w:val="21"/>
                      <w:highlight w:val="none"/>
                      <w:lang w:val="en-US" w:eastAsia="zh-CN"/>
                    </w:rPr>
                  </w:pPr>
                  <w:r>
                    <w:rPr>
                      <w:rFonts w:hint="eastAsia"/>
                      <w:color w:val="auto"/>
                      <w:sz w:val="21"/>
                      <w:szCs w:val="21"/>
                      <w:highlight w:val="none"/>
                      <w:lang w:val="en-US" w:eastAsia="zh-CN"/>
                    </w:rPr>
                    <w:t>涉及集中式饮用水水源和热水、矿泉水、温泉等特殊地下水资源保护区</w:t>
                  </w:r>
                </w:p>
              </w:tc>
              <w:tc>
                <w:tcPr>
                  <w:tcW w:w="2009" w:type="dxa"/>
                  <w:tcBorders>
                    <w:tl2br w:val="nil"/>
                    <w:tr2bl w:val="nil"/>
                  </w:tcBorders>
                  <w:noWrap w:val="0"/>
                  <w:vAlign w:val="center"/>
                </w:tcPr>
                <w:p w14:paraId="6A181A0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color w:val="auto"/>
                      <w:sz w:val="21"/>
                      <w:szCs w:val="21"/>
                      <w:highlight w:val="none"/>
                      <w:lang w:val="en-US"/>
                    </w:rPr>
                  </w:pPr>
                  <w:r>
                    <w:rPr>
                      <w:rFonts w:hint="eastAsia" w:cs="Times New Roman"/>
                      <w:color w:val="auto"/>
                      <w:sz w:val="21"/>
                      <w:szCs w:val="21"/>
                      <w:highlight w:val="none"/>
                      <w:lang w:val="en-US" w:eastAsia="zh-CN"/>
                    </w:rPr>
                    <w:t>项目</w:t>
                  </w:r>
                  <w:r>
                    <w:rPr>
                      <w:rFonts w:hint="default" w:ascii="Times New Roman" w:hAnsi="Times New Roman" w:eastAsia="宋体" w:cs="Times New Roman"/>
                      <w:color w:val="auto"/>
                      <w:sz w:val="21"/>
                      <w:szCs w:val="21"/>
                      <w:highlight w:val="none"/>
                    </w:rPr>
                    <w:t>不涉及</w:t>
                  </w:r>
                  <w:r>
                    <w:rPr>
                      <w:rFonts w:hint="eastAsia"/>
                      <w:color w:val="auto"/>
                      <w:sz w:val="21"/>
                      <w:szCs w:val="21"/>
                      <w:highlight w:val="none"/>
                      <w:lang w:val="en-US" w:eastAsia="zh-CN"/>
                    </w:rPr>
                    <w:t>集中式饮用水水源和热水、矿泉水、温泉等特殊地下水资源保护区</w:t>
                  </w:r>
                </w:p>
              </w:tc>
              <w:tc>
                <w:tcPr>
                  <w:tcW w:w="932" w:type="dxa"/>
                  <w:tcBorders>
                    <w:tl2br w:val="nil"/>
                    <w:tr2bl w:val="nil"/>
                  </w:tcBorders>
                  <w:noWrap w:val="0"/>
                  <w:vAlign w:val="center"/>
                </w:tcPr>
                <w:p w14:paraId="37F8B670">
                  <w:pPr>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不设置</w:t>
                  </w:r>
                </w:p>
              </w:tc>
            </w:tr>
            <w:tr w14:paraId="57D53F66">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7147" w:type="dxa"/>
                  <w:gridSpan w:val="4"/>
                  <w:tcBorders>
                    <w:tl2br w:val="nil"/>
                    <w:tr2bl w:val="nil"/>
                  </w:tcBorders>
                  <w:noWrap w:val="0"/>
                  <w:vAlign w:val="center"/>
                </w:tcPr>
                <w:p w14:paraId="786DCE1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注：1.废气中有毒有害污染物指纳入《有毒有害大气污染物名录》的污染物（不包括无排放标准的污染物）。</w:t>
                  </w:r>
                </w:p>
                <w:p w14:paraId="2449290C">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2.环境空气保护目标指自然保护区、风景名胜区、居住区、文化区和农村地区中人群较集中的区域。</w:t>
                  </w:r>
                </w:p>
                <w:p w14:paraId="366D34C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18"/>
                      <w:szCs w:val="18"/>
                      <w:highlight w:val="none"/>
                    </w:rPr>
                    <w:t>3.临界量及其计算方法可参考《建设项目环境风险评价技术导则》（HJ169）附录B、附录C。</w:t>
                  </w:r>
                </w:p>
              </w:tc>
            </w:tr>
          </w:tbl>
          <w:p w14:paraId="3A2C6D18">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jc w:val="center"/>
              <w:textAlignment w:val="auto"/>
              <w:rPr>
                <w:rFonts w:hint="default" w:ascii="宋体" w:hAnsi="宋体" w:eastAsia="宋体" w:cs="宋体"/>
                <w:color w:val="auto"/>
                <w:kern w:val="0"/>
                <w:sz w:val="24"/>
                <w:szCs w:val="24"/>
                <w:highlight w:val="none"/>
                <w:lang w:val="en-US" w:eastAsia="zh-CN"/>
              </w:rPr>
            </w:pPr>
            <w:r>
              <w:rPr>
                <w:rFonts w:hint="default" w:ascii="Times New Roman" w:hAnsi="Times New Roman" w:cs="Times New Roman"/>
                <w:color w:val="auto"/>
                <w:spacing w:val="2"/>
                <w:kern w:val="0"/>
                <w:sz w:val="24"/>
                <w:szCs w:val="24"/>
                <w:highlight w:val="none"/>
                <w:lang w:val="en-US" w:eastAsia="zh-CN"/>
              </w:rPr>
              <w:t>根据以上表格内容及判定情况，本项目无需设置专项评价。</w:t>
            </w:r>
          </w:p>
        </w:tc>
      </w:tr>
      <w:tr w14:paraId="6E0F18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724" w:type="dxa"/>
            <w:noWrap w:val="0"/>
            <w:vAlign w:val="center"/>
          </w:tcPr>
          <w:p w14:paraId="05526591">
            <w:pPr>
              <w:autoSpaceDE w:val="0"/>
              <w:autoSpaceDN w:val="0"/>
              <w:adjustRightInd w:val="0"/>
              <w:snapToGrid w:val="0"/>
              <w:jc w:val="center"/>
              <w:rPr>
                <w:rFonts w:hint="eastAsia" w:ascii="宋体" w:hAnsi="宋体" w:cs="宋体"/>
                <w:color w:val="auto"/>
                <w:kern w:val="0"/>
                <w:sz w:val="24"/>
                <w:szCs w:val="24"/>
                <w:highlight w:val="none"/>
              </w:rPr>
            </w:pPr>
            <w:r>
              <w:rPr>
                <w:rFonts w:hint="eastAsia" w:ascii="宋体" w:hAnsi="宋体" w:cs="宋体"/>
                <w:color w:val="auto"/>
                <w:sz w:val="24"/>
                <w:szCs w:val="24"/>
                <w:highlight w:val="none"/>
              </w:rPr>
              <w:t>规划情况</w:t>
            </w:r>
          </w:p>
        </w:tc>
        <w:tc>
          <w:tcPr>
            <w:tcW w:w="7903" w:type="dxa"/>
            <w:gridSpan w:val="3"/>
            <w:noWrap w:val="0"/>
            <w:vAlign w:val="center"/>
          </w:tcPr>
          <w:p w14:paraId="43AA3296">
            <w:pPr>
              <w:keepNext w:val="0"/>
              <w:keepLines w:val="0"/>
              <w:pageBreakBefore w:val="0"/>
              <w:kinsoku/>
              <w:wordWrap/>
              <w:overflowPunct/>
              <w:topLinePunct w:val="0"/>
              <w:autoSpaceDE w:val="0"/>
              <w:autoSpaceDN w:val="0"/>
              <w:bidi w:val="0"/>
              <w:adjustRightInd/>
              <w:snapToGrid/>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rPr>
              <w:t>无</w:t>
            </w:r>
          </w:p>
        </w:tc>
      </w:tr>
      <w:tr w14:paraId="5C6A3C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724" w:type="dxa"/>
            <w:noWrap w:val="0"/>
            <w:vAlign w:val="center"/>
          </w:tcPr>
          <w:p w14:paraId="1A1A88A2">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规划环境影响</w:t>
            </w:r>
          </w:p>
          <w:p w14:paraId="143CAABC">
            <w:pPr>
              <w:adjustRightInd w:val="0"/>
              <w:snapToGrid w:val="0"/>
              <w:jc w:val="center"/>
              <w:rPr>
                <w:rFonts w:hint="eastAsia" w:ascii="宋体" w:hAnsi="宋体" w:cs="宋体"/>
                <w:color w:val="auto"/>
                <w:kern w:val="0"/>
                <w:sz w:val="24"/>
                <w:szCs w:val="24"/>
                <w:highlight w:val="none"/>
              </w:rPr>
            </w:pPr>
            <w:r>
              <w:rPr>
                <w:rFonts w:hint="eastAsia" w:ascii="宋体" w:hAnsi="宋体" w:cs="宋体"/>
                <w:color w:val="auto"/>
                <w:sz w:val="24"/>
                <w:szCs w:val="24"/>
                <w:highlight w:val="none"/>
              </w:rPr>
              <w:t>评价情况</w:t>
            </w:r>
          </w:p>
        </w:tc>
        <w:tc>
          <w:tcPr>
            <w:tcW w:w="7903" w:type="dxa"/>
            <w:gridSpan w:val="3"/>
            <w:noWrap w:val="0"/>
            <w:vAlign w:val="center"/>
          </w:tcPr>
          <w:p w14:paraId="1C146224">
            <w:pPr>
              <w:keepNext w:val="0"/>
              <w:keepLines w:val="0"/>
              <w:pageBreakBefore w:val="0"/>
              <w:kinsoku/>
              <w:wordWrap/>
              <w:overflowPunct/>
              <w:topLinePunct w:val="0"/>
              <w:autoSpaceDE w:val="0"/>
              <w:autoSpaceDN w:val="0"/>
              <w:bidi w:val="0"/>
              <w:adjustRightInd/>
              <w:snapToGrid/>
              <w:jc w:val="center"/>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无</w:t>
            </w:r>
          </w:p>
        </w:tc>
      </w:tr>
      <w:tr w14:paraId="67648C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724" w:type="dxa"/>
            <w:noWrap w:val="0"/>
            <w:vAlign w:val="center"/>
          </w:tcPr>
          <w:p w14:paraId="37F3A5EE">
            <w:pPr>
              <w:autoSpaceDE w:val="0"/>
              <w:autoSpaceDN w:val="0"/>
              <w:adjustRightInd w:val="0"/>
              <w:snapToGrid w:val="0"/>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规划及规划环境</w:t>
            </w:r>
          </w:p>
          <w:p w14:paraId="2696BE5D">
            <w:pPr>
              <w:autoSpaceDE w:val="0"/>
              <w:autoSpaceDN w:val="0"/>
              <w:adjustRightInd w:val="0"/>
              <w:snapToGrid w:val="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影响评价符合性分析</w:t>
            </w:r>
          </w:p>
        </w:tc>
        <w:tc>
          <w:tcPr>
            <w:tcW w:w="7903" w:type="dxa"/>
            <w:gridSpan w:val="3"/>
            <w:noWrap w:val="0"/>
            <w:vAlign w:val="center"/>
          </w:tcPr>
          <w:p w14:paraId="34586AD5">
            <w:pPr>
              <w:keepNext w:val="0"/>
              <w:keepLines w:val="0"/>
              <w:pageBreakBefore w:val="0"/>
              <w:widowControl/>
              <w:suppressLineNumbers w:val="0"/>
              <w:kinsoku/>
              <w:wordWrap/>
              <w:overflowPunct/>
              <w:topLinePunct w:val="0"/>
              <w:bidi w:val="0"/>
              <w:adjustRightInd/>
              <w:snapToGrid/>
              <w:jc w:val="center"/>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无</w:t>
            </w:r>
          </w:p>
        </w:tc>
      </w:tr>
      <w:tr w14:paraId="3BDF1D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724" w:type="dxa"/>
            <w:noWrap w:val="0"/>
            <w:vAlign w:val="center"/>
          </w:tcPr>
          <w:p w14:paraId="468481BE">
            <w:pPr>
              <w:autoSpaceDE w:val="0"/>
              <w:autoSpaceDN w:val="0"/>
              <w:adjustRightInd w:val="0"/>
              <w:snapToGrid w:val="0"/>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其他符合性分析</w:t>
            </w:r>
          </w:p>
        </w:tc>
        <w:tc>
          <w:tcPr>
            <w:tcW w:w="7903" w:type="dxa"/>
            <w:gridSpan w:val="3"/>
            <w:noWrap w:val="0"/>
            <w:vAlign w:val="center"/>
          </w:tcPr>
          <w:p w14:paraId="4CAB820D">
            <w:pPr>
              <w:keepNext w:val="0"/>
              <w:keepLines w:val="0"/>
              <w:pageBreakBefore w:val="0"/>
              <w:widowControl w:val="0"/>
              <w:kinsoku/>
              <w:wordWrap/>
              <w:overflowPunct/>
              <w:topLinePunct w:val="0"/>
              <w:autoSpaceDE w:val="0"/>
              <w:autoSpaceDN w:val="0"/>
              <w:bidi w:val="0"/>
              <w:adjustRightInd/>
              <w:snapToGrid/>
              <w:spacing w:line="360" w:lineRule="auto"/>
              <w:ind w:firstLine="482" w:firstLineChars="200"/>
              <w:textAlignment w:val="auto"/>
              <w:rPr>
                <w:rFonts w:hint="eastAsia" w:ascii="宋体" w:hAnsi="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一、与产业政策符合性分析</w:t>
            </w:r>
          </w:p>
          <w:p w14:paraId="388D6B34">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项目属于</w:t>
            </w:r>
            <w:r>
              <w:rPr>
                <w:rFonts w:hint="default" w:ascii="Times New Roman" w:hAnsi="Times New Roman" w:eastAsia="宋体" w:cs="Times New Roman"/>
                <w:color w:val="auto"/>
                <w:sz w:val="24"/>
                <w:szCs w:val="24"/>
                <w:highlight w:val="none"/>
                <w:lang w:val="en-US" w:eastAsia="zh-CN"/>
              </w:rPr>
              <w:t>热力生产和供应项目，</w:t>
            </w:r>
            <w:r>
              <w:rPr>
                <w:rFonts w:hint="eastAsia" w:ascii="Times New Roman" w:hAnsi="Times New Roman" w:eastAsia="宋体" w:cs="Times New Roman"/>
                <w:color w:val="auto"/>
                <w:sz w:val="24"/>
                <w:szCs w:val="24"/>
                <w:highlight w:val="none"/>
                <w:lang w:val="en-US" w:eastAsia="zh-CN"/>
              </w:rPr>
              <w:t>设置</w:t>
            </w:r>
            <w:r>
              <w:rPr>
                <w:rFonts w:hint="eastAsia" w:cs="Times New Roman"/>
                <w:color w:val="auto"/>
                <w:sz w:val="24"/>
                <w:szCs w:val="24"/>
                <w:highlight w:val="none"/>
                <w:lang w:val="en-US" w:eastAsia="zh-CN"/>
              </w:rPr>
              <w:t>两</w:t>
            </w:r>
            <w:r>
              <w:rPr>
                <w:rFonts w:hint="eastAsia" w:ascii="Times New Roman" w:hAnsi="Times New Roman" w:eastAsia="宋体" w:cs="Times New Roman"/>
                <w:color w:val="auto"/>
                <w:sz w:val="24"/>
                <w:szCs w:val="24"/>
                <w:highlight w:val="none"/>
                <w:lang w:val="en-US" w:eastAsia="zh-CN"/>
              </w:rPr>
              <w:t>台</w:t>
            </w:r>
            <w:r>
              <w:rPr>
                <w:rFonts w:hint="eastAsia" w:cs="Times New Roman"/>
                <w:color w:val="auto"/>
                <w:sz w:val="24"/>
                <w:szCs w:val="24"/>
                <w:highlight w:val="none"/>
                <w:lang w:val="en-US" w:eastAsia="zh-CN"/>
              </w:rPr>
              <w:t>5.6MW</w:t>
            </w:r>
            <w:r>
              <w:rPr>
                <w:rFonts w:hint="eastAsia" w:ascii="Times New Roman" w:hAnsi="Times New Roman" w:eastAsia="宋体" w:cs="Times New Roman"/>
                <w:color w:val="auto"/>
                <w:sz w:val="24"/>
                <w:szCs w:val="24"/>
                <w:highlight w:val="none"/>
                <w:lang w:val="en-US" w:eastAsia="zh-CN"/>
              </w:rPr>
              <w:t>生物质</w:t>
            </w:r>
            <w:r>
              <w:rPr>
                <w:rFonts w:hint="eastAsia" w:cs="Times New Roman"/>
                <w:color w:val="auto"/>
                <w:sz w:val="24"/>
                <w:szCs w:val="24"/>
                <w:highlight w:val="none"/>
                <w:lang w:val="en-US" w:eastAsia="zh-CN"/>
              </w:rPr>
              <w:t>承压热水</w:t>
            </w:r>
            <w:r>
              <w:rPr>
                <w:rFonts w:hint="eastAsia" w:ascii="Times New Roman" w:hAnsi="Times New Roman" w:eastAsia="宋体" w:cs="Times New Roman"/>
                <w:color w:val="auto"/>
                <w:sz w:val="24"/>
                <w:szCs w:val="24"/>
                <w:highlight w:val="none"/>
                <w:lang w:val="en-US" w:eastAsia="zh-CN"/>
              </w:rPr>
              <w:t>锅炉</w:t>
            </w:r>
            <w:r>
              <w:rPr>
                <w:rFonts w:hint="eastAsia" w:cs="Times New Roman"/>
                <w:color w:val="auto"/>
                <w:sz w:val="24"/>
                <w:szCs w:val="24"/>
                <w:highlight w:val="none"/>
                <w:lang w:val="en-US" w:eastAsia="zh-CN"/>
              </w:rPr>
              <w:t>，一用一备</w:t>
            </w:r>
            <w:r>
              <w:rPr>
                <w:rFonts w:hint="eastAsia" w:ascii="Times New Roman" w:hAnsi="Times New Roman" w:eastAsia="宋体" w:cs="Times New Roman"/>
                <w:color w:val="auto"/>
                <w:sz w:val="24"/>
                <w:szCs w:val="24"/>
                <w:highlight w:val="none"/>
                <w:lang w:val="en-US" w:eastAsia="zh-CN"/>
              </w:rPr>
              <w:t>，根据《产业结构调整指导目录（2024年本）》，本项目不属于鼓励类、限制类和淘汰类，且符合国家有关法律、法规和政策规定</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因此</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项目</w:t>
            </w:r>
            <w:r>
              <w:rPr>
                <w:rFonts w:hint="eastAsia" w:cs="Times New Roman"/>
                <w:color w:val="auto"/>
                <w:sz w:val="24"/>
                <w:szCs w:val="24"/>
                <w:highlight w:val="none"/>
                <w:lang w:val="en-US" w:eastAsia="zh-CN"/>
              </w:rPr>
              <w:t>建设</w:t>
            </w:r>
            <w:r>
              <w:rPr>
                <w:rFonts w:hint="eastAsia" w:ascii="Times New Roman" w:hAnsi="Times New Roman" w:eastAsia="宋体" w:cs="Times New Roman"/>
                <w:color w:val="auto"/>
                <w:sz w:val="24"/>
                <w:szCs w:val="24"/>
                <w:highlight w:val="none"/>
                <w:lang w:val="en-US" w:eastAsia="zh-CN"/>
              </w:rPr>
              <w:t>属于允许类。</w:t>
            </w:r>
          </w:p>
          <w:p w14:paraId="7F48F02F">
            <w:pPr>
              <w:autoSpaceDE w:val="0"/>
              <w:autoSpaceDN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color w:val="auto"/>
                <w:sz w:val="24"/>
                <w:highlight w:val="none"/>
              </w:rPr>
              <w:t>根据《市场准入负面清单（2025年版）》，项目不属于清单中禁止、限制类。</w:t>
            </w:r>
          </w:p>
          <w:p w14:paraId="7D1D4049">
            <w:pPr>
              <w:keepNext w:val="0"/>
              <w:keepLines w:val="0"/>
              <w:pageBreakBefore w:val="0"/>
              <w:widowControl w:val="0"/>
              <w:kinsoku/>
              <w:wordWrap/>
              <w:overflowPunct/>
              <w:topLinePunct w:val="0"/>
              <w:autoSpaceDE w:val="0"/>
              <w:autoSpaceDN w:val="0"/>
              <w:bidi w:val="0"/>
              <w:adjustRightInd/>
              <w:snapToGrid/>
              <w:spacing w:line="360" w:lineRule="auto"/>
              <w:ind w:firstLine="482" w:firstLineChars="200"/>
              <w:textAlignment w:val="auto"/>
              <w:rPr>
                <w:rFonts w:hint="default" w:ascii="宋体" w:hAnsi="宋体" w:eastAsia="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二、生态环境分区管控符合性分析</w:t>
            </w:r>
          </w:p>
          <w:p w14:paraId="444FEA1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宋体" w:hAnsi="宋体" w:eastAsia="宋体" w:cs="宋体"/>
                <w:b w:val="0"/>
                <w:bCs w:val="0"/>
                <w:color w:val="auto"/>
                <w:kern w:val="0"/>
                <w:sz w:val="24"/>
                <w:szCs w:val="24"/>
                <w:highlight w:val="none"/>
                <w:lang w:val="en-US" w:eastAsia="zh-CN"/>
              </w:rPr>
            </w:pPr>
            <w:r>
              <w:rPr>
                <w:rFonts w:hint="eastAsia" w:ascii="宋体" w:hAnsi="宋体" w:cs="宋体"/>
                <w:b w:val="0"/>
                <w:bCs w:val="0"/>
                <w:color w:val="auto"/>
                <w:kern w:val="0"/>
                <w:sz w:val="24"/>
                <w:szCs w:val="24"/>
                <w:highlight w:val="none"/>
                <w:lang w:val="en-US" w:eastAsia="zh-CN"/>
              </w:rPr>
              <w:t>（一）管控单元符合性分析</w:t>
            </w:r>
          </w:p>
          <w:p w14:paraId="6B658E18">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80" w:firstLineChars="200"/>
              <w:textAlignment w:val="auto"/>
              <w:rPr>
                <w:rFonts w:hint="default" w:ascii="Times New Roman" w:hAnsi="Times New Roman" w:cs="Times New Roman"/>
                <w:color w:val="auto"/>
                <w:sz w:val="24"/>
                <w:szCs w:val="24"/>
                <w:highlight w:val="yellow"/>
                <w:u w:val="none"/>
                <w:lang w:val="en-US" w:eastAsia="zh-CN"/>
              </w:rPr>
            </w:pPr>
            <w:r>
              <w:rPr>
                <w:rFonts w:hint="default" w:ascii="Times New Roman" w:hAnsi="Times New Roman" w:eastAsia="宋体" w:cs="Times New Roman"/>
                <w:color w:val="auto"/>
                <w:kern w:val="0"/>
                <w:sz w:val="24"/>
                <w:szCs w:val="24"/>
                <w:highlight w:val="none"/>
                <w:lang w:val="en-US" w:eastAsia="zh-CN"/>
              </w:rPr>
              <w:t>根</w:t>
            </w:r>
            <w:r>
              <w:rPr>
                <w:rFonts w:hint="default" w:ascii="Times New Roman" w:hAnsi="Times New Roman" w:eastAsia="宋体" w:cs="Times New Roman"/>
                <w:color w:val="auto"/>
                <w:sz w:val="24"/>
                <w:szCs w:val="24"/>
                <w:highlight w:val="none"/>
                <w:lang w:val="en-US" w:eastAsia="zh-CN"/>
              </w:rPr>
              <w:t>据《黑龙江省人民政府关于实施</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三线一单</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生态环境分区管控的意见》（黑政发〔2020〕14号）、</w:t>
            </w:r>
            <w:r>
              <w:rPr>
                <w:color w:val="auto"/>
                <w:kern w:val="0"/>
                <w:sz w:val="24"/>
                <w:szCs w:val="24"/>
                <w:highlight w:val="none"/>
              </w:rPr>
              <w:t>《</w:t>
            </w:r>
            <w:r>
              <w:rPr>
                <w:rFonts w:hint="eastAsia"/>
                <w:color w:val="auto"/>
                <w:kern w:val="0"/>
                <w:sz w:val="24"/>
                <w:szCs w:val="24"/>
                <w:highlight w:val="none"/>
              </w:rPr>
              <w:t>双鸭山市人民政府关于实施</w:t>
            </w:r>
            <w:r>
              <w:rPr>
                <w:rFonts w:hint="eastAsia"/>
                <w:color w:val="auto"/>
                <w:kern w:val="0"/>
                <w:sz w:val="24"/>
                <w:szCs w:val="24"/>
                <w:highlight w:val="none"/>
                <w:lang w:eastAsia="zh-CN"/>
              </w:rPr>
              <w:t>“</w:t>
            </w:r>
            <w:r>
              <w:rPr>
                <w:rFonts w:hint="eastAsia"/>
                <w:color w:val="auto"/>
                <w:kern w:val="0"/>
                <w:sz w:val="24"/>
                <w:szCs w:val="24"/>
                <w:highlight w:val="none"/>
              </w:rPr>
              <w:t>三线一单</w:t>
            </w:r>
            <w:r>
              <w:rPr>
                <w:rFonts w:hint="eastAsia"/>
                <w:color w:val="auto"/>
                <w:kern w:val="0"/>
                <w:sz w:val="24"/>
                <w:szCs w:val="24"/>
                <w:highlight w:val="none"/>
                <w:lang w:eastAsia="zh-CN"/>
              </w:rPr>
              <w:t>”</w:t>
            </w:r>
            <w:r>
              <w:rPr>
                <w:rFonts w:hint="eastAsia"/>
                <w:color w:val="auto"/>
                <w:kern w:val="0"/>
                <w:sz w:val="24"/>
                <w:szCs w:val="24"/>
                <w:highlight w:val="none"/>
              </w:rPr>
              <w:t>生态环境分区管控的意见</w:t>
            </w:r>
            <w:r>
              <w:rPr>
                <w:color w:val="auto"/>
                <w:kern w:val="0"/>
                <w:sz w:val="24"/>
                <w:szCs w:val="24"/>
                <w:highlight w:val="none"/>
              </w:rPr>
              <w:t>（</w:t>
            </w:r>
            <w:r>
              <w:rPr>
                <w:rFonts w:hint="eastAsia"/>
                <w:color w:val="auto"/>
                <w:kern w:val="0"/>
                <w:sz w:val="24"/>
                <w:szCs w:val="24"/>
                <w:highlight w:val="none"/>
                <w:lang w:eastAsia="zh-CN"/>
              </w:rPr>
              <w:t>双政</w:t>
            </w:r>
            <w:r>
              <w:rPr>
                <w:color w:val="auto"/>
                <w:kern w:val="0"/>
                <w:sz w:val="24"/>
                <w:szCs w:val="24"/>
                <w:highlight w:val="none"/>
              </w:rPr>
              <w:t>规〔2021〕</w:t>
            </w:r>
            <w:r>
              <w:rPr>
                <w:rFonts w:hint="eastAsia"/>
                <w:color w:val="auto"/>
                <w:kern w:val="0"/>
                <w:sz w:val="24"/>
                <w:szCs w:val="24"/>
                <w:highlight w:val="none"/>
                <w:lang w:val="en-US" w:eastAsia="zh-CN"/>
              </w:rPr>
              <w:t>2</w:t>
            </w:r>
            <w:r>
              <w:rPr>
                <w:color w:val="auto"/>
                <w:kern w:val="0"/>
                <w:sz w:val="24"/>
                <w:szCs w:val="24"/>
                <w:highlight w:val="none"/>
              </w:rPr>
              <w:t>号）》</w:t>
            </w:r>
            <w:r>
              <w:rPr>
                <w:rFonts w:hint="default" w:ascii="Times New Roman" w:hAnsi="Times New Roman" w:eastAsia="宋体" w:cs="Times New Roman"/>
                <w:color w:val="auto"/>
                <w:sz w:val="24"/>
                <w:szCs w:val="24"/>
                <w:highlight w:val="none"/>
                <w:lang w:val="en-US" w:eastAsia="zh-CN"/>
              </w:rPr>
              <w:t>及</w:t>
            </w:r>
            <w:r>
              <w:rPr>
                <w:rFonts w:hint="eastAsia"/>
                <w:color w:val="auto"/>
                <w:sz w:val="24"/>
                <w:szCs w:val="24"/>
                <w:highlight w:val="none"/>
              </w:rPr>
              <w:t>《</w:t>
            </w:r>
            <w:r>
              <w:rPr>
                <w:rFonts w:hint="eastAsia"/>
                <w:color w:val="auto"/>
                <w:sz w:val="24"/>
                <w:szCs w:val="24"/>
                <w:highlight w:val="none"/>
                <w:lang w:eastAsia="zh-CN"/>
              </w:rPr>
              <w:t>双鸭山</w:t>
            </w:r>
            <w:r>
              <w:rPr>
                <w:rFonts w:hint="eastAsia"/>
                <w:color w:val="auto"/>
                <w:sz w:val="24"/>
                <w:szCs w:val="24"/>
                <w:highlight w:val="none"/>
              </w:rPr>
              <w:t>市生态环境准入清单》（2023年版）</w:t>
            </w:r>
            <w:r>
              <w:rPr>
                <w:rFonts w:hint="eastAsia" w:cs="Times New Roman"/>
                <w:color w:val="auto"/>
                <w:sz w:val="24"/>
                <w:szCs w:val="24"/>
                <w:highlight w:val="none"/>
                <w:lang w:val="en-US" w:eastAsia="zh-CN"/>
              </w:rPr>
              <w:t>和黑龙江省生态环境分区管控数据应用平台导出的《生态环境分区管控分析报告》</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项目位于</w:t>
            </w:r>
            <w:r>
              <w:rPr>
                <w:rFonts w:hint="default" w:cs="Times New Roman"/>
                <w:color w:val="auto"/>
                <w:sz w:val="24"/>
                <w:szCs w:val="24"/>
                <w:highlight w:val="none"/>
                <w:lang w:val="en-US" w:eastAsia="zh-CN"/>
              </w:rPr>
              <w:t>黑龙江省</w:t>
            </w:r>
            <w:r>
              <w:rPr>
                <w:rFonts w:hint="eastAsia" w:cs="Times New Roman"/>
                <w:color w:val="auto"/>
                <w:sz w:val="24"/>
                <w:szCs w:val="24"/>
                <w:highlight w:val="none"/>
                <w:lang w:val="en-US" w:eastAsia="zh-CN"/>
              </w:rPr>
              <w:t>双鸭山</w:t>
            </w:r>
            <w:r>
              <w:rPr>
                <w:rFonts w:hint="default" w:cs="Times New Roman"/>
                <w:color w:val="auto"/>
                <w:sz w:val="24"/>
                <w:szCs w:val="24"/>
                <w:highlight w:val="none"/>
                <w:lang w:val="en-US" w:eastAsia="zh-CN"/>
              </w:rPr>
              <w:t>市</w:t>
            </w:r>
            <w:r>
              <w:rPr>
                <w:rFonts w:hint="eastAsia" w:cs="Times New Roman"/>
                <w:color w:val="auto"/>
                <w:sz w:val="24"/>
                <w:szCs w:val="24"/>
                <w:highlight w:val="none"/>
                <w:lang w:val="en-US" w:eastAsia="zh-CN"/>
              </w:rPr>
              <w:t>饶河</w:t>
            </w:r>
            <w:r>
              <w:rPr>
                <w:rFonts w:hint="default" w:cs="Times New Roman"/>
                <w:color w:val="auto"/>
                <w:sz w:val="24"/>
                <w:szCs w:val="24"/>
                <w:highlight w:val="none"/>
                <w:lang w:val="en-US" w:eastAsia="zh-CN"/>
              </w:rPr>
              <w:t>县</w:t>
            </w:r>
            <w:r>
              <w:rPr>
                <w:rFonts w:hint="eastAsia" w:cs="Times New Roman"/>
                <w:color w:val="auto"/>
                <w:sz w:val="24"/>
                <w:szCs w:val="24"/>
                <w:highlight w:val="none"/>
                <w:lang w:val="en-US" w:eastAsia="zh-CN"/>
              </w:rPr>
              <w:t>四排乡四排村，</w:t>
            </w:r>
            <w:r>
              <w:rPr>
                <w:rFonts w:hint="eastAsia" w:cs="Times New Roman"/>
                <w:color w:val="auto"/>
                <w:sz w:val="24"/>
                <w:szCs w:val="24"/>
                <w:highlight w:val="none"/>
                <w:u w:val="none"/>
                <w:lang w:val="en-US" w:eastAsia="zh-CN"/>
              </w:rPr>
              <w:t>项目属于饶河县一般生态空间（ZH23052410002），属于优先管控单元，项目与生态保护红线、永久基本农田、饮用水源保护区、国家级水产种质资源保护区管理数据均无相交；与自然保护地（整合优化调整前）相交情况为黑龙江饶河东北黑蜂国家级自然保护区，与自然保护区实验区相交面积小于0.01平方公里；与地下水环境管控区相交情况为饶河县地下水环境一般管控区（YS2305246310001）。项目与环境管控单元叠加图、地下水环境管控区叠加图分别如下所示。</w:t>
            </w:r>
          </w:p>
          <w:tbl>
            <w:tblPr>
              <w:tblStyle w:val="21"/>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7"/>
            </w:tblGrid>
            <w:tr w14:paraId="7B40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4" w:hRule="atLeast"/>
              </w:trPr>
              <w:tc>
                <w:tcPr>
                  <w:tcW w:w="7147" w:type="dxa"/>
                  <w:tcBorders>
                    <w:top w:val="nil"/>
                    <w:left w:val="nil"/>
                    <w:bottom w:val="nil"/>
                    <w:right w:val="nil"/>
                  </w:tcBorders>
                  <w:vAlign w:val="top"/>
                </w:tcPr>
                <w:p w14:paraId="796B19D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cs="Times New Roman"/>
                      <w:b/>
                      <w:bCs/>
                      <w:color w:val="auto"/>
                      <w:sz w:val="24"/>
                      <w:szCs w:val="24"/>
                      <w:highlight w:val="none"/>
                      <w:u w:val="none"/>
                      <w:vertAlign w:val="baseline"/>
                      <w:lang w:val="en-US" w:eastAsia="zh-CN"/>
                    </w:rPr>
                  </w:pPr>
                  <w:r>
                    <w:rPr>
                      <w:color w:val="auto"/>
                      <w:highlight w:val="none"/>
                    </w:rPr>
                    <w:drawing>
                      <wp:inline distT="0" distB="0" distL="114300" distR="114300">
                        <wp:extent cx="4773295" cy="2440940"/>
                        <wp:effectExtent l="0" t="0" r="1905" b="10160"/>
                        <wp:docPr id="4"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3"/>
                                <pic:cNvPicPr>
                                  <a:picLocks noChangeAspect="1"/>
                                </pic:cNvPicPr>
                              </pic:nvPicPr>
                              <pic:blipFill>
                                <a:blip r:embed="rId10"/>
                                <a:stretch>
                                  <a:fillRect/>
                                </a:stretch>
                              </pic:blipFill>
                              <pic:spPr>
                                <a:xfrm>
                                  <a:off x="0" y="0"/>
                                  <a:ext cx="4773295" cy="2440940"/>
                                </a:xfrm>
                                <a:prstGeom prst="rect">
                                  <a:avLst/>
                                </a:prstGeom>
                                <a:noFill/>
                                <a:ln>
                                  <a:noFill/>
                                </a:ln>
                              </pic:spPr>
                            </pic:pic>
                          </a:graphicData>
                        </a:graphic>
                      </wp:inline>
                    </w:drawing>
                  </w:r>
                </w:p>
              </w:tc>
            </w:tr>
            <w:tr w14:paraId="7E1F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7" w:type="dxa"/>
                  <w:tcBorders>
                    <w:top w:val="nil"/>
                    <w:left w:val="nil"/>
                    <w:bottom w:val="nil"/>
                    <w:right w:val="nil"/>
                  </w:tcBorders>
                  <w:vAlign w:val="top"/>
                </w:tcPr>
                <w:p w14:paraId="287E0144">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color w:val="auto"/>
                      <w:sz w:val="24"/>
                      <w:szCs w:val="24"/>
                      <w:highlight w:val="none"/>
                      <w:u w:val="none"/>
                      <w:vertAlign w:val="baseline"/>
                      <w:lang w:val="en-US" w:eastAsia="zh-CN"/>
                    </w:rPr>
                  </w:pPr>
                  <w:r>
                    <w:rPr>
                      <w:rFonts w:hint="eastAsia" w:cs="Times New Roman"/>
                      <w:b/>
                      <w:bCs/>
                      <w:color w:val="auto"/>
                      <w:sz w:val="21"/>
                      <w:szCs w:val="21"/>
                      <w:highlight w:val="none"/>
                      <w:u w:val="none"/>
                      <w:vertAlign w:val="baseline"/>
                      <w:lang w:val="en-US" w:eastAsia="zh-CN"/>
                    </w:rPr>
                    <w:t>图1-1 项目与环境管控单元叠加图</w:t>
                  </w:r>
                </w:p>
              </w:tc>
            </w:tr>
          </w:tbl>
          <w:p w14:paraId="37D0B9B5">
            <w:pPr>
              <w:pStyle w:val="5"/>
              <w:keepNext w:val="0"/>
              <w:keepLines w:val="0"/>
              <w:pageBreakBefore w:val="0"/>
              <w:widowControl/>
              <w:kinsoku/>
              <w:wordWrap/>
              <w:overflowPunct/>
              <w:topLinePunct w:val="0"/>
              <w:autoSpaceDE/>
              <w:autoSpaceDN/>
              <w:bidi w:val="0"/>
              <w:adjustRightInd/>
              <w:snapToGrid w:val="0"/>
              <w:spacing w:before="0" w:after="0" w:line="240" w:lineRule="auto"/>
              <w:ind w:right="0"/>
              <w:textAlignment w:val="auto"/>
              <w:rPr>
                <w:rFonts w:hint="eastAsia"/>
                <w:color w:val="auto"/>
                <w:highlight w:val="yellow"/>
                <w:lang w:val="en-US" w:eastAsia="zh-CN"/>
              </w:rPr>
            </w:pPr>
          </w:p>
          <w:tbl>
            <w:tblPr>
              <w:tblStyle w:val="21"/>
              <w:tblW w:w="5000" w:type="pct"/>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87"/>
            </w:tblGrid>
            <w:tr w14:paraId="670C1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147" w:type="dxa"/>
                  <w:tcBorders>
                    <w:tl2br w:val="nil"/>
                    <w:tr2bl w:val="nil"/>
                  </w:tcBorders>
                  <w:vAlign w:val="top"/>
                </w:tcPr>
                <w:p w14:paraId="7B342328">
                  <w:pPr>
                    <w:pStyle w:val="6"/>
                    <w:rPr>
                      <w:rFonts w:hint="eastAsia"/>
                      <w:color w:val="auto"/>
                      <w:highlight w:val="yellow"/>
                      <w:vertAlign w:val="baseline"/>
                      <w:lang w:val="en-US" w:eastAsia="zh-CN"/>
                    </w:rPr>
                  </w:pPr>
                  <w:r>
                    <w:rPr>
                      <w:color w:val="auto"/>
                    </w:rPr>
                    <w:drawing>
                      <wp:inline distT="0" distB="0" distL="114300" distR="114300">
                        <wp:extent cx="4801235" cy="2455545"/>
                        <wp:effectExtent l="0" t="0" r="12065" b="8255"/>
                        <wp:docPr id="6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55"/>
                                <pic:cNvPicPr>
                                  <a:picLocks noChangeAspect="1"/>
                                </pic:cNvPicPr>
                              </pic:nvPicPr>
                              <pic:blipFill>
                                <a:blip r:embed="rId11"/>
                                <a:stretch>
                                  <a:fillRect/>
                                </a:stretch>
                              </pic:blipFill>
                              <pic:spPr>
                                <a:xfrm>
                                  <a:off x="0" y="0"/>
                                  <a:ext cx="4801235" cy="2455545"/>
                                </a:xfrm>
                                <a:prstGeom prst="rect">
                                  <a:avLst/>
                                </a:prstGeom>
                                <a:noFill/>
                                <a:ln>
                                  <a:noFill/>
                                </a:ln>
                              </pic:spPr>
                            </pic:pic>
                          </a:graphicData>
                        </a:graphic>
                      </wp:inline>
                    </w:drawing>
                  </w:r>
                </w:p>
              </w:tc>
            </w:tr>
            <w:tr w14:paraId="40614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147" w:type="dxa"/>
                  <w:tcBorders>
                    <w:tl2br w:val="nil"/>
                    <w:tr2bl w:val="nil"/>
                  </w:tcBorders>
                  <w:vAlign w:val="top"/>
                </w:tcPr>
                <w:p w14:paraId="0800DA5D">
                  <w:pPr>
                    <w:pStyle w:val="6"/>
                    <w:jc w:val="center"/>
                    <w:rPr>
                      <w:rFonts w:hint="eastAsia"/>
                      <w:color w:val="auto"/>
                      <w:highlight w:val="yellow"/>
                      <w:vertAlign w:val="baseline"/>
                      <w:lang w:val="en-US" w:eastAsia="zh-CN"/>
                    </w:rPr>
                  </w:pPr>
                  <w:r>
                    <w:rPr>
                      <w:rFonts w:hint="default" w:ascii="Times New Roman" w:hAnsi="Times New Roman" w:cs="Times New Roman"/>
                      <w:b/>
                      <w:bCs/>
                      <w:color w:val="auto"/>
                      <w:sz w:val="21"/>
                      <w:szCs w:val="21"/>
                      <w:highlight w:val="none"/>
                      <w:u w:val="none"/>
                      <w:vertAlign w:val="baseline"/>
                      <w:lang w:val="en-US" w:eastAsia="zh-CN"/>
                    </w:rPr>
                    <w:t>图1-2 项目与</w:t>
                  </w:r>
                  <w:r>
                    <w:rPr>
                      <w:rFonts w:hint="eastAsia" w:ascii="Times New Roman" w:cs="Times New Roman"/>
                      <w:b/>
                      <w:bCs/>
                      <w:color w:val="auto"/>
                      <w:sz w:val="21"/>
                      <w:szCs w:val="21"/>
                      <w:highlight w:val="none"/>
                      <w:u w:val="none"/>
                      <w:vertAlign w:val="baseline"/>
                      <w:lang w:val="en-US" w:eastAsia="zh-CN"/>
                    </w:rPr>
                    <w:t>自然保护地（现状）</w:t>
                  </w:r>
                  <w:r>
                    <w:rPr>
                      <w:rFonts w:hint="default" w:ascii="Times New Roman" w:hAnsi="Times New Roman" w:cs="Times New Roman"/>
                      <w:b/>
                      <w:bCs/>
                      <w:color w:val="auto"/>
                      <w:sz w:val="21"/>
                      <w:szCs w:val="21"/>
                      <w:highlight w:val="none"/>
                      <w:u w:val="none"/>
                      <w:vertAlign w:val="baseline"/>
                      <w:lang w:val="en-US" w:eastAsia="zh-CN"/>
                    </w:rPr>
                    <w:t>叠加图</w:t>
                  </w:r>
                </w:p>
              </w:tc>
            </w:tr>
          </w:tbl>
          <w:p w14:paraId="6922C603">
            <w:pPr>
              <w:keepNext w:val="0"/>
              <w:keepLines w:val="0"/>
              <w:pageBreakBefore w:val="0"/>
              <w:widowControl w:val="0"/>
              <w:kinsoku/>
              <w:wordWrap/>
              <w:overflowPunct/>
              <w:topLinePunct w:val="0"/>
              <w:autoSpaceDE w:val="0"/>
              <w:autoSpaceDN w:val="0"/>
              <w:bidi w:val="0"/>
              <w:adjustRightInd/>
              <w:snapToGrid/>
              <w:spacing w:before="157" w:beforeLines="50" w:line="360" w:lineRule="auto"/>
              <w:ind w:firstLine="480" w:firstLineChars="200"/>
              <w:textAlignment w:val="auto"/>
              <w:rPr>
                <w:rFonts w:hint="eastAsia" w:ascii="Times New Roman" w:hAnsi="Times New Roman" w:eastAsia="宋体" w:cs="Times New Roman"/>
                <w:b w:val="0"/>
                <w:bCs w:val="0"/>
                <w:color w:val="auto"/>
                <w:sz w:val="24"/>
                <w:szCs w:val="24"/>
                <w:highlight w:val="yellow"/>
                <w:lang w:val="en-US" w:eastAsia="zh-CN"/>
              </w:rPr>
            </w:pPr>
          </w:p>
          <w:p w14:paraId="522348C2">
            <w:pPr>
              <w:keepNext w:val="0"/>
              <w:keepLines w:val="0"/>
              <w:pageBreakBefore w:val="0"/>
              <w:widowControl w:val="0"/>
              <w:kinsoku/>
              <w:wordWrap/>
              <w:overflowPunct/>
              <w:topLinePunct w:val="0"/>
              <w:autoSpaceDE w:val="0"/>
              <w:autoSpaceDN w:val="0"/>
              <w:bidi w:val="0"/>
              <w:adjustRightInd/>
              <w:snapToGrid/>
              <w:spacing w:before="157" w:beforeLines="50" w:line="240" w:lineRule="auto"/>
              <w:ind w:firstLine="360" w:firstLineChars="200"/>
              <w:textAlignment w:val="auto"/>
              <w:rPr>
                <w:rFonts w:hint="eastAsia" w:ascii="Times New Roman" w:hAnsi="Times New Roman" w:eastAsia="宋体" w:cs="Times New Roman"/>
                <w:b w:val="0"/>
                <w:bCs w:val="0"/>
                <w:color w:val="auto"/>
                <w:sz w:val="18"/>
                <w:szCs w:val="18"/>
                <w:highlight w:val="yellow"/>
                <w:lang w:val="en-US" w:eastAsia="zh-CN"/>
              </w:rPr>
            </w:pPr>
          </w:p>
          <w:tbl>
            <w:tblPr>
              <w:tblStyle w:val="21"/>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7"/>
            </w:tblGrid>
            <w:tr w14:paraId="708E8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4" w:hRule="atLeast"/>
              </w:trPr>
              <w:tc>
                <w:tcPr>
                  <w:tcW w:w="7147" w:type="dxa"/>
                  <w:tcBorders>
                    <w:top w:val="nil"/>
                    <w:left w:val="nil"/>
                    <w:bottom w:val="nil"/>
                    <w:right w:val="nil"/>
                  </w:tcBorders>
                  <w:vAlign w:val="top"/>
                </w:tcPr>
                <w:p w14:paraId="1EB17273">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cs="Times New Roman"/>
                      <w:b/>
                      <w:bCs/>
                      <w:color w:val="auto"/>
                      <w:sz w:val="24"/>
                      <w:szCs w:val="24"/>
                      <w:highlight w:val="none"/>
                      <w:u w:val="none"/>
                      <w:vertAlign w:val="baseline"/>
                      <w:lang w:val="en-US" w:eastAsia="zh-CN"/>
                    </w:rPr>
                  </w:pPr>
                  <w:r>
                    <w:rPr>
                      <w:color w:val="auto"/>
                    </w:rPr>
                    <w:drawing>
                      <wp:inline distT="0" distB="0" distL="114300" distR="114300">
                        <wp:extent cx="4733290" cy="2420620"/>
                        <wp:effectExtent l="0" t="0" r="3810" b="5080"/>
                        <wp:docPr id="61"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4"/>
                                <pic:cNvPicPr>
                                  <a:picLocks noChangeAspect="1"/>
                                </pic:cNvPicPr>
                              </pic:nvPicPr>
                              <pic:blipFill>
                                <a:blip r:embed="rId12"/>
                                <a:stretch>
                                  <a:fillRect/>
                                </a:stretch>
                              </pic:blipFill>
                              <pic:spPr>
                                <a:xfrm>
                                  <a:off x="0" y="0"/>
                                  <a:ext cx="4733290" cy="2420620"/>
                                </a:xfrm>
                                <a:prstGeom prst="rect">
                                  <a:avLst/>
                                </a:prstGeom>
                                <a:noFill/>
                                <a:ln>
                                  <a:noFill/>
                                </a:ln>
                              </pic:spPr>
                            </pic:pic>
                          </a:graphicData>
                        </a:graphic>
                      </wp:inline>
                    </w:drawing>
                  </w:r>
                </w:p>
              </w:tc>
            </w:tr>
            <w:tr w14:paraId="3F751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7" w:type="dxa"/>
                  <w:tcBorders>
                    <w:top w:val="nil"/>
                    <w:left w:val="nil"/>
                    <w:bottom w:val="nil"/>
                    <w:right w:val="nil"/>
                  </w:tcBorders>
                  <w:vAlign w:val="top"/>
                </w:tcPr>
                <w:p w14:paraId="68D41772">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color w:val="auto"/>
                      <w:sz w:val="24"/>
                      <w:szCs w:val="24"/>
                      <w:highlight w:val="none"/>
                      <w:u w:val="none"/>
                      <w:vertAlign w:val="baseline"/>
                      <w:lang w:val="en-US" w:eastAsia="zh-CN"/>
                    </w:rPr>
                  </w:pPr>
                  <w:r>
                    <w:rPr>
                      <w:rFonts w:hint="eastAsia" w:cs="Times New Roman"/>
                      <w:b/>
                      <w:bCs/>
                      <w:color w:val="auto"/>
                      <w:sz w:val="21"/>
                      <w:szCs w:val="21"/>
                      <w:highlight w:val="none"/>
                      <w:u w:val="none"/>
                      <w:vertAlign w:val="baseline"/>
                      <w:lang w:val="en-US" w:eastAsia="zh-CN"/>
                    </w:rPr>
                    <w:t xml:space="preserve">图1-3 </w:t>
                  </w:r>
                  <w:r>
                    <w:rPr>
                      <w:rFonts w:hint="default" w:ascii="Times New Roman" w:hAnsi="Times New Roman" w:cs="Times New Roman"/>
                      <w:b/>
                      <w:bCs/>
                      <w:color w:val="auto"/>
                      <w:sz w:val="21"/>
                      <w:szCs w:val="21"/>
                      <w:highlight w:val="none"/>
                      <w:u w:val="none"/>
                      <w:vertAlign w:val="baseline"/>
                      <w:lang w:val="en-US" w:eastAsia="zh-CN"/>
                    </w:rPr>
                    <w:t>项目与地下水环境管控区叠加图</w:t>
                  </w:r>
                </w:p>
              </w:tc>
            </w:tr>
          </w:tbl>
          <w:p w14:paraId="551D5E98">
            <w:pPr>
              <w:keepNext w:val="0"/>
              <w:keepLines w:val="0"/>
              <w:pageBreakBefore w:val="0"/>
              <w:widowControl w:val="0"/>
              <w:kinsoku/>
              <w:wordWrap/>
              <w:overflowPunct/>
              <w:topLinePunct w:val="0"/>
              <w:autoSpaceDE w:val="0"/>
              <w:autoSpaceDN w:val="0"/>
              <w:bidi w:val="0"/>
              <w:adjustRightInd/>
              <w:snapToGrid/>
              <w:spacing w:before="157" w:beforeLines="50"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（二）生态保护红线符合性分析</w:t>
            </w:r>
          </w:p>
          <w:p w14:paraId="7AD0AF43">
            <w:pPr>
              <w:pStyle w:val="45"/>
              <w:keepNext w:val="0"/>
              <w:keepLines w:val="0"/>
              <w:pageBreakBefore w:val="0"/>
              <w:kinsoku/>
              <w:wordWrap/>
              <w:overflowPunct/>
              <w:topLinePunct w:val="0"/>
              <w:bidi w:val="0"/>
              <w:adjustRightInd/>
              <w:snapToGrid/>
              <w:spacing w:line="360" w:lineRule="auto"/>
              <w:textAlignment w:val="auto"/>
              <w:rPr>
                <w:rFonts w:hint="eastAsia" w:cs="Times New Roman"/>
                <w:color w:val="auto"/>
                <w:spacing w:val="2"/>
                <w:kern w:val="0"/>
                <w:sz w:val="24"/>
                <w:szCs w:val="24"/>
                <w:highlight w:val="none"/>
                <w:lang w:val="en-US" w:eastAsia="zh-CN"/>
              </w:rPr>
            </w:pPr>
            <w:r>
              <w:rPr>
                <w:rFonts w:hint="eastAsia" w:cs="Times New Roman"/>
                <w:color w:val="auto"/>
                <w:sz w:val="24"/>
                <w:szCs w:val="24"/>
                <w:highlight w:val="none"/>
                <w:u w:val="none"/>
                <w:lang w:val="en-US" w:eastAsia="zh-CN"/>
              </w:rPr>
              <w:t>项目位于</w:t>
            </w:r>
            <w:r>
              <w:rPr>
                <w:rFonts w:hint="default" w:cs="Times New Roman"/>
                <w:color w:val="auto"/>
                <w:sz w:val="24"/>
                <w:szCs w:val="24"/>
                <w:highlight w:val="none"/>
                <w:lang w:val="en-US" w:eastAsia="zh-CN"/>
              </w:rPr>
              <w:t>黑龙江省</w:t>
            </w:r>
            <w:r>
              <w:rPr>
                <w:rFonts w:hint="eastAsia" w:cs="Times New Roman"/>
                <w:color w:val="auto"/>
                <w:sz w:val="24"/>
                <w:szCs w:val="24"/>
                <w:highlight w:val="none"/>
                <w:lang w:val="en-US" w:eastAsia="zh-CN"/>
              </w:rPr>
              <w:t>双鸭山</w:t>
            </w:r>
            <w:r>
              <w:rPr>
                <w:rFonts w:hint="default" w:cs="Times New Roman"/>
                <w:color w:val="auto"/>
                <w:sz w:val="24"/>
                <w:szCs w:val="24"/>
                <w:highlight w:val="none"/>
                <w:lang w:val="en-US" w:eastAsia="zh-CN"/>
              </w:rPr>
              <w:t>市</w:t>
            </w:r>
            <w:r>
              <w:rPr>
                <w:rFonts w:hint="eastAsia" w:cs="Times New Roman"/>
                <w:color w:val="auto"/>
                <w:sz w:val="24"/>
                <w:szCs w:val="24"/>
                <w:highlight w:val="none"/>
                <w:lang w:val="en-US" w:eastAsia="zh-CN"/>
              </w:rPr>
              <w:t>饶河</w:t>
            </w:r>
            <w:r>
              <w:rPr>
                <w:rFonts w:hint="default" w:cs="Times New Roman"/>
                <w:color w:val="auto"/>
                <w:sz w:val="24"/>
                <w:szCs w:val="24"/>
                <w:highlight w:val="none"/>
                <w:lang w:val="en-US" w:eastAsia="zh-CN"/>
              </w:rPr>
              <w:t>县</w:t>
            </w:r>
            <w:r>
              <w:rPr>
                <w:rFonts w:hint="eastAsia" w:cs="Times New Roman"/>
                <w:color w:val="auto"/>
                <w:sz w:val="24"/>
                <w:szCs w:val="24"/>
                <w:highlight w:val="none"/>
                <w:lang w:val="en-US" w:eastAsia="zh-CN"/>
              </w:rPr>
              <w:t>四排乡四排村</w:t>
            </w:r>
            <w:r>
              <w:rPr>
                <w:rFonts w:hint="eastAsia" w:cs="Times New Roman"/>
                <w:color w:val="auto"/>
                <w:sz w:val="24"/>
                <w:szCs w:val="24"/>
                <w:highlight w:val="none"/>
                <w:u w:val="none"/>
                <w:lang w:val="en-US" w:eastAsia="zh-CN"/>
              </w:rPr>
              <w:t>，</w:t>
            </w:r>
            <w:r>
              <w:rPr>
                <w:rFonts w:hint="eastAsia" w:cs="Times New Roman"/>
                <w:color w:val="auto"/>
                <w:kern w:val="0"/>
                <w:sz w:val="24"/>
                <w:szCs w:val="24"/>
                <w:highlight w:val="none"/>
                <w:lang w:val="en-US" w:eastAsia="zh-CN"/>
              </w:rPr>
              <w:t>项目所处地块</w:t>
            </w:r>
            <w:r>
              <w:rPr>
                <w:rFonts w:hint="eastAsia" w:ascii="Times New Roman" w:hAnsi="Times New Roman" w:eastAsia="宋体" w:cs="Times New Roman"/>
                <w:color w:val="auto"/>
                <w:kern w:val="0"/>
                <w:sz w:val="24"/>
                <w:szCs w:val="24"/>
                <w:highlight w:val="none"/>
                <w:lang w:val="en-US" w:eastAsia="zh-CN"/>
              </w:rPr>
              <w:t>用地性质为</w:t>
            </w:r>
            <w:r>
              <w:rPr>
                <w:rFonts w:hint="eastAsia" w:cs="Times New Roman"/>
                <w:color w:val="auto"/>
                <w:kern w:val="0"/>
                <w:sz w:val="24"/>
                <w:szCs w:val="24"/>
                <w:highlight w:val="none"/>
                <w:lang w:val="en-US" w:eastAsia="zh-CN"/>
              </w:rPr>
              <w:t>建设用地</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cs="Times New Roman"/>
                <w:color w:val="auto"/>
                <w:spacing w:val="2"/>
                <w:kern w:val="0"/>
                <w:sz w:val="24"/>
                <w:szCs w:val="24"/>
                <w:highlight w:val="none"/>
                <w:lang w:val="en-US" w:eastAsia="zh-CN"/>
              </w:rPr>
              <w:t>不</w:t>
            </w:r>
            <w:r>
              <w:rPr>
                <w:rFonts w:hint="eastAsia" w:cs="Times New Roman"/>
                <w:color w:val="auto"/>
                <w:spacing w:val="2"/>
                <w:kern w:val="0"/>
                <w:sz w:val="24"/>
                <w:szCs w:val="24"/>
                <w:highlight w:val="none"/>
                <w:lang w:val="en-US" w:eastAsia="zh-CN"/>
              </w:rPr>
              <w:t>涉及生态保护红线、</w:t>
            </w:r>
            <w:r>
              <w:rPr>
                <w:rFonts w:hint="default" w:ascii="Times New Roman" w:hAnsi="Times New Roman" w:cs="Times New Roman"/>
                <w:color w:val="auto"/>
                <w:spacing w:val="2"/>
                <w:kern w:val="0"/>
                <w:sz w:val="24"/>
                <w:szCs w:val="24"/>
                <w:highlight w:val="none"/>
                <w:lang w:val="en-US" w:eastAsia="zh-CN"/>
              </w:rPr>
              <w:t>风景名胜区、世界文化和自然遗产地、饮用水水源保护区，永久基本农田、重要湿地等需要特殊保</w:t>
            </w:r>
            <w:r>
              <w:rPr>
                <w:rFonts w:hint="default" w:ascii="Times New Roman" w:hAnsi="Times New Roman" w:eastAsia="宋体" w:cs="Times New Roman"/>
                <w:color w:val="auto"/>
                <w:kern w:val="2"/>
                <w:sz w:val="24"/>
                <w:szCs w:val="24"/>
                <w:highlight w:val="none"/>
                <w:lang w:val="en-US" w:eastAsia="zh-CN" w:bidi="ar-SA"/>
              </w:rPr>
              <w:t>护的区</w:t>
            </w:r>
            <w:r>
              <w:rPr>
                <w:rFonts w:hint="default" w:ascii="Times New Roman" w:hAnsi="Times New Roman" w:cs="Times New Roman"/>
                <w:color w:val="auto"/>
                <w:spacing w:val="2"/>
                <w:kern w:val="0"/>
                <w:sz w:val="24"/>
                <w:szCs w:val="24"/>
                <w:highlight w:val="none"/>
                <w:lang w:val="en-US" w:eastAsia="zh-CN"/>
              </w:rPr>
              <w:t>域</w:t>
            </w:r>
            <w:r>
              <w:rPr>
                <w:rFonts w:hint="eastAsia" w:cs="Times New Roman"/>
                <w:color w:val="auto"/>
                <w:spacing w:val="2"/>
                <w:kern w:val="0"/>
                <w:sz w:val="24"/>
                <w:szCs w:val="24"/>
                <w:highlight w:val="none"/>
                <w:lang w:val="en-US" w:eastAsia="zh-CN"/>
              </w:rPr>
              <w:t>。</w:t>
            </w:r>
          </w:p>
          <w:p w14:paraId="690E74CC">
            <w:pPr>
              <w:pStyle w:val="45"/>
              <w:keepNext w:val="0"/>
              <w:keepLines w:val="0"/>
              <w:pageBreakBefore w:val="0"/>
              <w:kinsoku/>
              <w:wordWrap/>
              <w:overflowPunct/>
              <w:topLinePunct w:val="0"/>
              <w:bidi w:val="0"/>
              <w:adjustRightInd/>
              <w:snapToGrid/>
              <w:spacing w:line="360" w:lineRule="auto"/>
              <w:textAlignment w:val="auto"/>
              <w:rPr>
                <w:rFonts w:hint="eastAsia" w:cs="Times New Roman"/>
                <w:color w:val="auto"/>
                <w:sz w:val="24"/>
                <w:szCs w:val="24"/>
                <w:highlight w:val="none"/>
                <w:u w:val="none"/>
                <w:lang w:val="en-US" w:eastAsia="zh-CN"/>
              </w:rPr>
            </w:pPr>
            <w:r>
              <w:rPr>
                <w:rFonts w:hint="eastAsia" w:cs="Times New Roman"/>
                <w:color w:val="auto"/>
                <w:spacing w:val="2"/>
                <w:kern w:val="0"/>
                <w:sz w:val="24"/>
                <w:szCs w:val="24"/>
                <w:highlight w:val="none"/>
                <w:lang w:val="en-US" w:eastAsia="zh-CN"/>
              </w:rPr>
              <w:t>根据</w:t>
            </w:r>
            <w:r>
              <w:rPr>
                <w:rFonts w:hint="eastAsia" w:cs="Times New Roman"/>
                <w:color w:val="auto"/>
                <w:sz w:val="24"/>
                <w:szCs w:val="24"/>
                <w:highlight w:val="none"/>
                <w:lang w:val="en-US" w:eastAsia="zh-CN"/>
              </w:rPr>
              <w:t>黑龙江省生态环境分区管控数据应用平台导出的《生态环境分区管控分析报告》显示，项目</w:t>
            </w:r>
            <w:r>
              <w:rPr>
                <w:rFonts w:hint="eastAsia" w:cs="Times New Roman"/>
                <w:color w:val="auto"/>
                <w:sz w:val="24"/>
                <w:szCs w:val="24"/>
                <w:highlight w:val="none"/>
                <w:u w:val="none"/>
                <w:lang w:val="en-US" w:eastAsia="zh-CN"/>
              </w:rPr>
              <w:t>与自然保护地（整合优化调整前）相交情况为黑龙江饶河东北黑蜂国家级自然保护区，与自然保护区实验区相交面积小于0.01平方公里。</w:t>
            </w:r>
          </w:p>
          <w:p w14:paraId="0AFBE34B">
            <w:pPr>
              <w:pStyle w:val="45"/>
              <w:keepNext w:val="0"/>
              <w:keepLines w:val="0"/>
              <w:pageBreakBefore w:val="0"/>
              <w:kinsoku/>
              <w:wordWrap/>
              <w:overflowPunct/>
              <w:topLinePunct w:val="0"/>
              <w:bidi w:val="0"/>
              <w:adjustRightInd/>
              <w:snapToGrid/>
              <w:spacing w:line="360" w:lineRule="auto"/>
              <w:textAlignment w:val="auto"/>
              <w:rPr>
                <w:rFonts w:hint="eastAsia" w:cs="Times New Roman"/>
                <w:color w:val="auto"/>
                <w:sz w:val="24"/>
                <w:szCs w:val="24"/>
                <w:highlight w:val="none"/>
                <w:u w:val="none"/>
                <w:lang w:val="en-US" w:eastAsia="zh-CN"/>
              </w:rPr>
            </w:pPr>
            <w:r>
              <w:rPr>
                <w:rFonts w:hint="eastAsia" w:cs="Times New Roman"/>
                <w:color w:val="auto"/>
                <w:sz w:val="24"/>
                <w:szCs w:val="24"/>
                <w:highlight w:val="none"/>
                <w:u w:val="none"/>
                <w:lang w:val="en-US" w:eastAsia="zh-CN"/>
              </w:rPr>
              <w:t>项目与黑龙江饶河东北黑蜂国家级自然保护区整合优化调整后无相交情况，一般控制区最近距离约8.2公里；核心区最近距离约11公里，具体位置关系详见下图。</w:t>
            </w:r>
          </w:p>
          <w:p w14:paraId="13FFAAC0">
            <w:pPr>
              <w:pStyle w:val="45"/>
              <w:keepNext w:val="0"/>
              <w:keepLines w:val="0"/>
              <w:pageBreakBefore w:val="0"/>
              <w:kinsoku/>
              <w:wordWrap/>
              <w:overflowPunct/>
              <w:topLinePunct w:val="0"/>
              <w:bidi w:val="0"/>
              <w:adjustRightInd/>
              <w:snapToGrid/>
              <w:spacing w:line="360" w:lineRule="auto"/>
              <w:textAlignment w:val="auto"/>
              <w:rPr>
                <w:rFonts w:hint="eastAsia" w:cs="Times New Roman"/>
                <w:color w:val="auto"/>
                <w:sz w:val="24"/>
                <w:szCs w:val="24"/>
                <w:highlight w:val="none"/>
                <w:u w:val="none"/>
                <w:lang w:val="en-US" w:eastAsia="zh-CN"/>
              </w:rPr>
            </w:pPr>
          </w:p>
          <w:p w14:paraId="20918EFB">
            <w:pPr>
              <w:pStyle w:val="45"/>
              <w:keepNext w:val="0"/>
              <w:keepLines w:val="0"/>
              <w:pageBreakBefore w:val="0"/>
              <w:kinsoku/>
              <w:wordWrap/>
              <w:overflowPunct/>
              <w:topLinePunct w:val="0"/>
              <w:bidi w:val="0"/>
              <w:adjustRightInd/>
              <w:snapToGrid/>
              <w:spacing w:line="360" w:lineRule="auto"/>
              <w:textAlignment w:val="auto"/>
              <w:rPr>
                <w:rFonts w:hint="eastAsia" w:cs="Times New Roman"/>
                <w:color w:val="auto"/>
                <w:sz w:val="24"/>
                <w:szCs w:val="24"/>
                <w:highlight w:val="none"/>
                <w:u w:val="none"/>
                <w:lang w:val="en-US" w:eastAsia="zh-CN"/>
              </w:rPr>
            </w:pPr>
          </w:p>
          <w:p w14:paraId="31D64DA5">
            <w:pPr>
              <w:pStyle w:val="45"/>
              <w:keepNext w:val="0"/>
              <w:keepLines w:val="0"/>
              <w:pageBreakBefore w:val="0"/>
              <w:kinsoku/>
              <w:wordWrap/>
              <w:overflowPunct/>
              <w:topLinePunct w:val="0"/>
              <w:bidi w:val="0"/>
              <w:adjustRightInd/>
              <w:snapToGrid/>
              <w:spacing w:line="360" w:lineRule="auto"/>
              <w:textAlignment w:val="auto"/>
              <w:rPr>
                <w:rFonts w:hint="eastAsia" w:cs="Times New Roman"/>
                <w:color w:val="auto"/>
                <w:sz w:val="24"/>
                <w:szCs w:val="24"/>
                <w:highlight w:val="none"/>
                <w:u w:val="none"/>
                <w:lang w:val="en-US" w:eastAsia="zh-CN"/>
              </w:rPr>
            </w:pPr>
          </w:p>
          <w:p w14:paraId="4D243F88">
            <w:pPr>
              <w:pStyle w:val="45"/>
              <w:keepNext w:val="0"/>
              <w:keepLines w:val="0"/>
              <w:pageBreakBefore w:val="0"/>
              <w:kinsoku/>
              <w:wordWrap/>
              <w:overflowPunct/>
              <w:topLinePunct w:val="0"/>
              <w:bidi w:val="0"/>
              <w:adjustRightInd/>
              <w:snapToGrid/>
              <w:spacing w:line="360" w:lineRule="auto"/>
              <w:textAlignment w:val="auto"/>
              <w:rPr>
                <w:rFonts w:hint="eastAsia" w:cs="Times New Roman"/>
                <w:color w:val="auto"/>
                <w:sz w:val="24"/>
                <w:szCs w:val="24"/>
                <w:highlight w:val="none"/>
                <w:u w:val="none"/>
                <w:lang w:val="en-US" w:eastAsia="zh-CN"/>
              </w:rPr>
            </w:pPr>
          </w:p>
          <w:p w14:paraId="760C007D">
            <w:pPr>
              <w:pStyle w:val="45"/>
              <w:keepNext w:val="0"/>
              <w:keepLines w:val="0"/>
              <w:pageBreakBefore w:val="0"/>
              <w:kinsoku/>
              <w:wordWrap/>
              <w:overflowPunct/>
              <w:topLinePunct w:val="0"/>
              <w:bidi w:val="0"/>
              <w:adjustRightInd/>
              <w:snapToGrid/>
              <w:spacing w:line="360" w:lineRule="auto"/>
              <w:textAlignment w:val="auto"/>
              <w:rPr>
                <w:rFonts w:hint="eastAsia" w:cs="Times New Roman"/>
                <w:color w:val="auto"/>
                <w:sz w:val="24"/>
                <w:szCs w:val="24"/>
                <w:highlight w:val="none"/>
                <w:u w:val="none"/>
                <w:lang w:val="en-US" w:eastAsia="zh-CN"/>
              </w:rPr>
            </w:pPr>
          </w:p>
          <w:p w14:paraId="1FB56BB0">
            <w:pPr>
              <w:pStyle w:val="45"/>
              <w:keepNext w:val="0"/>
              <w:keepLines w:val="0"/>
              <w:pageBreakBefore w:val="0"/>
              <w:kinsoku/>
              <w:wordWrap/>
              <w:overflowPunct/>
              <w:topLinePunct w:val="0"/>
              <w:bidi w:val="0"/>
              <w:adjustRightInd/>
              <w:snapToGrid/>
              <w:spacing w:line="360" w:lineRule="auto"/>
              <w:textAlignment w:val="auto"/>
              <w:rPr>
                <w:rFonts w:hint="eastAsia" w:cs="Times New Roman"/>
                <w:color w:val="auto"/>
                <w:sz w:val="24"/>
                <w:szCs w:val="24"/>
                <w:highlight w:val="none"/>
                <w:u w:val="none"/>
                <w:lang w:val="en-US" w:eastAsia="zh-CN"/>
              </w:rPr>
            </w:pPr>
          </w:p>
          <w:p w14:paraId="34E730BB">
            <w:pPr>
              <w:pStyle w:val="45"/>
              <w:keepNext w:val="0"/>
              <w:keepLines w:val="0"/>
              <w:pageBreakBefore w:val="0"/>
              <w:kinsoku/>
              <w:wordWrap/>
              <w:overflowPunct/>
              <w:topLinePunct w:val="0"/>
              <w:bidi w:val="0"/>
              <w:adjustRightInd/>
              <w:snapToGrid/>
              <w:spacing w:line="360" w:lineRule="auto"/>
              <w:textAlignment w:val="auto"/>
              <w:rPr>
                <w:rFonts w:hint="eastAsia" w:cs="Times New Roman"/>
                <w:color w:val="auto"/>
                <w:sz w:val="24"/>
                <w:szCs w:val="24"/>
                <w:highlight w:val="none"/>
                <w:u w:val="none"/>
                <w:lang w:val="en-US" w:eastAsia="zh-CN"/>
              </w:rPr>
            </w:pPr>
          </w:p>
          <w:tbl>
            <w:tblPr>
              <w:tblStyle w:val="21"/>
              <w:tblW w:w="7696"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96"/>
            </w:tblGrid>
            <w:tr w14:paraId="06AC4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Borders>
                    <w:tl2br w:val="nil"/>
                    <w:tr2bl w:val="nil"/>
                  </w:tcBorders>
                  <w:vAlign w:val="top"/>
                </w:tcPr>
                <w:p w14:paraId="1192FF03">
                  <w:pPr>
                    <w:pStyle w:val="45"/>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color w:val="auto"/>
                      <w:spacing w:val="2"/>
                      <w:kern w:val="0"/>
                      <w:sz w:val="24"/>
                      <w:szCs w:val="24"/>
                      <w:highlight w:val="none"/>
                      <w:vertAlign w:val="baseline"/>
                      <w:lang w:val="en-US" w:eastAsia="zh-CN"/>
                    </w:rPr>
                  </w:pPr>
                  <w:r>
                    <w:rPr>
                      <w:rFonts w:hint="default" w:ascii="Times New Roman" w:hAnsi="Times New Roman" w:cs="Times New Roman"/>
                      <w:color w:val="auto"/>
                      <w:spacing w:val="2"/>
                      <w:kern w:val="0"/>
                      <w:sz w:val="24"/>
                      <w:szCs w:val="24"/>
                      <w:highlight w:val="none"/>
                      <w:vertAlign w:val="baseline"/>
                      <w:lang w:val="en-US" w:eastAsia="zh-CN"/>
                    </w:rPr>
                    <w:drawing>
                      <wp:inline distT="0" distB="0" distL="114300" distR="114300">
                        <wp:extent cx="4745355" cy="3840480"/>
                        <wp:effectExtent l="0" t="0" r="4445" b="7620"/>
                        <wp:docPr id="20" name="图片 20" descr="b75e14e869c540694fb2dcea4d19a3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b75e14e869c540694fb2dcea4d19a3f6"/>
                                <pic:cNvPicPr>
                                  <a:picLocks noChangeAspect="1"/>
                                </pic:cNvPicPr>
                              </pic:nvPicPr>
                              <pic:blipFill>
                                <a:blip r:embed="rId13"/>
                                <a:stretch>
                                  <a:fillRect/>
                                </a:stretch>
                              </pic:blipFill>
                              <pic:spPr>
                                <a:xfrm>
                                  <a:off x="0" y="0"/>
                                  <a:ext cx="4745355" cy="3840480"/>
                                </a:xfrm>
                                <a:prstGeom prst="rect">
                                  <a:avLst/>
                                </a:prstGeom>
                              </pic:spPr>
                            </pic:pic>
                          </a:graphicData>
                        </a:graphic>
                      </wp:inline>
                    </w:drawing>
                  </w:r>
                </w:p>
              </w:tc>
            </w:tr>
            <w:tr w14:paraId="4EDA2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Borders>
                    <w:bottom w:val="nil"/>
                    <w:tl2br w:val="nil"/>
                    <w:tr2bl w:val="nil"/>
                  </w:tcBorders>
                  <w:vAlign w:val="top"/>
                </w:tcPr>
                <w:p w14:paraId="750FB2E9">
                  <w:pPr>
                    <w:pStyle w:val="45"/>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color w:val="auto"/>
                      <w:spacing w:val="2"/>
                      <w:kern w:val="0"/>
                      <w:sz w:val="24"/>
                      <w:szCs w:val="24"/>
                      <w:highlight w:val="none"/>
                      <w:vertAlign w:val="baseline"/>
                      <w:lang w:val="en-US" w:eastAsia="zh-CN"/>
                    </w:rPr>
                  </w:pPr>
                  <w:r>
                    <w:rPr>
                      <w:rFonts w:hint="eastAsia" w:cs="Times New Roman"/>
                      <w:b/>
                      <w:bCs/>
                      <w:color w:val="auto"/>
                      <w:sz w:val="21"/>
                      <w:szCs w:val="21"/>
                      <w:highlight w:val="none"/>
                      <w:u w:val="none"/>
                      <w:vertAlign w:val="baseline"/>
                      <w:lang w:val="en-US" w:eastAsia="zh-CN"/>
                    </w:rPr>
                    <w:t xml:space="preserve">图1-3 </w:t>
                  </w:r>
                  <w:r>
                    <w:rPr>
                      <w:rFonts w:hint="default" w:ascii="Times New Roman" w:hAnsi="Times New Roman" w:cs="Times New Roman"/>
                      <w:b/>
                      <w:bCs/>
                      <w:color w:val="auto"/>
                      <w:sz w:val="21"/>
                      <w:szCs w:val="21"/>
                      <w:highlight w:val="none"/>
                      <w:u w:val="none"/>
                      <w:vertAlign w:val="baseline"/>
                      <w:lang w:val="en-US" w:eastAsia="zh-CN"/>
                    </w:rPr>
                    <w:t>项目与</w:t>
                  </w:r>
                  <w:r>
                    <w:rPr>
                      <w:rFonts w:hint="eastAsia" w:ascii="Times New Roman" w:hAnsi="Times New Roman" w:cs="Times New Roman"/>
                      <w:b/>
                      <w:bCs/>
                      <w:color w:val="auto"/>
                      <w:sz w:val="21"/>
                      <w:szCs w:val="21"/>
                      <w:highlight w:val="none"/>
                      <w:u w:val="none"/>
                      <w:vertAlign w:val="baseline"/>
                      <w:lang w:val="en-US" w:eastAsia="zh-CN"/>
                    </w:rPr>
                    <w:t>黑龙江饶河东北黑蜂国家级自然保护区（整合优化调整后）</w:t>
                  </w:r>
                  <w:r>
                    <w:rPr>
                      <w:rFonts w:hint="eastAsia" w:cs="Times New Roman"/>
                      <w:b/>
                      <w:bCs/>
                      <w:color w:val="auto"/>
                      <w:sz w:val="21"/>
                      <w:szCs w:val="21"/>
                      <w:highlight w:val="none"/>
                      <w:u w:val="none"/>
                      <w:vertAlign w:val="baseline"/>
                      <w:lang w:val="en-US" w:eastAsia="zh-CN"/>
                    </w:rPr>
                    <w:t>整体范围位置关系图</w:t>
                  </w:r>
                </w:p>
              </w:tc>
            </w:tr>
          </w:tbl>
          <w:p w14:paraId="4B89369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lang w:val="en-US" w:eastAsia="zh-CN"/>
              </w:rPr>
              <w:t>三</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lang w:val="en-US" w:eastAsia="zh-CN"/>
              </w:rPr>
              <w:t>环境质量底线</w:t>
            </w:r>
          </w:p>
          <w:p w14:paraId="0AB7A5E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环境质量底线是国家和地方设置的大气、水和土壤环境质量目标，也是改善环境质量的基准线。</w:t>
            </w:r>
          </w:p>
          <w:p w14:paraId="477E5EF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kern w:val="0"/>
                <w:sz w:val="24"/>
                <w:szCs w:val="24"/>
                <w:highlight w:val="none"/>
                <w:lang w:val="en-US" w:eastAsia="zh-CN"/>
              </w:rPr>
              <w:t>1.大气环境</w:t>
            </w:r>
          </w:p>
          <w:p w14:paraId="1AA27CBF">
            <w:pPr>
              <w:pStyle w:val="43"/>
              <w:keepNext w:val="0"/>
              <w:keepLines w:val="0"/>
              <w:pageBreakBefore w:val="0"/>
              <w:widowControl w:val="0"/>
              <w:kinsoku/>
              <w:wordWrap/>
              <w:overflowPunct/>
              <w:topLinePunct w:val="0"/>
              <w:bidi w:val="0"/>
              <w:adjustRightInd/>
              <w:snapToGrid/>
              <w:textAlignment w:val="auto"/>
              <w:rPr>
                <w:rFonts w:hint="eastAsia" w:cs="Times New Roman"/>
                <w:color w:val="auto"/>
                <w:sz w:val="24"/>
                <w:szCs w:val="24"/>
                <w:highlight w:val="none"/>
                <w:u w:val="none"/>
                <w:lang w:val="en-US" w:eastAsia="zh-CN"/>
              </w:rPr>
            </w:pPr>
            <w:r>
              <w:rPr>
                <w:rFonts w:hint="default" w:ascii="Times New Roman" w:hAnsi="Times New Roman" w:eastAsia="宋体" w:cs="Times New Roman"/>
                <w:color w:val="auto"/>
                <w:kern w:val="2"/>
                <w:sz w:val="24"/>
                <w:szCs w:val="24"/>
                <w:highlight w:val="none"/>
                <w:lang w:val="en-US" w:eastAsia="zh-CN" w:bidi="ar-SA"/>
              </w:rPr>
              <w:t>项目环境要素管控分区为</w:t>
            </w:r>
            <w:r>
              <w:rPr>
                <w:rFonts w:hint="eastAsia" w:cs="Times New Roman"/>
                <w:color w:val="auto"/>
                <w:sz w:val="24"/>
                <w:szCs w:val="24"/>
                <w:highlight w:val="none"/>
                <w:u w:val="none"/>
                <w:lang w:val="en-US" w:eastAsia="zh-CN"/>
              </w:rPr>
              <w:t>饶河县一般生态空间（ZH23052410002）</w:t>
            </w:r>
            <w:r>
              <w:rPr>
                <w:rFonts w:hint="eastAsia" w:cs="Times New Roman"/>
                <w:color w:val="auto"/>
                <w:kern w:val="2"/>
                <w:sz w:val="24"/>
                <w:szCs w:val="24"/>
                <w:highlight w:val="none"/>
                <w:lang w:val="en-US" w:eastAsia="zh-CN" w:bidi="ar-SA"/>
              </w:rPr>
              <w:t>。</w:t>
            </w:r>
            <w:r>
              <w:rPr>
                <w:rFonts w:hint="eastAsia" w:ascii="Times New Roman" w:hAnsi="Times New Roman" w:cs="Times New Roman"/>
                <w:color w:val="auto"/>
                <w:sz w:val="24"/>
                <w:szCs w:val="24"/>
                <w:highlight w:val="none"/>
                <w:u w:val="none"/>
                <w:lang w:val="en-US" w:eastAsia="zh-CN"/>
              </w:rPr>
              <w:t>根据</w:t>
            </w:r>
            <w:r>
              <w:rPr>
                <w:rFonts w:hint="eastAsia" w:ascii="Times New Roman" w:hAnsi="Times New Roman" w:cs="Times New Roman"/>
                <w:color w:val="auto"/>
                <w:sz w:val="24"/>
                <w:highlight w:val="none"/>
                <w:lang w:val="en-US" w:eastAsia="zh-CN"/>
              </w:rPr>
              <w:t>《2025年双鸭山市环境空气质量状况》</w:t>
            </w:r>
            <w:r>
              <w:rPr>
                <w:rFonts w:hint="eastAsia" w:ascii="Times New Roman" w:hAnsi="Times New Roman" w:cs="Times New Roman"/>
                <w:color w:val="auto"/>
                <w:sz w:val="24"/>
                <w:szCs w:val="24"/>
                <w:highlight w:val="none"/>
                <w:u w:val="none"/>
                <w:lang w:val="en-US" w:eastAsia="zh-CN"/>
              </w:rPr>
              <w:t>数据，</w:t>
            </w:r>
            <w:r>
              <w:rPr>
                <w:rFonts w:hint="eastAsia" w:cs="Times New Roman"/>
                <w:color w:val="auto"/>
                <w:sz w:val="24"/>
                <w:szCs w:val="24"/>
                <w:highlight w:val="none"/>
                <w:u w:val="none"/>
                <w:lang w:val="en-US" w:eastAsia="zh-CN"/>
              </w:rPr>
              <w:t>双鸭山市</w:t>
            </w:r>
            <w:r>
              <w:rPr>
                <w:rFonts w:hint="eastAsia" w:ascii="Times New Roman" w:hAnsi="Times New Roman" w:cs="Times New Roman"/>
                <w:color w:val="auto"/>
                <w:sz w:val="24"/>
                <w:szCs w:val="24"/>
                <w:highlight w:val="none"/>
                <w:u w:val="none"/>
                <w:lang w:val="en-US" w:eastAsia="zh-CN"/>
              </w:rPr>
              <w:t>属于环境空气质量达标区。</w:t>
            </w:r>
            <w:r>
              <w:rPr>
                <w:rFonts w:hint="eastAsia" w:cs="Times New Roman"/>
                <w:color w:val="auto"/>
                <w:sz w:val="24"/>
                <w:szCs w:val="24"/>
                <w:highlight w:val="none"/>
                <w:u w:val="none"/>
                <w:lang w:val="en-US" w:eastAsia="zh-CN"/>
              </w:rPr>
              <w:t>为了解项目所在区域TSP24小时现状数据情况，</w:t>
            </w:r>
          </w:p>
          <w:p w14:paraId="2CE74EBB">
            <w:pPr>
              <w:pStyle w:val="43"/>
              <w:keepNext w:val="0"/>
              <w:keepLines w:val="0"/>
              <w:pageBreakBefore w:val="0"/>
              <w:widowControl w:val="0"/>
              <w:kinsoku/>
              <w:wordWrap/>
              <w:overflowPunct/>
              <w:topLinePunct w:val="0"/>
              <w:bidi w:val="0"/>
              <w:adjustRightInd/>
              <w:snapToGrid/>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项目委托</w:t>
            </w:r>
            <w:r>
              <w:rPr>
                <w:rFonts w:hint="eastAsia"/>
                <w:color w:val="auto"/>
                <w:sz w:val="24"/>
                <w:highlight w:val="none"/>
                <w:lang w:val="en-US" w:eastAsia="zh-CN"/>
              </w:rPr>
              <w:t>黑龙江博仕检验检测有限公司在</w:t>
            </w:r>
            <w:r>
              <w:rPr>
                <w:rFonts w:hint="eastAsia" w:cs="Times New Roman"/>
                <w:color w:val="auto"/>
                <w:spacing w:val="2"/>
                <w:kern w:val="0"/>
                <w:sz w:val="24"/>
                <w:highlight w:val="none"/>
                <w:lang w:val="en-US" w:eastAsia="zh-CN"/>
              </w:rPr>
              <w:t>位于</w:t>
            </w:r>
            <w:r>
              <w:rPr>
                <w:rFonts w:hint="eastAsia" w:cs="Times New Roman"/>
                <w:color w:val="auto"/>
                <w:sz w:val="24"/>
                <w:szCs w:val="24"/>
                <w:highlight w:val="none"/>
                <w:lang w:val="en-US" w:eastAsia="zh-CN"/>
              </w:rPr>
              <w:t>当季主导风向（SW）下风向补充1个监测点，监测因子为TSP24小时平均浓度，监测时间为2026年</w:t>
            </w:r>
            <w:r>
              <w:rPr>
                <w:rFonts w:hint="eastAsia" w:cs="Times New Roman"/>
                <w:color w:val="auto"/>
                <w:spacing w:val="2"/>
                <w:kern w:val="0"/>
                <w:sz w:val="24"/>
                <w:highlight w:val="none"/>
                <w:lang w:val="en-US" w:eastAsia="zh-CN"/>
              </w:rPr>
              <w:t>8</w:t>
            </w:r>
            <w:r>
              <w:rPr>
                <w:rFonts w:hint="default" w:ascii="Times New Roman" w:hAnsi="Times New Roman" w:cs="Times New Roman"/>
                <w:color w:val="auto"/>
                <w:spacing w:val="2"/>
                <w:kern w:val="0"/>
                <w:sz w:val="24"/>
                <w:highlight w:val="none"/>
                <w:lang w:val="en-US" w:eastAsia="zh-CN"/>
              </w:rPr>
              <w:t>月</w:t>
            </w:r>
            <w:r>
              <w:rPr>
                <w:rFonts w:hint="eastAsia" w:cs="Times New Roman"/>
                <w:color w:val="auto"/>
                <w:spacing w:val="2"/>
                <w:kern w:val="0"/>
                <w:sz w:val="24"/>
                <w:highlight w:val="none"/>
                <w:lang w:val="en-US" w:eastAsia="zh-CN"/>
              </w:rPr>
              <w:t>27</w:t>
            </w:r>
            <w:r>
              <w:rPr>
                <w:rFonts w:hint="default" w:ascii="Times New Roman" w:hAnsi="Times New Roman" w:cs="Times New Roman"/>
                <w:color w:val="auto"/>
                <w:spacing w:val="2"/>
                <w:kern w:val="0"/>
                <w:sz w:val="24"/>
                <w:highlight w:val="none"/>
                <w:lang w:val="en-US" w:eastAsia="zh-CN"/>
              </w:rPr>
              <w:t>日～</w:t>
            </w:r>
            <w:r>
              <w:rPr>
                <w:rFonts w:hint="eastAsia" w:cs="Times New Roman"/>
                <w:color w:val="auto"/>
                <w:spacing w:val="2"/>
                <w:kern w:val="0"/>
                <w:sz w:val="24"/>
                <w:highlight w:val="none"/>
                <w:lang w:val="en-US" w:eastAsia="zh-CN"/>
              </w:rPr>
              <w:t>8</w:t>
            </w:r>
            <w:r>
              <w:rPr>
                <w:rFonts w:hint="default" w:ascii="Times New Roman" w:hAnsi="Times New Roman" w:cs="Times New Roman"/>
                <w:color w:val="auto"/>
                <w:spacing w:val="2"/>
                <w:kern w:val="0"/>
                <w:sz w:val="24"/>
                <w:highlight w:val="none"/>
                <w:lang w:val="en-US" w:eastAsia="zh-CN"/>
              </w:rPr>
              <w:t>月</w:t>
            </w:r>
            <w:r>
              <w:rPr>
                <w:rFonts w:hint="eastAsia" w:cs="Times New Roman"/>
                <w:color w:val="auto"/>
                <w:spacing w:val="2"/>
                <w:kern w:val="0"/>
                <w:sz w:val="24"/>
                <w:highlight w:val="none"/>
                <w:lang w:val="en-US" w:eastAsia="zh-CN"/>
              </w:rPr>
              <w:t>29</w:t>
            </w:r>
            <w:r>
              <w:rPr>
                <w:rFonts w:hint="default" w:ascii="Times New Roman" w:hAnsi="Times New Roman" w:cs="Times New Roman"/>
                <w:color w:val="auto"/>
                <w:spacing w:val="2"/>
                <w:kern w:val="0"/>
                <w:sz w:val="24"/>
                <w:highlight w:val="none"/>
                <w:lang w:val="en-US" w:eastAsia="zh-CN"/>
              </w:rPr>
              <w:t>日</w:t>
            </w:r>
            <w:r>
              <w:rPr>
                <w:rFonts w:hint="default" w:ascii="Times New Roman" w:hAnsi="Times New Roman" w:cs="Times New Roman"/>
                <w:color w:val="auto"/>
                <w:spacing w:val="2"/>
                <w:kern w:val="0"/>
                <w:sz w:val="24"/>
                <w:szCs w:val="24"/>
                <w:highlight w:val="none"/>
                <w:lang w:val="en-US" w:eastAsia="zh-CN"/>
              </w:rPr>
              <w:t>，连续监测</w:t>
            </w:r>
            <w:r>
              <w:rPr>
                <w:rFonts w:hint="eastAsia" w:cs="Times New Roman"/>
                <w:color w:val="auto"/>
                <w:spacing w:val="2"/>
                <w:kern w:val="0"/>
                <w:sz w:val="24"/>
                <w:szCs w:val="24"/>
                <w:highlight w:val="none"/>
                <w:lang w:val="en-US" w:eastAsia="zh-CN"/>
              </w:rPr>
              <w:t>3</w:t>
            </w:r>
            <w:r>
              <w:rPr>
                <w:rFonts w:hint="default" w:ascii="Times New Roman" w:hAnsi="Times New Roman" w:cs="Times New Roman"/>
                <w:color w:val="auto"/>
                <w:spacing w:val="2"/>
                <w:kern w:val="0"/>
                <w:sz w:val="24"/>
                <w:szCs w:val="24"/>
                <w:highlight w:val="none"/>
                <w:lang w:val="en-US" w:eastAsia="zh-CN"/>
              </w:rPr>
              <w:t>天。</w:t>
            </w:r>
            <w:r>
              <w:rPr>
                <w:rFonts w:hint="eastAsia" w:ascii="Times New Roman" w:hAnsi="Times New Roman" w:cs="Times New Roman"/>
                <w:color w:val="auto"/>
                <w:spacing w:val="2"/>
                <w:kern w:val="0"/>
                <w:sz w:val="24"/>
                <w:szCs w:val="24"/>
                <w:highlight w:val="none"/>
                <w:lang w:val="en-US" w:eastAsia="zh-CN"/>
              </w:rPr>
              <w:t>监测结</w:t>
            </w:r>
            <w:r>
              <w:rPr>
                <w:rFonts w:hint="eastAsia" w:ascii="Times New Roman" w:hAnsi="Times New Roman" w:eastAsia="宋体" w:cs="Times New Roman"/>
                <w:color w:val="auto"/>
                <w:spacing w:val="2"/>
                <w:kern w:val="0"/>
                <w:sz w:val="24"/>
                <w:szCs w:val="24"/>
                <w:highlight w:val="none"/>
                <w:lang w:val="en-US" w:eastAsia="zh-CN"/>
              </w:rPr>
              <w:t>果为</w:t>
            </w:r>
            <w:r>
              <w:rPr>
                <w:rFonts w:hint="default" w:ascii="Times New Roman" w:hAnsi="Times New Roman" w:eastAsia="宋体" w:cs="Times New Roman"/>
                <w:color w:val="auto"/>
                <w:spacing w:val="2"/>
                <w:kern w:val="0"/>
                <w:sz w:val="24"/>
                <w:szCs w:val="24"/>
                <w:highlight w:val="none"/>
                <w:lang w:val="en-US" w:eastAsia="zh-CN"/>
              </w:rPr>
              <w:t>环境空气总悬浮颗粒物浓度</w:t>
            </w:r>
            <w:r>
              <w:rPr>
                <w:rFonts w:hint="eastAsia" w:cs="Times New Roman"/>
                <w:color w:val="auto"/>
                <w:sz w:val="24"/>
                <w:szCs w:val="24"/>
                <w:highlight w:val="none"/>
                <w:lang w:val="en-US" w:eastAsia="zh-CN"/>
              </w:rPr>
              <w:t>117~123</w:t>
            </w:r>
            <w:r>
              <w:rPr>
                <w:rFonts w:hint="default" w:ascii="Times New Roman" w:hAnsi="Times New Roman" w:cs="Times New Roman"/>
                <w:color w:val="auto"/>
                <w:sz w:val="24"/>
                <w:szCs w:val="24"/>
                <w:highlight w:val="none"/>
                <w:u w:val="none"/>
                <w:lang w:val="en-US" w:eastAsia="zh-CN"/>
              </w:rPr>
              <w:t>μg/m</w:t>
            </w:r>
            <w:r>
              <w:rPr>
                <w:rFonts w:hint="default" w:ascii="Times New Roman" w:hAnsi="Times New Roman" w:cs="Times New Roman"/>
                <w:color w:val="auto"/>
                <w:sz w:val="24"/>
                <w:szCs w:val="24"/>
                <w:highlight w:val="none"/>
                <w:u w:val="none"/>
                <w:vertAlign w:val="superscript"/>
                <w:lang w:val="en-US" w:eastAsia="zh-CN"/>
              </w:rPr>
              <w:t>3</w:t>
            </w:r>
            <w:r>
              <w:rPr>
                <w:rFonts w:hint="eastAsia" w:ascii="Times New Roman" w:hAnsi="Times New Roman" w:cs="Times New Roman"/>
                <w:color w:val="auto"/>
                <w:sz w:val="24"/>
                <w:szCs w:val="24"/>
                <w:highlight w:val="none"/>
                <w:u w:val="none"/>
                <w:vertAlign w:val="baseline"/>
                <w:lang w:val="en-US" w:eastAsia="zh-CN"/>
              </w:rPr>
              <w:t>，最大占标率41％，</w:t>
            </w:r>
            <w:r>
              <w:rPr>
                <w:rFonts w:hint="eastAsia" w:cs="Times New Roman"/>
                <w:color w:val="auto"/>
                <w:sz w:val="24"/>
                <w:szCs w:val="24"/>
                <w:highlight w:val="none"/>
                <w:lang w:val="en-US" w:eastAsia="zh-CN"/>
              </w:rPr>
              <w:t>总悬浮</w:t>
            </w:r>
            <w:r>
              <w:rPr>
                <w:rFonts w:hint="default" w:ascii="Times New Roman" w:hAnsi="Times New Roman" w:eastAsia="宋体" w:cs="Times New Roman"/>
                <w:color w:val="auto"/>
                <w:sz w:val="24"/>
                <w:szCs w:val="24"/>
                <w:highlight w:val="none"/>
                <w:lang w:val="en-US" w:eastAsia="zh-CN"/>
              </w:rPr>
              <w:t>颗粒物（TSP）24小时平均浓度</w:t>
            </w:r>
            <w:r>
              <w:rPr>
                <w:color w:val="auto"/>
                <w:sz w:val="24"/>
                <w:szCs w:val="24"/>
              </w:rPr>
              <w:t>满足</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环境</w:t>
            </w:r>
            <w:r>
              <w:rPr>
                <w:rFonts w:hint="default" w:ascii="Times New Roman" w:hAnsi="Times New Roman" w:eastAsia="宋体" w:cs="Times New Roman"/>
                <w:color w:val="auto"/>
                <w:sz w:val="24"/>
                <w:szCs w:val="24"/>
                <w:highlight w:val="none"/>
              </w:rPr>
              <w:t>空气质量标准》（GB3095-</w:t>
            </w:r>
            <w:r>
              <w:rPr>
                <w:rFonts w:hint="eastAsia" w:cs="Times New Roman"/>
                <w:color w:val="auto"/>
                <w:sz w:val="24"/>
                <w:szCs w:val="24"/>
                <w:highlight w:val="none"/>
                <w:lang w:val="en-US" w:eastAsia="zh-CN"/>
              </w:rPr>
              <w:t>2026</w:t>
            </w:r>
            <w:r>
              <w:rPr>
                <w:rFonts w:hint="default" w:ascii="Times New Roman" w:hAnsi="Times New Roman" w:eastAsia="宋体" w:cs="Times New Roman"/>
                <w:color w:val="auto"/>
                <w:sz w:val="24"/>
                <w:szCs w:val="24"/>
                <w:highlight w:val="none"/>
              </w:rPr>
              <w:t>）</w:t>
            </w:r>
            <w:r>
              <w:rPr>
                <w:rFonts w:hint="eastAsia" w:cs="Times New Roman"/>
                <w:b w:val="0"/>
                <w:bCs w:val="0"/>
                <w:color w:val="auto"/>
                <w:kern w:val="0"/>
                <w:sz w:val="24"/>
                <w:szCs w:val="24"/>
                <w:highlight w:val="none"/>
                <w:lang w:val="en-US" w:eastAsia="zh-CN" w:bidi="ar"/>
              </w:rPr>
              <w:t>中表2浓度限值</w:t>
            </w:r>
            <w:r>
              <w:rPr>
                <w:rFonts w:hint="default" w:ascii="Times New Roman" w:hAnsi="Times New Roman" w:eastAsia="宋体" w:cs="Times New Roman"/>
                <w:color w:val="auto"/>
                <w:sz w:val="24"/>
                <w:szCs w:val="24"/>
                <w:highlight w:val="none"/>
              </w:rPr>
              <w:t>二级标准</w:t>
            </w:r>
            <w:r>
              <w:rPr>
                <w:rFonts w:hint="default" w:ascii="Times New Roman" w:hAnsi="Times New Roman" w:eastAsia="宋体" w:cs="Times New Roman"/>
                <w:color w:val="auto"/>
                <w:sz w:val="24"/>
                <w:szCs w:val="24"/>
                <w:highlight w:val="none"/>
                <w:lang w:val="en-US" w:eastAsia="zh-CN"/>
              </w:rPr>
              <w:t>。</w:t>
            </w:r>
          </w:p>
          <w:p w14:paraId="6FB2C88A">
            <w:pPr>
              <w:pStyle w:val="43"/>
              <w:keepNext w:val="0"/>
              <w:keepLines w:val="0"/>
              <w:pageBreakBefore w:val="0"/>
              <w:widowControl w:val="0"/>
              <w:kinsoku/>
              <w:wordWrap/>
              <w:overflowPunct/>
              <w:topLinePunct w:val="0"/>
              <w:bidi w:val="0"/>
              <w:adjustRightInd/>
              <w:snapToGrid/>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项目锅炉</w:t>
            </w:r>
            <w:r>
              <w:rPr>
                <w:rFonts w:hint="eastAsia" w:cs="Times New Roman"/>
                <w:color w:val="auto"/>
                <w:sz w:val="24"/>
                <w:szCs w:val="24"/>
                <w:highlight w:val="none"/>
                <w:lang w:val="en-US" w:eastAsia="zh-CN"/>
              </w:rPr>
              <w:t>烟气</w:t>
            </w:r>
            <w:r>
              <w:rPr>
                <w:rFonts w:hint="eastAsia" w:ascii="Times New Roman" w:hAnsi="Times New Roman" w:eastAsia="宋体" w:cs="Times New Roman"/>
                <w:color w:val="auto"/>
                <w:sz w:val="24"/>
                <w:szCs w:val="24"/>
                <w:highlight w:val="none"/>
                <w:lang w:val="en-US" w:eastAsia="zh-CN"/>
              </w:rPr>
              <w:t>经“</w:t>
            </w:r>
            <w:r>
              <w:rPr>
                <w:rFonts w:hint="eastAsia" w:cs="Times New Roman"/>
                <w:color w:val="auto"/>
                <w:sz w:val="24"/>
                <w:szCs w:val="24"/>
                <w:highlight w:val="none"/>
                <w:lang w:val="en-US" w:eastAsia="zh-CN"/>
              </w:rPr>
              <w:t>旋风多管陶瓷除尘器+布袋除尘器</w:t>
            </w:r>
            <w:r>
              <w:rPr>
                <w:rFonts w:hint="eastAsia" w:ascii="Times New Roman" w:hAnsi="Times New Roman" w:eastAsia="宋体" w:cs="Times New Roman"/>
                <w:color w:val="auto"/>
                <w:sz w:val="24"/>
                <w:szCs w:val="24"/>
                <w:highlight w:val="none"/>
                <w:lang w:val="en-US" w:eastAsia="zh-CN"/>
              </w:rPr>
              <w:t>”处理后经</w:t>
            </w:r>
            <w:r>
              <w:rPr>
                <w:rFonts w:hint="eastAsia" w:cs="Times New Roman"/>
                <w:color w:val="auto"/>
                <w:sz w:val="24"/>
                <w:szCs w:val="24"/>
                <w:highlight w:val="none"/>
                <w:lang w:val="en-US" w:eastAsia="zh-CN"/>
              </w:rPr>
              <w:t>35</w:t>
            </w:r>
            <w:r>
              <w:rPr>
                <w:rFonts w:hint="eastAsia" w:ascii="Times New Roman" w:hAnsi="Times New Roman" w:eastAsia="宋体" w:cs="Times New Roman"/>
                <w:color w:val="auto"/>
                <w:sz w:val="24"/>
                <w:szCs w:val="24"/>
                <w:highlight w:val="none"/>
                <w:lang w:val="en-US" w:eastAsia="zh-CN"/>
              </w:rPr>
              <w:t>m高烟囱（DA001）有组织排放，正常工况下，颗粒物、SO</w:t>
            </w:r>
            <w:r>
              <w:rPr>
                <w:rFonts w:hint="eastAsia" w:ascii="Times New Roman" w:hAnsi="Times New Roman" w:eastAsia="宋体" w:cs="Times New Roman"/>
                <w:color w:val="auto"/>
                <w:sz w:val="24"/>
                <w:szCs w:val="24"/>
                <w:highlight w:val="none"/>
                <w:vertAlign w:val="subscript"/>
                <w:lang w:val="en-US" w:eastAsia="zh-CN"/>
              </w:rPr>
              <w:t>2</w:t>
            </w:r>
            <w:r>
              <w:rPr>
                <w:rFonts w:hint="eastAsia" w:ascii="Times New Roman" w:hAnsi="Times New Roman" w:eastAsia="宋体" w:cs="Times New Roman"/>
                <w:color w:val="auto"/>
                <w:sz w:val="24"/>
                <w:szCs w:val="24"/>
                <w:highlight w:val="none"/>
                <w:lang w:val="en-US" w:eastAsia="zh-CN"/>
              </w:rPr>
              <w:t>、NO</w:t>
            </w:r>
            <w:r>
              <w:rPr>
                <w:rFonts w:hint="eastAsia" w:ascii="Times New Roman" w:hAnsi="Times New Roman" w:eastAsia="宋体" w:cs="Times New Roman"/>
                <w:color w:val="auto"/>
                <w:sz w:val="24"/>
                <w:szCs w:val="24"/>
                <w:highlight w:val="none"/>
                <w:vertAlign w:val="subscript"/>
                <w:lang w:val="en-US" w:eastAsia="zh-CN"/>
              </w:rPr>
              <w:t>X</w:t>
            </w:r>
            <w:r>
              <w:rPr>
                <w:rFonts w:hint="eastAsia" w:ascii="Times New Roman" w:hAnsi="Times New Roman" w:eastAsia="宋体" w:cs="Times New Roman"/>
                <w:color w:val="auto"/>
                <w:sz w:val="24"/>
                <w:szCs w:val="24"/>
                <w:highlight w:val="none"/>
                <w:lang w:val="en-US" w:eastAsia="zh-CN"/>
              </w:rPr>
              <w:t>、汞及其化合物、烟气黑度符合</w:t>
            </w:r>
            <w:r>
              <w:rPr>
                <w:rFonts w:hint="default" w:ascii="Times New Roman" w:hAnsi="Times New Roman" w:eastAsia="宋体" w:cs="Times New Roman"/>
                <w:color w:val="auto"/>
                <w:sz w:val="24"/>
                <w:szCs w:val="24"/>
                <w:highlight w:val="none"/>
                <w:lang w:val="en-US" w:eastAsia="zh-CN"/>
              </w:rPr>
              <w:t>《锅炉大气污染物排放标准》（GB13271-2014）表3中燃煤锅炉大气污染物特别排放限值</w:t>
            </w:r>
            <w:r>
              <w:rPr>
                <w:rFonts w:hint="eastAsia" w:ascii="Times New Roman" w:hAnsi="Times New Roman" w:eastAsia="宋体" w:cs="Times New Roman"/>
                <w:color w:val="auto"/>
                <w:sz w:val="24"/>
                <w:szCs w:val="24"/>
                <w:highlight w:val="none"/>
                <w:lang w:val="en-US" w:eastAsia="zh-CN"/>
              </w:rPr>
              <w:t>后有组织排放。</w:t>
            </w:r>
          </w:p>
          <w:p w14:paraId="764E7773">
            <w:pPr>
              <w:pStyle w:val="43"/>
              <w:keepNext w:val="0"/>
              <w:keepLines w:val="0"/>
              <w:pageBreakBefore w:val="0"/>
              <w:widowControl w:val="0"/>
              <w:kinsoku/>
              <w:wordWrap/>
              <w:overflowPunct/>
              <w:topLinePunct w:val="0"/>
              <w:bidi w:val="0"/>
              <w:adjustRightInd/>
              <w:snapToGrid/>
              <w:textAlignment w:val="auto"/>
              <w:rPr>
                <w:rFonts w:hint="default" w:cs="Times New Roman"/>
                <w:color w:val="auto"/>
                <w:sz w:val="24"/>
                <w:szCs w:val="24"/>
                <w:highlight w:val="none"/>
                <w:u w:val="none"/>
                <w:vertAlign w:val="baseline"/>
                <w:lang w:val="en-US" w:eastAsia="zh-CN"/>
              </w:rPr>
            </w:pPr>
            <w:r>
              <w:rPr>
                <w:rFonts w:hint="eastAsia" w:ascii="Times New Roman" w:hAnsi="Times New Roman" w:eastAsia="宋体" w:cs="Times New Roman"/>
                <w:color w:val="auto"/>
                <w:sz w:val="24"/>
                <w:szCs w:val="24"/>
                <w:highlight w:val="none"/>
                <w:lang w:val="en-US" w:eastAsia="zh-CN"/>
              </w:rPr>
              <w:t>厂界颗粒物符合</w:t>
            </w:r>
            <w:r>
              <w:rPr>
                <w:rFonts w:hint="default" w:ascii="Times New Roman" w:hAnsi="Times New Roman" w:eastAsia="宋体" w:cs="Times New Roman"/>
                <w:color w:val="auto"/>
                <w:sz w:val="24"/>
                <w:szCs w:val="24"/>
                <w:highlight w:val="none"/>
                <w:lang w:val="en-US" w:eastAsia="zh-CN"/>
              </w:rPr>
              <w:t>《大气污染物综合排放标准》（GB16297-1996）表2</w:t>
            </w:r>
            <w:r>
              <w:rPr>
                <w:rFonts w:hint="eastAsia" w:ascii="Times New Roman" w:hAnsi="Times New Roman" w:eastAsia="宋体" w:cs="Times New Roman"/>
                <w:color w:val="auto"/>
                <w:sz w:val="24"/>
                <w:szCs w:val="24"/>
                <w:highlight w:val="none"/>
                <w:lang w:val="en-US" w:eastAsia="zh-CN"/>
              </w:rPr>
              <w:t>无组织排放浓度限值。综上，项目不会突破大气环境质量底线</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因此符合双鸭山市大气环境质量底线及</w:t>
            </w:r>
            <w:r>
              <w:rPr>
                <w:rFonts w:hint="eastAsia" w:cs="Times New Roman"/>
                <w:color w:val="auto"/>
                <w:sz w:val="24"/>
                <w:szCs w:val="24"/>
                <w:highlight w:val="none"/>
                <w:lang w:val="en-US" w:eastAsia="zh-CN"/>
              </w:rPr>
              <w:t>管控分区</w:t>
            </w:r>
            <w:r>
              <w:rPr>
                <w:rFonts w:hint="eastAsia" w:ascii="Times New Roman" w:hAnsi="Times New Roman" w:eastAsia="宋体" w:cs="Times New Roman"/>
                <w:color w:val="auto"/>
                <w:sz w:val="24"/>
                <w:szCs w:val="24"/>
                <w:highlight w:val="none"/>
                <w:lang w:val="en-US" w:eastAsia="zh-CN"/>
              </w:rPr>
              <w:t>的要求。</w:t>
            </w:r>
          </w:p>
          <w:p w14:paraId="04985DD1">
            <w:pPr>
              <w:pStyle w:val="43"/>
              <w:keepNext w:val="0"/>
              <w:keepLines w:val="0"/>
              <w:pageBreakBefore w:val="0"/>
              <w:widowControl w:val="0"/>
              <w:kinsoku/>
              <w:wordWrap/>
              <w:overflowPunct/>
              <w:topLinePunct w:val="0"/>
              <w:bidi w:val="0"/>
              <w:adjustRightInd/>
              <w:snapToGrid/>
              <w:spacing w:line="360" w:lineRule="auto"/>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2.水环境</w:t>
            </w:r>
          </w:p>
          <w:p w14:paraId="20C4387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项目环境要素管控分区为浇河县地下水环境一般管控区（YS2305246310001</w:t>
            </w:r>
            <w:r>
              <w:rPr>
                <w:rFonts w:hint="eastAsia" w:ascii="Times New Roman" w:hAnsi="Times New Roman" w:eastAsia="宋体" w:cs="Times New Roman"/>
                <w:color w:val="auto"/>
                <w:kern w:val="2"/>
                <w:sz w:val="24"/>
                <w:szCs w:val="24"/>
                <w:highlight w:val="none"/>
                <w:lang w:val="en-US" w:eastAsia="zh-CN" w:bidi="ar-SA"/>
              </w:rPr>
              <w:t>）。锅炉排污水及软化处理废水：锅炉排污水及软化处理废水少量用于灰渣转运、储存进行洒水抑尘。综合废水：生活污水、锅炉排污水及软化处理废水排入厂区化粪池，化粪池出水水质符合</w:t>
            </w:r>
            <w:r>
              <w:rPr>
                <w:rFonts w:hint="default" w:ascii="Times New Roman" w:hAnsi="Times New Roman" w:eastAsia="宋体" w:cs="Times New Roman"/>
                <w:color w:val="auto"/>
                <w:kern w:val="2"/>
                <w:sz w:val="24"/>
                <w:szCs w:val="24"/>
                <w:highlight w:val="none"/>
                <w:lang w:val="en-US" w:eastAsia="zh-CN" w:bidi="ar-SA"/>
              </w:rPr>
              <w:t>《污水综合排放标准》（GB8978-1996）表4中三级标准</w:t>
            </w:r>
            <w:r>
              <w:rPr>
                <w:rFonts w:hint="eastAsia" w:ascii="Times New Roman" w:hAnsi="Times New Roman" w:eastAsia="宋体" w:cs="Times New Roman"/>
                <w:color w:val="auto"/>
                <w:kern w:val="2"/>
                <w:sz w:val="24"/>
                <w:szCs w:val="24"/>
                <w:highlight w:val="none"/>
                <w:lang w:val="en-US" w:eastAsia="zh-CN" w:bidi="ar-SA"/>
              </w:rPr>
              <w:t>及</w:t>
            </w:r>
            <w:r>
              <w:rPr>
                <w:rFonts w:hint="default" w:ascii="Times New Roman" w:hAnsi="Times New Roman" w:eastAsia="宋体" w:cs="Times New Roman"/>
                <w:color w:val="auto"/>
                <w:kern w:val="2"/>
                <w:sz w:val="24"/>
                <w:szCs w:val="24"/>
                <w:highlight w:val="none"/>
                <w:lang w:val="en-US" w:eastAsia="zh-CN" w:bidi="ar-SA"/>
              </w:rPr>
              <w:t>饶河县西林子乡污水处理站</w:t>
            </w:r>
            <w:r>
              <w:rPr>
                <w:rFonts w:hint="eastAsia" w:ascii="Times New Roman" w:hAnsi="Times New Roman" w:eastAsia="宋体" w:cs="Times New Roman"/>
                <w:color w:val="auto"/>
                <w:kern w:val="2"/>
                <w:sz w:val="24"/>
                <w:szCs w:val="24"/>
                <w:highlight w:val="none"/>
                <w:lang w:val="en-US" w:eastAsia="zh-CN" w:bidi="ar-SA"/>
              </w:rPr>
              <w:t>入水水质浓度后，通过10吨</w:t>
            </w:r>
            <w:r>
              <w:rPr>
                <w:rFonts w:hint="default" w:ascii="Times New Roman" w:hAnsi="Times New Roman" w:eastAsia="宋体" w:cs="Times New Roman"/>
                <w:color w:val="auto"/>
                <w:kern w:val="2"/>
                <w:sz w:val="24"/>
                <w:szCs w:val="24"/>
                <w:highlight w:val="none"/>
                <w:lang w:val="en-US" w:eastAsia="zh-CN" w:bidi="ar-SA"/>
              </w:rPr>
              <w:t>吸污车收集后，运至饶河县西林子乡污水处理站，污水处理站出水水质达到《城镇污水处理厂污染物排放标准》（GB18918-2002）及修改单中一级A标准，排入小安河</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0"/>
                <w:sz w:val="24"/>
                <w:highlight w:val="none"/>
                <w:lang w:val="en-US" w:eastAsia="zh-CN"/>
              </w:rPr>
              <w:t>不会突破水环境质量底线</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符合</w:t>
            </w:r>
            <w:r>
              <w:rPr>
                <w:rFonts w:hint="eastAsia" w:cs="Times New Roman"/>
                <w:color w:val="auto"/>
                <w:kern w:val="0"/>
                <w:sz w:val="24"/>
                <w:highlight w:val="none"/>
                <w:lang w:val="en-US" w:eastAsia="zh-CN"/>
              </w:rPr>
              <w:t>双鸭山</w:t>
            </w:r>
            <w:r>
              <w:rPr>
                <w:rFonts w:hint="default" w:ascii="Times New Roman" w:hAnsi="Times New Roman" w:eastAsia="宋体" w:cs="Times New Roman"/>
                <w:color w:val="auto"/>
                <w:kern w:val="0"/>
                <w:sz w:val="24"/>
                <w:highlight w:val="none"/>
                <w:lang w:val="en-US" w:eastAsia="zh-CN"/>
              </w:rPr>
              <w:t>市水环境质量底线及</w:t>
            </w:r>
            <w:r>
              <w:rPr>
                <w:rFonts w:hint="eastAsia" w:cs="Times New Roman"/>
                <w:color w:val="auto"/>
                <w:kern w:val="0"/>
                <w:sz w:val="24"/>
                <w:highlight w:val="none"/>
                <w:lang w:val="en-US" w:eastAsia="zh-CN"/>
              </w:rPr>
              <w:t>管控分区</w:t>
            </w:r>
            <w:r>
              <w:rPr>
                <w:rFonts w:hint="default" w:ascii="Times New Roman" w:hAnsi="Times New Roman" w:eastAsia="宋体" w:cs="Times New Roman"/>
                <w:color w:val="auto"/>
                <w:kern w:val="0"/>
                <w:sz w:val="24"/>
                <w:highlight w:val="none"/>
                <w:lang w:val="en-US" w:eastAsia="zh-CN"/>
              </w:rPr>
              <w:t>要求。</w:t>
            </w:r>
          </w:p>
          <w:p w14:paraId="65E35F55">
            <w:pPr>
              <w:pStyle w:val="43"/>
              <w:keepNext w:val="0"/>
              <w:keepLines w:val="0"/>
              <w:pageBreakBefore w:val="0"/>
              <w:widowControl w:val="0"/>
              <w:kinsoku/>
              <w:wordWrap/>
              <w:overflowPunct/>
              <w:topLinePunct w:val="0"/>
              <w:bidi w:val="0"/>
              <w:adjustRightInd/>
              <w:snapToGrid/>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3.土壤环境</w:t>
            </w:r>
          </w:p>
          <w:p w14:paraId="1CFC18F3">
            <w:pPr>
              <w:pStyle w:val="43"/>
              <w:keepNext w:val="0"/>
              <w:keepLines w:val="0"/>
              <w:pageBreakBefore w:val="0"/>
              <w:widowControl w:val="0"/>
              <w:kinsoku/>
              <w:wordWrap/>
              <w:overflowPunct/>
              <w:topLinePunct w:val="0"/>
              <w:bidi w:val="0"/>
              <w:adjustRightInd/>
              <w:snapToGrid/>
              <w:textAlignment w:val="auto"/>
              <w:rPr>
                <w:rFonts w:hint="default"/>
                <w:color w:val="auto"/>
                <w:highlight w:val="none"/>
                <w:lang w:val="en-US" w:eastAsia="zh-CN"/>
              </w:rPr>
            </w:pPr>
            <w:r>
              <w:rPr>
                <w:rFonts w:hint="eastAsia" w:cs="Times New Roman"/>
                <w:color w:val="auto"/>
                <w:kern w:val="0"/>
                <w:sz w:val="24"/>
                <w:highlight w:val="none"/>
                <w:lang w:val="en-US" w:eastAsia="zh-CN"/>
              </w:rPr>
              <w:t>项目建设地块用地性质为建设用地</w:t>
            </w:r>
            <w:r>
              <w:rPr>
                <w:rFonts w:hint="eastAsia" w:ascii="Times New Roman" w:hAnsi="Times New Roman" w:eastAsia="宋体" w:cs="Times New Roman"/>
                <w:color w:val="auto"/>
                <w:kern w:val="0"/>
                <w:sz w:val="24"/>
                <w:highlight w:val="none"/>
                <w:lang w:val="en-US" w:eastAsia="zh-CN"/>
              </w:rPr>
              <w:t>，不新增用地范围，因此</w:t>
            </w:r>
            <w:r>
              <w:rPr>
                <w:rFonts w:hint="default" w:ascii="Times New Roman" w:hAnsi="Times New Roman" w:eastAsia="宋体" w:cs="Times New Roman"/>
                <w:color w:val="auto"/>
                <w:sz w:val="24"/>
                <w:szCs w:val="24"/>
                <w:highlight w:val="none"/>
                <w:lang w:val="en-US" w:eastAsia="zh-CN"/>
              </w:rPr>
              <w:t>不会突破土壤环境质量底线，符合</w:t>
            </w:r>
            <w:r>
              <w:rPr>
                <w:rFonts w:hint="eastAsia" w:cs="Times New Roman"/>
                <w:color w:val="auto"/>
                <w:sz w:val="24"/>
                <w:szCs w:val="24"/>
                <w:highlight w:val="none"/>
                <w:lang w:val="en-US" w:eastAsia="zh-CN"/>
              </w:rPr>
              <w:t>双鸭山市</w:t>
            </w:r>
            <w:r>
              <w:rPr>
                <w:rFonts w:hint="default" w:ascii="Times New Roman" w:hAnsi="Times New Roman" w:eastAsia="宋体" w:cs="Times New Roman"/>
                <w:color w:val="auto"/>
                <w:sz w:val="24"/>
                <w:szCs w:val="24"/>
                <w:highlight w:val="none"/>
                <w:lang w:val="en-US" w:eastAsia="zh-CN"/>
              </w:rPr>
              <w:t>土壤环境质量底线及分区管控的要求</w:t>
            </w:r>
            <w:r>
              <w:rPr>
                <w:rFonts w:hint="eastAsia" w:ascii="Times New Roman" w:hAnsi="Times New Roman" w:eastAsia="宋体" w:cs="Times New Roman"/>
                <w:color w:val="auto"/>
                <w:kern w:val="0"/>
                <w:sz w:val="24"/>
                <w:highlight w:val="none"/>
                <w:lang w:val="en-US" w:eastAsia="zh-CN"/>
              </w:rPr>
              <w:t>。</w:t>
            </w:r>
          </w:p>
          <w:p w14:paraId="051DC87A">
            <w:pPr>
              <w:pStyle w:val="43"/>
              <w:keepNext w:val="0"/>
              <w:keepLines w:val="0"/>
              <w:pageBreakBefore w:val="0"/>
              <w:widowControl w:val="0"/>
              <w:kinsoku/>
              <w:wordWrap/>
              <w:overflowPunct/>
              <w:topLinePunct w:val="0"/>
              <w:bidi w:val="0"/>
              <w:adjustRightInd/>
              <w:snapToGrid/>
              <w:textAlignment w:val="auto"/>
              <w:rPr>
                <w:rFonts w:hint="default"/>
                <w:color w:val="auto"/>
                <w:highlight w:val="none"/>
                <w:lang w:val="en-US" w:eastAsia="zh-CN"/>
              </w:rPr>
            </w:pPr>
            <w:r>
              <w:rPr>
                <w:rFonts w:hint="eastAsia"/>
                <w:color w:val="auto"/>
                <w:highlight w:val="none"/>
                <w:lang w:val="en-US" w:eastAsia="zh-CN"/>
              </w:rPr>
              <w:t>（四）资源利用上线</w:t>
            </w:r>
          </w:p>
          <w:p w14:paraId="3B293B9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cs="Times New Roman"/>
                <w:color w:val="auto"/>
                <w:kern w:val="0"/>
                <w:sz w:val="24"/>
                <w:szCs w:val="24"/>
                <w:highlight w:val="none"/>
                <w:lang w:val="en-US" w:eastAsia="zh-CN"/>
              </w:rPr>
            </w:pPr>
            <w:r>
              <w:rPr>
                <w:rFonts w:hint="eastAsia" w:ascii="Times New Roman" w:hAnsi="Times New Roman" w:cs="Times New Roman"/>
                <w:color w:val="auto"/>
                <w:kern w:val="0"/>
                <w:sz w:val="24"/>
                <w:szCs w:val="24"/>
                <w:highlight w:val="none"/>
                <w:lang w:val="en-US" w:eastAsia="zh-CN"/>
              </w:rPr>
              <w:t>项目运营期主要消耗水资源、电</w:t>
            </w:r>
            <w:r>
              <w:rPr>
                <w:rFonts w:hint="eastAsia" w:ascii="Times New Roman" w:hAnsi="Times New Roman" w:eastAsia="宋体" w:cs="Times New Roman"/>
                <w:color w:val="auto"/>
                <w:kern w:val="0"/>
                <w:sz w:val="24"/>
                <w:szCs w:val="24"/>
                <w:highlight w:val="none"/>
                <w:lang w:val="en-US" w:eastAsia="zh-CN"/>
              </w:rPr>
              <w:t>能及生物质成型颗粒燃料，用水来源于</w:t>
            </w:r>
            <w:r>
              <w:rPr>
                <w:rFonts w:hint="eastAsia" w:cs="Times New Roman"/>
                <w:color w:val="auto"/>
                <w:kern w:val="0"/>
                <w:sz w:val="24"/>
                <w:szCs w:val="24"/>
                <w:highlight w:val="none"/>
                <w:lang w:val="en-US" w:eastAsia="zh-CN"/>
              </w:rPr>
              <w:t>自来</w:t>
            </w:r>
            <w:r>
              <w:rPr>
                <w:rFonts w:hint="eastAsia" w:ascii="Times New Roman" w:hAnsi="Times New Roman" w:eastAsia="宋体" w:cs="Times New Roman"/>
                <w:color w:val="auto"/>
                <w:kern w:val="0"/>
                <w:sz w:val="24"/>
                <w:szCs w:val="24"/>
                <w:highlight w:val="none"/>
                <w:lang w:val="en-US" w:eastAsia="zh-CN"/>
              </w:rPr>
              <w:t>水，供电来源于市政电网供电，</w:t>
            </w:r>
            <w:r>
              <w:rPr>
                <w:rFonts w:hint="eastAsia" w:cs="Times New Roman"/>
                <w:color w:val="auto"/>
                <w:sz w:val="24"/>
                <w:szCs w:val="24"/>
                <w:highlight w:val="none"/>
                <w:lang w:val="en-US" w:eastAsia="zh-CN"/>
              </w:rPr>
              <w:t>生物质成型燃料为外购燃料。项目资源消耗量不大，</w:t>
            </w:r>
            <w:r>
              <w:rPr>
                <w:rFonts w:hint="default" w:ascii="Times New Roman" w:hAnsi="Times New Roman" w:eastAsia="宋体" w:cs="Times New Roman"/>
                <w:color w:val="auto"/>
                <w:sz w:val="24"/>
                <w:szCs w:val="24"/>
                <w:highlight w:val="none"/>
                <w:lang w:val="en-US" w:eastAsia="zh-CN"/>
              </w:rPr>
              <w:t>不属于高耗能、高资源消耗的项目，不会突破地区资源利用上线，符合资源利用上线的要求。</w:t>
            </w:r>
          </w:p>
          <w:p w14:paraId="3204D68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cs="Times New Roman"/>
                <w:color w:val="auto"/>
                <w:kern w:val="0"/>
                <w:sz w:val="24"/>
                <w:szCs w:val="24"/>
                <w:highlight w:val="none"/>
                <w:lang w:val="en-US" w:eastAsia="zh-CN"/>
              </w:rPr>
            </w:pPr>
            <w:r>
              <w:rPr>
                <w:rFonts w:hint="eastAsia" w:ascii="Times New Roman" w:hAnsi="Times New Roman" w:cs="Times New Roman"/>
                <w:color w:val="auto"/>
                <w:kern w:val="0"/>
                <w:sz w:val="24"/>
                <w:szCs w:val="24"/>
                <w:highlight w:val="none"/>
                <w:lang w:val="en-US" w:eastAsia="zh-CN"/>
              </w:rPr>
              <w:t>（五）地下水环境管控符合性分析</w:t>
            </w:r>
          </w:p>
          <w:p w14:paraId="116E3DA4">
            <w:pPr>
              <w:pStyle w:val="43"/>
              <w:keepNext w:val="0"/>
              <w:keepLines w:val="0"/>
              <w:pageBreakBefore w:val="0"/>
              <w:widowControl w:val="0"/>
              <w:kinsoku/>
              <w:wordWrap/>
              <w:overflowPunct/>
              <w:topLinePunct w:val="0"/>
              <w:bidi w:val="0"/>
              <w:adjustRightInd/>
              <w:snapToGrid/>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根据黑龙江省生态环境分区管控数据应用平台导出的《生态环境分区管控分析报告》</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项目属于</w:t>
            </w:r>
            <w:r>
              <w:rPr>
                <w:rFonts w:hint="eastAsia" w:cs="Times New Roman"/>
                <w:color w:val="auto"/>
                <w:sz w:val="24"/>
                <w:szCs w:val="24"/>
                <w:highlight w:val="none"/>
                <w:u w:val="none"/>
                <w:lang w:val="en-US" w:eastAsia="zh-CN"/>
              </w:rPr>
              <w:t>饶河县地下水环境一般管控区（YS2305246310001）</w:t>
            </w:r>
            <w:r>
              <w:rPr>
                <w:rFonts w:hint="eastAsia" w:ascii="Times New Roman" w:hAnsi="Times New Roman" w:eastAsia="宋体" w:cs="Times New Roman"/>
                <w:color w:val="auto"/>
                <w:sz w:val="24"/>
                <w:szCs w:val="24"/>
                <w:highlight w:val="none"/>
                <w:lang w:val="en-US" w:eastAsia="zh-CN"/>
              </w:rPr>
              <w:t>的管控要求符合性分析详见下表。</w:t>
            </w:r>
          </w:p>
          <w:p w14:paraId="2E889635">
            <w:pPr>
              <w:keepNext w:val="0"/>
              <w:keepLines w:val="0"/>
              <w:pageBreakBefore w:val="0"/>
              <w:widowControl w:val="0"/>
              <w:numPr>
                <w:ilvl w:val="0"/>
                <w:numId w:val="0"/>
              </w:numPr>
              <w:suppressLineNumbers w:val="0"/>
              <w:kinsoku/>
              <w:overflowPunct/>
              <w:topLinePunct w:val="0"/>
              <w:autoSpaceDE w:val="0"/>
              <w:autoSpaceDN w:val="0"/>
              <w:bidi w:val="0"/>
              <w:adjustRightInd w:val="0"/>
              <w:snapToGrid w:val="0"/>
              <w:spacing w:before="0" w:beforeAutospacing="0" w:after="0" w:afterAutospacing="0" w:line="240" w:lineRule="auto"/>
              <w:ind w:right="0" w:rightChars="0"/>
              <w:jc w:val="center"/>
              <w:textAlignment w:val="auto"/>
              <w:rPr>
                <w:rFonts w:hint="eastAsia" w:cs="Times New Roman"/>
                <w:b/>
                <w:bCs w:val="0"/>
                <w:color w:val="auto"/>
                <w:sz w:val="21"/>
                <w:szCs w:val="21"/>
                <w:highlight w:val="none"/>
                <w:lang w:val="en-US" w:eastAsia="zh-CN"/>
              </w:rPr>
            </w:pPr>
          </w:p>
          <w:p w14:paraId="0CFEB16A">
            <w:pPr>
              <w:keepNext w:val="0"/>
              <w:keepLines w:val="0"/>
              <w:pageBreakBefore w:val="0"/>
              <w:widowControl w:val="0"/>
              <w:numPr>
                <w:ilvl w:val="0"/>
                <w:numId w:val="0"/>
              </w:numPr>
              <w:suppressLineNumbers w:val="0"/>
              <w:kinsoku/>
              <w:overflowPunct/>
              <w:topLinePunct w:val="0"/>
              <w:autoSpaceDE w:val="0"/>
              <w:autoSpaceDN w:val="0"/>
              <w:bidi w:val="0"/>
              <w:adjustRightInd w:val="0"/>
              <w:snapToGrid w:val="0"/>
              <w:spacing w:before="0" w:beforeAutospacing="0" w:after="0" w:afterAutospacing="0" w:line="240" w:lineRule="auto"/>
              <w:ind w:right="0" w:rightChars="0"/>
              <w:jc w:val="center"/>
              <w:textAlignment w:val="auto"/>
              <w:rPr>
                <w:rFonts w:hint="default" w:ascii="Times New Roman" w:hAnsi="Times New Roman" w:eastAsia="宋体" w:cs="Times New Roman"/>
                <w:b/>
                <w:bCs w:val="0"/>
                <w:color w:val="auto"/>
                <w:sz w:val="21"/>
                <w:szCs w:val="21"/>
                <w:highlight w:val="none"/>
                <w:lang w:val="en-US" w:eastAsia="zh-CN"/>
              </w:rPr>
            </w:pPr>
            <w:r>
              <w:rPr>
                <w:rFonts w:hint="eastAsia" w:cs="Times New Roman"/>
                <w:b/>
                <w:bCs w:val="0"/>
                <w:color w:val="auto"/>
                <w:sz w:val="21"/>
                <w:szCs w:val="21"/>
                <w:highlight w:val="none"/>
                <w:lang w:val="en-US" w:eastAsia="zh-CN"/>
              </w:rPr>
              <w:t>表1-2  地下水环境管控区符合性分析</w:t>
            </w:r>
          </w:p>
          <w:tbl>
            <w:tblPr>
              <w:tblStyle w:val="20"/>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26"/>
              <w:gridCol w:w="491"/>
              <w:gridCol w:w="4009"/>
              <w:gridCol w:w="1358"/>
            </w:tblGrid>
            <w:tr w14:paraId="3EA7D42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188" w:type="pct"/>
                  <w:tcBorders>
                    <w:tl2br w:val="nil"/>
                    <w:tr2bl w:val="nil"/>
                  </w:tcBorders>
                  <w:noWrap w:val="0"/>
                  <w:vAlign w:val="center"/>
                </w:tcPr>
                <w:p w14:paraId="588EA129">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环境管控</w:t>
                  </w:r>
                  <w:r>
                    <w:rPr>
                      <w:rFonts w:hint="eastAsia" w:ascii="Times New Roman" w:hAnsi="Times New Roman" w:cs="Times New Roman"/>
                      <w:b/>
                      <w:bCs/>
                      <w:color w:val="auto"/>
                      <w:sz w:val="21"/>
                      <w:szCs w:val="21"/>
                      <w:highlight w:val="none"/>
                      <w:lang w:val="en-US" w:eastAsia="zh-CN"/>
                    </w:rPr>
                    <w:t>区编码</w:t>
                  </w:r>
                </w:p>
              </w:tc>
              <w:tc>
                <w:tcPr>
                  <w:tcW w:w="2928" w:type="pct"/>
                  <w:gridSpan w:val="2"/>
                  <w:tcBorders>
                    <w:tl2br w:val="nil"/>
                    <w:tr2bl w:val="nil"/>
                  </w:tcBorders>
                  <w:noWrap w:val="0"/>
                  <w:vAlign w:val="center"/>
                </w:tcPr>
                <w:p w14:paraId="2B583E4D">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u w:val="none"/>
                      <w:lang w:val="en-US" w:eastAsia="zh-CN"/>
                    </w:rPr>
                    <w:t>YS2305246310001</w:t>
                  </w:r>
                </w:p>
              </w:tc>
              <w:tc>
                <w:tcPr>
                  <w:tcW w:w="883" w:type="pct"/>
                  <w:vMerge w:val="restart"/>
                  <w:tcBorders>
                    <w:tl2br w:val="nil"/>
                    <w:tr2bl w:val="nil"/>
                  </w:tcBorders>
                  <w:noWrap w:val="0"/>
                  <w:vAlign w:val="center"/>
                </w:tcPr>
                <w:p w14:paraId="0DD33EA5">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符合性分析</w:t>
                  </w:r>
                </w:p>
              </w:tc>
            </w:tr>
            <w:tr w14:paraId="6232479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188" w:type="pct"/>
                  <w:tcBorders>
                    <w:tl2br w:val="nil"/>
                    <w:tr2bl w:val="nil"/>
                  </w:tcBorders>
                  <w:noWrap w:val="0"/>
                  <w:vAlign w:val="center"/>
                </w:tcPr>
                <w:p w14:paraId="2FB543E6">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环境管控区名称</w:t>
                  </w:r>
                </w:p>
              </w:tc>
              <w:tc>
                <w:tcPr>
                  <w:tcW w:w="2928" w:type="pct"/>
                  <w:gridSpan w:val="2"/>
                  <w:tcBorders>
                    <w:tl2br w:val="nil"/>
                    <w:tr2bl w:val="nil"/>
                  </w:tcBorders>
                  <w:noWrap w:val="0"/>
                  <w:vAlign w:val="center"/>
                </w:tcPr>
                <w:p w14:paraId="39476978">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u w:val="none"/>
                      <w:lang w:val="en-US" w:eastAsia="zh-CN"/>
                    </w:rPr>
                    <w:t>饶河县地下水环境一般管控区</w:t>
                  </w:r>
                </w:p>
              </w:tc>
              <w:tc>
                <w:tcPr>
                  <w:tcW w:w="883" w:type="pct"/>
                  <w:vMerge w:val="continue"/>
                  <w:tcBorders>
                    <w:tl2br w:val="nil"/>
                    <w:tr2bl w:val="nil"/>
                  </w:tcBorders>
                  <w:noWrap w:val="0"/>
                  <w:vAlign w:val="center"/>
                </w:tcPr>
                <w:p w14:paraId="1E24A215">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cs="Times New Roman"/>
                      <w:b/>
                      <w:bCs/>
                      <w:color w:val="auto"/>
                      <w:sz w:val="21"/>
                      <w:szCs w:val="21"/>
                      <w:highlight w:val="none"/>
                    </w:rPr>
                  </w:pPr>
                </w:p>
              </w:tc>
            </w:tr>
            <w:tr w14:paraId="3E5555E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188" w:type="pct"/>
                  <w:tcBorders>
                    <w:tl2br w:val="nil"/>
                    <w:tr2bl w:val="nil"/>
                  </w:tcBorders>
                  <w:noWrap w:val="0"/>
                  <w:vAlign w:val="center"/>
                </w:tcPr>
                <w:p w14:paraId="0E7749AF">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所属城市</w:t>
                  </w:r>
                </w:p>
              </w:tc>
              <w:tc>
                <w:tcPr>
                  <w:tcW w:w="2928" w:type="pct"/>
                  <w:gridSpan w:val="2"/>
                  <w:tcBorders>
                    <w:tl2br w:val="nil"/>
                    <w:tr2bl w:val="nil"/>
                  </w:tcBorders>
                  <w:noWrap w:val="0"/>
                  <w:vAlign w:val="center"/>
                </w:tcPr>
                <w:p w14:paraId="73126BCD">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双鸭山市</w:t>
                  </w:r>
                </w:p>
              </w:tc>
              <w:tc>
                <w:tcPr>
                  <w:tcW w:w="883" w:type="pct"/>
                  <w:vMerge w:val="continue"/>
                  <w:tcBorders>
                    <w:tl2br w:val="nil"/>
                    <w:tr2bl w:val="nil"/>
                  </w:tcBorders>
                  <w:noWrap w:val="0"/>
                  <w:vAlign w:val="center"/>
                </w:tcPr>
                <w:p w14:paraId="7A39841A">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cs="Times New Roman"/>
                      <w:b/>
                      <w:bCs/>
                      <w:color w:val="auto"/>
                      <w:sz w:val="21"/>
                      <w:szCs w:val="21"/>
                      <w:highlight w:val="none"/>
                    </w:rPr>
                  </w:pPr>
                </w:p>
              </w:tc>
            </w:tr>
            <w:tr w14:paraId="3A57E3E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8" w:type="pct"/>
                  <w:tcBorders>
                    <w:tl2br w:val="nil"/>
                    <w:tr2bl w:val="nil"/>
                  </w:tcBorders>
                  <w:noWrap w:val="0"/>
                  <w:vAlign w:val="center"/>
                </w:tcPr>
                <w:p w14:paraId="43B6044B">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cs="Times New Roman"/>
                      <w:b/>
                      <w:bCs/>
                      <w:color w:val="auto"/>
                      <w:sz w:val="21"/>
                      <w:szCs w:val="21"/>
                      <w:highlight w:val="none"/>
                      <w:lang w:val="en-US"/>
                    </w:rPr>
                  </w:pPr>
                  <w:r>
                    <w:rPr>
                      <w:rFonts w:hint="eastAsia" w:ascii="Times New Roman" w:hAnsi="Times New Roman" w:cs="Times New Roman"/>
                      <w:b/>
                      <w:bCs/>
                      <w:color w:val="auto"/>
                      <w:sz w:val="21"/>
                      <w:szCs w:val="21"/>
                      <w:highlight w:val="none"/>
                      <w:lang w:val="en-US" w:eastAsia="zh-CN"/>
                    </w:rPr>
                    <w:t>所属区县</w:t>
                  </w:r>
                </w:p>
              </w:tc>
              <w:tc>
                <w:tcPr>
                  <w:tcW w:w="2928" w:type="pct"/>
                  <w:gridSpan w:val="2"/>
                  <w:tcBorders>
                    <w:tl2br w:val="nil"/>
                    <w:tr2bl w:val="nil"/>
                  </w:tcBorders>
                  <w:noWrap w:val="0"/>
                  <w:vAlign w:val="center"/>
                </w:tcPr>
                <w:p w14:paraId="6062EB6C">
                  <w:pPr>
                    <w:keepNext w:val="0"/>
                    <w:keepLines w:val="0"/>
                    <w:pageBreakBefore w:val="0"/>
                    <w:kinsoku/>
                    <w:wordWrap/>
                    <w:overflowPunct/>
                    <w:topLinePunct w:val="0"/>
                    <w:autoSpaceDE/>
                    <w:autoSpaceDN/>
                    <w:bidi w:val="0"/>
                    <w:adjustRightInd/>
                    <w:jc w:val="center"/>
                    <w:textAlignment w:val="auto"/>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饶河</w:t>
                  </w:r>
                  <w:r>
                    <w:rPr>
                      <w:rFonts w:hint="eastAsia" w:ascii="Times New Roman" w:hAnsi="Times New Roman" w:cs="Times New Roman"/>
                      <w:b w:val="0"/>
                      <w:bCs w:val="0"/>
                      <w:color w:val="auto"/>
                      <w:sz w:val="21"/>
                      <w:szCs w:val="21"/>
                      <w:highlight w:val="none"/>
                      <w:lang w:val="en-US" w:eastAsia="zh-CN"/>
                    </w:rPr>
                    <w:t>县</w:t>
                  </w:r>
                </w:p>
              </w:tc>
              <w:tc>
                <w:tcPr>
                  <w:tcW w:w="883" w:type="pct"/>
                  <w:vMerge w:val="continue"/>
                  <w:tcBorders>
                    <w:tl2br w:val="nil"/>
                    <w:tr2bl w:val="nil"/>
                  </w:tcBorders>
                  <w:noWrap w:val="0"/>
                  <w:vAlign w:val="center"/>
                </w:tcPr>
                <w:p w14:paraId="3CE79DAE">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cs="Times New Roman"/>
                      <w:b/>
                      <w:bCs/>
                      <w:color w:val="auto"/>
                      <w:sz w:val="21"/>
                      <w:szCs w:val="21"/>
                      <w:highlight w:val="none"/>
                    </w:rPr>
                  </w:pPr>
                </w:p>
              </w:tc>
            </w:tr>
            <w:tr w14:paraId="63AF86A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8" w:type="pct"/>
                  <w:tcBorders>
                    <w:tl2br w:val="nil"/>
                    <w:tr2bl w:val="nil"/>
                  </w:tcBorders>
                  <w:noWrap w:val="0"/>
                  <w:vAlign w:val="center"/>
                </w:tcPr>
                <w:p w14:paraId="158ADD5F">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管控区类型</w:t>
                  </w:r>
                </w:p>
              </w:tc>
              <w:tc>
                <w:tcPr>
                  <w:tcW w:w="2928" w:type="pct"/>
                  <w:gridSpan w:val="2"/>
                  <w:tcBorders>
                    <w:tl2br w:val="nil"/>
                    <w:tr2bl w:val="nil"/>
                  </w:tcBorders>
                  <w:noWrap w:val="0"/>
                  <w:vAlign w:val="center"/>
                </w:tcPr>
                <w:p w14:paraId="4FCDF27C">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cs="Times New Roman"/>
                      <w:b w:val="0"/>
                      <w:bCs w:val="0"/>
                      <w:color w:val="auto"/>
                      <w:sz w:val="21"/>
                      <w:szCs w:val="21"/>
                      <w:highlight w:val="none"/>
                    </w:rPr>
                  </w:pPr>
                  <w:r>
                    <w:rPr>
                      <w:rFonts w:hint="eastAsia" w:ascii="Times New Roman" w:hAnsi="Times New Roman" w:eastAsia="宋体" w:cs="Times New Roman"/>
                      <w:b w:val="0"/>
                      <w:bCs w:val="0"/>
                      <w:color w:val="auto"/>
                      <w:sz w:val="21"/>
                      <w:szCs w:val="21"/>
                      <w:highlight w:val="none"/>
                      <w:lang w:val="en-US" w:eastAsia="zh-CN"/>
                    </w:rPr>
                    <w:t>一般管控区</w:t>
                  </w:r>
                </w:p>
              </w:tc>
              <w:tc>
                <w:tcPr>
                  <w:tcW w:w="883" w:type="pct"/>
                  <w:vMerge w:val="continue"/>
                  <w:tcBorders>
                    <w:tl2br w:val="nil"/>
                    <w:tr2bl w:val="nil"/>
                  </w:tcBorders>
                  <w:noWrap w:val="0"/>
                  <w:vAlign w:val="center"/>
                </w:tcPr>
                <w:p w14:paraId="56F3DF45">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cs="Times New Roman"/>
                      <w:b/>
                      <w:bCs/>
                      <w:color w:val="auto"/>
                      <w:sz w:val="21"/>
                      <w:szCs w:val="21"/>
                      <w:highlight w:val="none"/>
                    </w:rPr>
                  </w:pPr>
                </w:p>
              </w:tc>
            </w:tr>
            <w:tr w14:paraId="0856616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pct"/>
                  <w:tcBorders>
                    <w:tl2br w:val="nil"/>
                    <w:tr2bl w:val="nil"/>
                  </w:tcBorders>
                  <w:noWrap w:val="0"/>
                  <w:vAlign w:val="center"/>
                </w:tcPr>
                <w:p w14:paraId="2EF49BAA">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管控要求</w:t>
                  </w:r>
                </w:p>
              </w:tc>
              <w:tc>
                <w:tcPr>
                  <w:tcW w:w="319" w:type="pct"/>
                  <w:tcBorders>
                    <w:tl2br w:val="nil"/>
                    <w:tr2bl w:val="nil"/>
                  </w:tcBorders>
                  <w:noWrap w:val="0"/>
                  <w:vAlign w:val="center"/>
                </w:tcPr>
                <w:p w14:paraId="124A4472">
                  <w:pPr>
                    <w:keepNext w:val="0"/>
                    <w:keepLines w:val="0"/>
                    <w:pageBreakBefore w:val="0"/>
                    <w:widowControl w:val="0"/>
                    <w:kinsoku/>
                    <w:wordWrap/>
                    <w:overflowPunct/>
                    <w:topLinePunct w:val="0"/>
                    <w:autoSpaceDE/>
                    <w:autoSpaceDN/>
                    <w:bidi w:val="0"/>
                    <w:adjustRightInd/>
                    <w:snapToGrid/>
                    <w:spacing w:after="0" w:line="240" w:lineRule="auto"/>
                    <w:ind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环境风险管控</w:t>
                  </w:r>
                </w:p>
              </w:tc>
              <w:tc>
                <w:tcPr>
                  <w:tcW w:w="2608" w:type="pct"/>
                  <w:tcBorders>
                    <w:tl2br w:val="nil"/>
                    <w:tr2bl w:val="nil"/>
                  </w:tcBorders>
                  <w:noWrap w:val="0"/>
                  <w:vAlign w:val="center"/>
                </w:tcPr>
                <w:p w14:paraId="72464D26">
                  <w:pPr>
                    <w:keepNext w:val="0"/>
                    <w:keepLines w:val="0"/>
                    <w:pageBreakBefore w:val="0"/>
                    <w:widowControl w:val="0"/>
                    <w:kinsoku/>
                    <w:wordWrap/>
                    <w:overflowPunct/>
                    <w:topLinePunct w:val="0"/>
                    <w:autoSpaceDE/>
                    <w:autoSpaceDN/>
                    <w:bidi w:val="0"/>
                    <w:adjustRightInd/>
                    <w:snapToGrid/>
                    <w:spacing w:after="0" w:line="240" w:lineRule="auto"/>
                    <w:ind w:right="0" w:firstLine="420" w:firstLineChars="20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土壤环境重点监管单位应当履行下列义务：（一）严格控制有毒有害物质排放，并按年度向生态环境主管部门报告排放情况；（二）建立土壤污染隐患排查制度保证持续有效防止有毒有害物质渗漏、流失、扬散；（三）制定、实施自行监测方案，并将监测数据报生态环境主管部门。</w:t>
                  </w:r>
                </w:p>
                <w:p w14:paraId="562FAE5B">
                  <w:pPr>
                    <w:keepNext w:val="0"/>
                    <w:keepLines w:val="0"/>
                    <w:pageBreakBefore w:val="0"/>
                    <w:widowControl w:val="0"/>
                    <w:kinsoku/>
                    <w:wordWrap/>
                    <w:overflowPunct/>
                    <w:topLinePunct w:val="0"/>
                    <w:autoSpaceDE/>
                    <w:autoSpaceDN/>
                    <w:bidi w:val="0"/>
                    <w:adjustRightInd/>
                    <w:snapToGrid/>
                    <w:spacing w:after="0" w:line="240" w:lineRule="auto"/>
                    <w:ind w:right="0" w:firstLine="420" w:firstLineChars="20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2.重点单位新、改、扩建项目地下储罐储存有毒有害物质的，应当在项目投入生产或者使用之前，将地下储罐的信息报所在地设区的市级生态环境主管部门备案。</w:t>
                  </w:r>
                </w:p>
                <w:p w14:paraId="304C6100">
                  <w:pPr>
                    <w:keepNext w:val="0"/>
                    <w:keepLines w:val="0"/>
                    <w:pageBreakBefore w:val="0"/>
                    <w:widowControl w:val="0"/>
                    <w:kinsoku/>
                    <w:wordWrap/>
                    <w:overflowPunct/>
                    <w:topLinePunct w:val="0"/>
                    <w:autoSpaceDE/>
                    <w:autoSpaceDN/>
                    <w:bidi w:val="0"/>
                    <w:adjustRightInd/>
                    <w:snapToGrid/>
                    <w:spacing w:after="0" w:line="240" w:lineRule="auto"/>
                    <w:ind w:right="0" w:firstLine="420" w:firstLineChars="20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重点单位应当建立土壤和地下水污染隐患排查治理制度，定期对重点区域、重点设施开展隐患排查。发现污染隐患的，应当制定整改方案，及时采取技术、管理措施消除隐患。隐患排查、治理情况应当如实记录并建立档案。重点区域包括涉及有毒有害物质的生产区，原材料及固体废物的堆存区、储放区和转运区等；重点设施包括涉及有毒有害物质的地下储罐、地下管线，以及污染治理设施等。</w:t>
                  </w:r>
                </w:p>
                <w:p w14:paraId="0CF2A8FA">
                  <w:pPr>
                    <w:keepNext w:val="0"/>
                    <w:keepLines w:val="0"/>
                    <w:pageBreakBefore w:val="0"/>
                    <w:widowControl w:val="0"/>
                    <w:kinsoku/>
                    <w:wordWrap/>
                    <w:overflowPunct/>
                    <w:topLinePunct w:val="0"/>
                    <w:autoSpaceDE/>
                    <w:autoSpaceDN/>
                    <w:bidi w:val="0"/>
                    <w:adjustRightInd/>
                    <w:snapToGrid/>
                    <w:spacing w:after="0" w:line="240" w:lineRule="auto"/>
                    <w:ind w:right="0" w:firstLine="420" w:firstLineChars="20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4.化学品生产企业以及工业集聚区、矿山开采区、尾矿库、危险废物处置场、垃圾填埋场等的运营、 管理单位，应当采取防渗漏等措施，并建设地下水水质监测井进行监测，防止地下水污染。</w:t>
                  </w:r>
                </w:p>
                <w:p w14:paraId="7401C20D">
                  <w:pPr>
                    <w:keepNext w:val="0"/>
                    <w:keepLines w:val="0"/>
                    <w:pageBreakBefore w:val="0"/>
                    <w:widowControl w:val="0"/>
                    <w:kinsoku/>
                    <w:wordWrap/>
                    <w:overflowPunct/>
                    <w:topLinePunct w:val="0"/>
                    <w:autoSpaceDE/>
                    <w:autoSpaceDN/>
                    <w:bidi w:val="0"/>
                    <w:adjustRightInd/>
                    <w:snapToGrid/>
                    <w:spacing w:after="0" w:line="240" w:lineRule="auto"/>
                    <w:ind w:right="0" w:firstLine="420" w:firstLineChars="200"/>
                    <w:jc w:val="both"/>
                    <w:textAlignment w:val="auto"/>
                    <w:rPr>
                      <w:rFonts w:hint="default" w:ascii="Times New Roman" w:hAnsi="Times New Roman" w:eastAsia="宋体" w:cs="Times New Roman"/>
                      <w:color w:val="auto"/>
                      <w:sz w:val="21"/>
                      <w:szCs w:val="21"/>
                      <w:highlight w:val="yellow"/>
                      <w:lang w:val="en-US" w:eastAsia="zh-CN"/>
                    </w:rPr>
                  </w:pPr>
                  <w:r>
                    <w:rPr>
                      <w:rFonts w:hint="eastAsia" w:ascii="Times New Roman" w:hAnsi="Times New Roman" w:eastAsia="宋体" w:cs="Times New Roman"/>
                      <w:color w:val="auto"/>
                      <w:sz w:val="21"/>
                      <w:szCs w:val="21"/>
                      <w:highlight w:val="none"/>
                      <w:lang w:val="en-US" w:eastAsia="zh-CN"/>
                    </w:rPr>
                    <w:t>5.重点单位通过新、改、扩建项目的土壤和地下水环境现状调查，发现项目用地污染物含量超过国家或者地方有关建设用地土壤污染风险管控标准的，土地使用权人或者污染责任人应当参照污染地块土壤环境管理有关规定开展详细调查、风险评估、风险管控、治理与修复等活动。</w:t>
                  </w:r>
                </w:p>
              </w:tc>
              <w:tc>
                <w:tcPr>
                  <w:tcW w:w="883" w:type="pct"/>
                  <w:tcBorders>
                    <w:tl2br w:val="nil"/>
                    <w:tr2bl w:val="nil"/>
                  </w:tcBorders>
                  <w:noWrap w:val="0"/>
                  <w:vAlign w:val="center"/>
                </w:tcPr>
                <w:p w14:paraId="669EADFC">
                  <w:pPr>
                    <w:keepNext w:val="0"/>
                    <w:keepLines w:val="0"/>
                    <w:pageBreakBefore w:val="0"/>
                    <w:kinsoku/>
                    <w:wordWrap/>
                    <w:overflowPunct/>
                    <w:topLinePunct w:val="0"/>
                    <w:autoSpaceDE/>
                    <w:autoSpaceDN/>
                    <w:bidi w:val="0"/>
                    <w:adjustRightInd/>
                    <w:spacing w:line="240" w:lineRule="auto"/>
                    <w:ind w:right="0"/>
                    <w:jc w:val="both"/>
                    <w:textAlignment w:val="auto"/>
                    <w:rPr>
                      <w:rFonts w:hint="eastAsia" w:ascii="Times New Roman" w:hAnsi="Times New Roman" w:eastAsia="宋体" w:cs="Times New Roman"/>
                      <w:color w:val="auto"/>
                      <w:sz w:val="21"/>
                      <w:szCs w:val="21"/>
                      <w:highlight w:val="none"/>
                      <w:lang w:val="en-US" w:eastAsia="zh-CN"/>
                    </w:rPr>
                  </w:pPr>
                  <w:r>
                    <w:rPr>
                      <w:rFonts w:hint="eastAsia"/>
                      <w:color w:val="auto"/>
                      <w:sz w:val="21"/>
                      <w:szCs w:val="21"/>
                      <w:highlight w:val="none"/>
                      <w:lang w:val="en-US" w:eastAsia="zh-CN"/>
                    </w:rPr>
                    <w:t>1.项目不属于土壤环境重点监管单位。</w:t>
                  </w:r>
                </w:p>
                <w:p w14:paraId="1AD1590D">
                  <w:pPr>
                    <w:keepNext w:val="0"/>
                    <w:keepLines w:val="0"/>
                    <w:pageBreakBefore w:val="0"/>
                    <w:kinsoku/>
                    <w:wordWrap/>
                    <w:overflowPunct/>
                    <w:topLinePunct w:val="0"/>
                    <w:autoSpaceDE/>
                    <w:autoSpaceDN/>
                    <w:bidi w:val="0"/>
                    <w:adjustRightInd/>
                    <w:spacing w:line="240" w:lineRule="auto"/>
                    <w:ind w:right="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2.本项目未设置地下储存罐。</w:t>
                  </w:r>
                </w:p>
                <w:p w14:paraId="3D2D89BD">
                  <w:pPr>
                    <w:keepNext w:val="0"/>
                    <w:keepLines w:val="0"/>
                    <w:pageBreakBefore w:val="0"/>
                    <w:kinsoku/>
                    <w:wordWrap/>
                    <w:overflowPunct/>
                    <w:topLinePunct w:val="0"/>
                    <w:autoSpaceDE/>
                    <w:autoSpaceDN/>
                    <w:bidi w:val="0"/>
                    <w:adjustRightInd/>
                    <w:spacing w:line="240" w:lineRule="auto"/>
                    <w:ind w:right="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r>
                    <w:rPr>
                      <w:rFonts w:hint="eastAsia"/>
                      <w:color w:val="auto"/>
                      <w:sz w:val="21"/>
                      <w:szCs w:val="21"/>
                      <w:highlight w:val="none"/>
                      <w:lang w:val="en-US" w:eastAsia="zh-CN"/>
                    </w:rPr>
                    <w:t>本项目不属于土壤环境重点监管单位。</w:t>
                  </w:r>
                </w:p>
                <w:p w14:paraId="00D8F631">
                  <w:pPr>
                    <w:keepNext w:val="0"/>
                    <w:keepLines w:val="0"/>
                    <w:pageBreakBefore w:val="0"/>
                    <w:kinsoku/>
                    <w:wordWrap/>
                    <w:overflowPunct/>
                    <w:topLinePunct w:val="0"/>
                    <w:autoSpaceDE/>
                    <w:autoSpaceDN/>
                    <w:bidi w:val="0"/>
                    <w:adjustRightInd/>
                    <w:spacing w:line="240" w:lineRule="auto"/>
                    <w:ind w:right="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4.项目属于</w:t>
                  </w:r>
                  <w:r>
                    <w:rPr>
                      <w:rFonts w:hint="default" w:ascii="Times New Roman" w:hAnsi="Times New Roman" w:eastAsia="宋体" w:cs="Times New Roman"/>
                      <w:color w:val="auto"/>
                      <w:sz w:val="21"/>
                      <w:szCs w:val="21"/>
                      <w:highlight w:val="none"/>
                      <w:lang w:val="en-US" w:eastAsia="zh-CN"/>
                    </w:rPr>
                    <w:t>热力生产和供应</w:t>
                  </w:r>
                  <w:r>
                    <w:rPr>
                      <w:rFonts w:hint="eastAsia" w:ascii="Times New Roman" w:hAnsi="Times New Roman" w:eastAsia="宋体" w:cs="Times New Roman"/>
                      <w:color w:val="auto"/>
                      <w:sz w:val="21"/>
                      <w:szCs w:val="21"/>
                      <w:highlight w:val="none"/>
                      <w:lang w:val="en-US" w:eastAsia="zh-CN"/>
                    </w:rPr>
                    <w:t>，不涉及化学品生产、工业集聚区、矿山开采区、尾矿库等内容。</w:t>
                  </w:r>
                </w:p>
                <w:p w14:paraId="4E397E5E">
                  <w:pPr>
                    <w:keepNext w:val="0"/>
                    <w:keepLines w:val="0"/>
                    <w:pageBreakBefore w:val="0"/>
                    <w:kinsoku/>
                    <w:wordWrap/>
                    <w:overflowPunct/>
                    <w:topLinePunct w:val="0"/>
                    <w:autoSpaceDE/>
                    <w:autoSpaceDN/>
                    <w:bidi w:val="0"/>
                    <w:adjustRightInd/>
                    <w:spacing w:line="240" w:lineRule="auto"/>
                    <w:ind w:right="0"/>
                    <w:jc w:val="both"/>
                    <w:textAlignment w:val="auto"/>
                    <w:rPr>
                      <w:rFonts w:hint="default"/>
                      <w:color w:val="auto"/>
                      <w:sz w:val="21"/>
                      <w:szCs w:val="21"/>
                      <w:highlight w:val="yellow"/>
                      <w:lang w:val="en-US" w:eastAsia="zh-CN"/>
                    </w:rPr>
                  </w:pPr>
                  <w:r>
                    <w:rPr>
                      <w:rFonts w:hint="eastAsia" w:ascii="Times New Roman" w:hAnsi="Times New Roman" w:eastAsia="宋体" w:cs="Times New Roman"/>
                      <w:color w:val="auto"/>
                      <w:sz w:val="21"/>
                      <w:szCs w:val="21"/>
                      <w:highlight w:val="none"/>
                      <w:lang w:val="en-US" w:eastAsia="zh-CN"/>
                    </w:rPr>
                    <w:t>5.本项目不属于土壤环境重点监管单位。</w:t>
                  </w:r>
                </w:p>
              </w:tc>
            </w:tr>
          </w:tbl>
          <w:p w14:paraId="6917273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b w:val="0"/>
                <w:bCs/>
                <w:color w:val="auto"/>
                <w:sz w:val="24"/>
                <w:szCs w:val="24"/>
                <w:highlight w:val="none"/>
                <w:lang w:val="en-US" w:eastAsia="zh-CN"/>
              </w:rPr>
            </w:pPr>
            <w:r>
              <w:rPr>
                <w:rFonts w:hint="eastAsia" w:cs="Times New Roman"/>
                <w:b w:val="0"/>
                <w:bCs/>
                <w:color w:val="auto"/>
                <w:sz w:val="24"/>
                <w:szCs w:val="24"/>
                <w:highlight w:val="none"/>
                <w:lang w:val="en-US" w:eastAsia="zh-CN"/>
              </w:rPr>
              <w:t>综上所述，</w:t>
            </w:r>
            <w:r>
              <w:rPr>
                <w:rFonts w:hint="eastAsia" w:ascii="Times New Roman" w:hAnsi="Times New Roman" w:eastAsia="宋体" w:cs="Times New Roman"/>
                <w:color w:val="auto"/>
                <w:sz w:val="24"/>
                <w:szCs w:val="24"/>
                <w:highlight w:val="none"/>
                <w:lang w:val="en-US" w:eastAsia="zh-CN"/>
              </w:rPr>
              <w:t>项目符合</w:t>
            </w:r>
            <w:r>
              <w:rPr>
                <w:rFonts w:hint="eastAsia" w:cs="Times New Roman"/>
                <w:color w:val="auto"/>
                <w:sz w:val="24"/>
                <w:szCs w:val="24"/>
                <w:highlight w:val="none"/>
                <w:u w:val="none"/>
                <w:lang w:val="en-US" w:eastAsia="zh-CN"/>
              </w:rPr>
              <w:t>饶河县地下水环境一般管控区</w:t>
            </w:r>
            <w:r>
              <w:rPr>
                <w:rFonts w:hint="eastAsia" w:ascii="Times New Roman" w:hAnsi="Times New Roman" w:eastAsia="宋体" w:cs="Times New Roman"/>
                <w:color w:val="auto"/>
                <w:sz w:val="24"/>
                <w:szCs w:val="24"/>
                <w:highlight w:val="none"/>
                <w:lang w:val="en-US" w:eastAsia="zh-CN"/>
              </w:rPr>
              <w:t>的管控</w:t>
            </w:r>
            <w:r>
              <w:rPr>
                <w:rFonts w:hint="eastAsia" w:ascii="Times New Roman" w:hAnsi="Times New Roman" w:eastAsia="宋体" w:cs="Times New Roman"/>
                <w:b w:val="0"/>
                <w:bCs/>
                <w:color w:val="auto"/>
                <w:sz w:val="24"/>
                <w:szCs w:val="24"/>
                <w:highlight w:val="none"/>
                <w:lang w:val="en-US" w:eastAsia="zh-CN"/>
              </w:rPr>
              <w:t>要求。</w:t>
            </w:r>
          </w:p>
          <w:p w14:paraId="5FD48012">
            <w:pPr>
              <w:pStyle w:val="43"/>
              <w:keepNext w:val="0"/>
              <w:keepLines w:val="0"/>
              <w:pageBreakBefore w:val="0"/>
              <w:widowControl w:val="0"/>
              <w:kinsoku/>
              <w:wordWrap/>
              <w:overflowPunct/>
              <w:topLinePunct w:val="0"/>
              <w:bidi w:val="0"/>
              <w:adjustRightInd/>
              <w:snapToGrid/>
              <w:textAlignment w:val="auto"/>
              <w:rPr>
                <w:rFonts w:hint="default"/>
                <w:color w:val="auto"/>
                <w:highlight w:val="none"/>
                <w:lang w:val="en-US" w:eastAsia="zh-CN"/>
              </w:rPr>
            </w:pPr>
            <w:r>
              <w:rPr>
                <w:rFonts w:hint="default"/>
                <w:color w:val="auto"/>
                <w:highlight w:val="none"/>
                <w:lang w:val="en-US" w:eastAsia="zh-CN"/>
              </w:rPr>
              <w:t>（六）生态环境准入清单符合性分析</w:t>
            </w:r>
          </w:p>
          <w:p w14:paraId="0D6DA73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b w:val="0"/>
                <w:bCs/>
                <w:color w:val="auto"/>
                <w:sz w:val="24"/>
                <w:szCs w:val="24"/>
                <w:highlight w:val="none"/>
                <w:lang w:val="en-US" w:eastAsia="zh-CN"/>
              </w:rPr>
            </w:pPr>
            <w:r>
              <w:rPr>
                <w:rFonts w:hint="eastAsia" w:ascii="Times New Roman" w:hAnsi="Times New Roman" w:eastAsia="宋体" w:cs="Times New Roman"/>
                <w:b w:val="0"/>
                <w:bCs/>
                <w:color w:val="auto"/>
                <w:sz w:val="24"/>
                <w:szCs w:val="24"/>
                <w:highlight w:val="none"/>
                <w:lang w:val="en-US" w:eastAsia="zh-CN"/>
              </w:rPr>
              <w:t>1.环境管控单元准入要求</w:t>
            </w:r>
          </w:p>
          <w:p w14:paraId="62D62DC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yellow"/>
                <w:lang w:val="en-US" w:eastAsia="zh-CN"/>
              </w:rPr>
            </w:pPr>
            <w:r>
              <w:rPr>
                <w:rFonts w:hint="eastAsia"/>
                <w:color w:val="auto"/>
                <w:sz w:val="24"/>
                <w:szCs w:val="24"/>
                <w:highlight w:val="none"/>
                <w:lang w:val="en-US" w:eastAsia="zh-CN"/>
              </w:rPr>
              <w:t>根据</w:t>
            </w:r>
            <w:r>
              <w:rPr>
                <w:rFonts w:hint="eastAsia"/>
                <w:color w:val="auto"/>
                <w:sz w:val="24"/>
                <w:szCs w:val="24"/>
                <w:highlight w:val="none"/>
              </w:rPr>
              <w:t>《</w:t>
            </w:r>
            <w:r>
              <w:rPr>
                <w:rFonts w:hint="eastAsia"/>
                <w:color w:val="auto"/>
                <w:sz w:val="24"/>
                <w:szCs w:val="24"/>
                <w:highlight w:val="none"/>
                <w:lang w:eastAsia="zh-CN"/>
              </w:rPr>
              <w:t>双鸭山</w:t>
            </w:r>
            <w:r>
              <w:rPr>
                <w:rFonts w:hint="eastAsia"/>
                <w:color w:val="auto"/>
                <w:sz w:val="24"/>
                <w:szCs w:val="24"/>
                <w:highlight w:val="none"/>
              </w:rPr>
              <w:t>市生态环境准入清单》（2023年版）</w:t>
            </w:r>
            <w:r>
              <w:rPr>
                <w:rFonts w:hint="eastAsia" w:cs="Times New Roman"/>
                <w:color w:val="auto"/>
                <w:sz w:val="24"/>
                <w:szCs w:val="24"/>
                <w:highlight w:val="none"/>
                <w:lang w:val="en-US" w:eastAsia="zh-CN"/>
              </w:rPr>
              <w:t>和黑龙江省生态环境分区管控数据应用平台导出的《生态环境分区管控分析报告》，</w:t>
            </w:r>
            <w:r>
              <w:rPr>
                <w:rFonts w:hint="eastAsia" w:cs="Times New Roman"/>
                <w:color w:val="auto"/>
                <w:sz w:val="24"/>
                <w:szCs w:val="24"/>
                <w:highlight w:val="none"/>
                <w:u w:val="none"/>
                <w:lang w:val="en-US" w:eastAsia="zh-CN"/>
              </w:rPr>
              <w:t>项目属于饶河县一般生态空间（ZH23052410002），生态环境准入清单管控要求详见下表。</w:t>
            </w:r>
          </w:p>
          <w:p w14:paraId="00969925">
            <w:pPr>
              <w:keepNext w:val="0"/>
              <w:keepLines w:val="0"/>
              <w:pageBreakBefore w:val="0"/>
              <w:widowControl w:val="0"/>
              <w:numPr>
                <w:ilvl w:val="0"/>
                <w:numId w:val="0"/>
              </w:numPr>
              <w:kinsoku/>
              <w:wordWrap/>
              <w:overflowPunct/>
              <w:topLinePunct w:val="0"/>
              <w:autoSpaceDE/>
              <w:autoSpaceDN/>
              <w:bidi w:val="0"/>
              <w:adjustRightInd/>
              <w:snapToGrid/>
              <w:spacing w:before="0" w:beforeLines="0"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表1-</w:t>
            </w:r>
            <w:r>
              <w:rPr>
                <w:rFonts w:hint="eastAsia" w:cs="Times New Roman"/>
                <w:b/>
                <w:bCs/>
                <w:color w:val="auto"/>
                <w:sz w:val="21"/>
                <w:szCs w:val="21"/>
                <w:highlight w:val="none"/>
                <w:lang w:val="en-US" w:eastAsia="zh-CN"/>
              </w:rPr>
              <w:t>3</w:t>
            </w:r>
            <w:r>
              <w:rPr>
                <w:rFonts w:hint="default" w:ascii="Times New Roman" w:hAnsi="Times New Roman" w:eastAsia="宋体" w:cs="Times New Roman"/>
                <w:b/>
                <w:bCs/>
                <w:color w:val="auto"/>
                <w:sz w:val="21"/>
                <w:szCs w:val="21"/>
                <w:highlight w:val="none"/>
                <w:lang w:val="en-US" w:eastAsia="zh-CN"/>
              </w:rPr>
              <w:t xml:space="preserve">  生态环境准入清单管控要求符合性分析</w:t>
            </w:r>
          </w:p>
          <w:tbl>
            <w:tblPr>
              <w:tblStyle w:val="20"/>
              <w:tblW w:w="5000"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55"/>
              <w:gridCol w:w="4195"/>
              <w:gridCol w:w="2237"/>
            </w:tblGrid>
            <w:tr w14:paraId="77EDFCB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816" w:type="pct"/>
                  <w:tcBorders>
                    <w:tl2br w:val="nil"/>
                    <w:tr2bl w:val="nil"/>
                  </w:tcBorders>
                  <w:noWrap w:val="0"/>
                  <w:vAlign w:val="center"/>
                </w:tcPr>
                <w:p w14:paraId="7570E249">
                  <w:pPr>
                    <w:keepNext w:val="0"/>
                    <w:keepLines w:val="0"/>
                    <w:pageBreakBefore w:val="0"/>
                    <w:kinsoku/>
                    <w:wordWrap/>
                    <w:overflowPunct/>
                    <w:topLinePunct w:val="0"/>
                    <w:autoSpaceDE/>
                    <w:autoSpaceDN/>
                    <w:bidi w:val="0"/>
                    <w:adjustRightInd/>
                    <w:jc w:val="center"/>
                    <w:textAlignment w:val="auto"/>
                    <w:rPr>
                      <w:rFonts w:hint="eastAsia"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环境管控单元</w:t>
                  </w:r>
                  <w:r>
                    <w:rPr>
                      <w:rFonts w:hint="eastAsia" w:ascii="Times New Roman" w:hAnsi="Times New Roman" w:cs="Times New Roman"/>
                      <w:b/>
                      <w:bCs/>
                      <w:color w:val="auto"/>
                      <w:sz w:val="21"/>
                      <w:szCs w:val="21"/>
                      <w:highlight w:val="none"/>
                      <w:lang w:val="en-US" w:eastAsia="zh-CN"/>
                    </w:rPr>
                    <w:t>编码</w:t>
                  </w:r>
                </w:p>
              </w:tc>
              <w:tc>
                <w:tcPr>
                  <w:tcW w:w="2728" w:type="pct"/>
                  <w:tcBorders>
                    <w:tl2br w:val="nil"/>
                    <w:tr2bl w:val="nil"/>
                  </w:tcBorders>
                  <w:noWrap w:val="0"/>
                  <w:vAlign w:val="center"/>
                </w:tcPr>
                <w:p w14:paraId="6846C913">
                  <w:pPr>
                    <w:keepNext w:val="0"/>
                    <w:keepLines w:val="0"/>
                    <w:pageBreakBefore w:val="0"/>
                    <w:kinsoku/>
                    <w:wordWrap/>
                    <w:overflowPunct/>
                    <w:topLinePunct w:val="0"/>
                    <w:autoSpaceDE/>
                    <w:autoSpaceDN/>
                    <w:bidi w:val="0"/>
                    <w:adjustRightInd/>
                    <w:jc w:val="center"/>
                    <w:textAlignment w:val="auto"/>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ZH23052410002</w:t>
                  </w:r>
                </w:p>
              </w:tc>
              <w:tc>
                <w:tcPr>
                  <w:tcW w:w="1455" w:type="pct"/>
                  <w:vMerge w:val="restart"/>
                  <w:tcBorders>
                    <w:tl2br w:val="nil"/>
                    <w:tr2bl w:val="nil"/>
                  </w:tcBorders>
                  <w:noWrap w:val="0"/>
                  <w:vAlign w:val="center"/>
                </w:tcPr>
                <w:p w14:paraId="4918A7C3">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符合性分析</w:t>
                  </w:r>
                </w:p>
              </w:tc>
            </w:tr>
            <w:tr w14:paraId="4006010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816" w:type="pct"/>
                  <w:tcBorders>
                    <w:tl2br w:val="nil"/>
                    <w:tr2bl w:val="nil"/>
                  </w:tcBorders>
                  <w:noWrap w:val="0"/>
                  <w:vAlign w:val="center"/>
                </w:tcPr>
                <w:p w14:paraId="3A202A54">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环境管控单元名称</w:t>
                  </w:r>
                </w:p>
              </w:tc>
              <w:tc>
                <w:tcPr>
                  <w:tcW w:w="2728" w:type="pct"/>
                  <w:tcBorders>
                    <w:tl2br w:val="nil"/>
                    <w:tr2bl w:val="nil"/>
                  </w:tcBorders>
                  <w:noWrap w:val="0"/>
                  <w:vAlign w:val="center"/>
                </w:tcPr>
                <w:p w14:paraId="23BA9F2A">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饶河县一般生态空间</w:t>
                  </w:r>
                </w:p>
              </w:tc>
              <w:tc>
                <w:tcPr>
                  <w:tcW w:w="1455" w:type="pct"/>
                  <w:vMerge w:val="continue"/>
                  <w:tcBorders>
                    <w:tl2br w:val="nil"/>
                    <w:tr2bl w:val="nil"/>
                  </w:tcBorders>
                  <w:noWrap w:val="0"/>
                  <w:vAlign w:val="center"/>
                </w:tcPr>
                <w:p w14:paraId="37973CAA">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cs="Times New Roman"/>
                      <w:b/>
                      <w:bCs/>
                      <w:color w:val="auto"/>
                      <w:sz w:val="21"/>
                      <w:szCs w:val="21"/>
                      <w:highlight w:val="none"/>
                    </w:rPr>
                  </w:pPr>
                </w:p>
              </w:tc>
            </w:tr>
            <w:tr w14:paraId="03E9E5D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6" w:type="pct"/>
                  <w:tcBorders>
                    <w:tl2br w:val="nil"/>
                    <w:tr2bl w:val="nil"/>
                  </w:tcBorders>
                  <w:noWrap w:val="0"/>
                  <w:vAlign w:val="center"/>
                </w:tcPr>
                <w:p w14:paraId="2308966C">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管控单元类别</w:t>
                  </w:r>
                </w:p>
              </w:tc>
              <w:tc>
                <w:tcPr>
                  <w:tcW w:w="2728" w:type="pct"/>
                  <w:tcBorders>
                    <w:tl2br w:val="nil"/>
                    <w:tr2bl w:val="nil"/>
                  </w:tcBorders>
                  <w:noWrap w:val="0"/>
                  <w:vAlign w:val="center"/>
                </w:tcPr>
                <w:p w14:paraId="13C6A95E">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优先保护单元</w:t>
                  </w:r>
                </w:p>
              </w:tc>
              <w:tc>
                <w:tcPr>
                  <w:tcW w:w="1455" w:type="pct"/>
                  <w:vMerge w:val="continue"/>
                  <w:tcBorders>
                    <w:tl2br w:val="nil"/>
                    <w:tr2bl w:val="nil"/>
                  </w:tcBorders>
                  <w:noWrap w:val="0"/>
                  <w:vAlign w:val="center"/>
                </w:tcPr>
                <w:p w14:paraId="0FF733DF">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cs="Times New Roman"/>
                      <w:b/>
                      <w:bCs/>
                      <w:color w:val="auto"/>
                      <w:sz w:val="21"/>
                      <w:szCs w:val="21"/>
                      <w:highlight w:val="yellow"/>
                    </w:rPr>
                  </w:pPr>
                </w:p>
              </w:tc>
            </w:tr>
            <w:tr w14:paraId="7BFB0D0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44" w:type="pct"/>
                  <w:gridSpan w:val="2"/>
                  <w:tcBorders>
                    <w:tl2br w:val="nil"/>
                    <w:tr2bl w:val="nil"/>
                  </w:tcBorders>
                  <w:shd w:val="clear" w:color="auto" w:fill="auto"/>
                  <w:noWrap w:val="0"/>
                  <w:vAlign w:val="center"/>
                </w:tcPr>
                <w:p w14:paraId="1B907B85">
                  <w:pPr>
                    <w:keepNext w:val="0"/>
                    <w:keepLines w:val="0"/>
                    <w:pageBreakBefore w:val="0"/>
                    <w:kinsoku/>
                    <w:wordWrap/>
                    <w:overflowPunct/>
                    <w:topLinePunct w:val="0"/>
                    <w:autoSpaceDE/>
                    <w:autoSpaceDN/>
                    <w:bidi w:val="0"/>
                    <w:adjustRightInd/>
                    <w:jc w:val="center"/>
                    <w:textAlignment w:val="auto"/>
                    <w:rPr>
                      <w:rFonts w:hint="eastAsia" w:ascii="Times New Roman" w:hAnsi="Times New Roman"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管控要求</w:t>
                  </w:r>
                </w:p>
              </w:tc>
              <w:tc>
                <w:tcPr>
                  <w:tcW w:w="1455" w:type="pct"/>
                  <w:vMerge w:val="continue"/>
                  <w:tcBorders>
                    <w:tl2br w:val="nil"/>
                    <w:tr2bl w:val="nil"/>
                  </w:tcBorders>
                  <w:noWrap w:val="0"/>
                  <w:vAlign w:val="center"/>
                </w:tcPr>
                <w:p w14:paraId="0CBF8B58">
                  <w:pPr>
                    <w:keepNext w:val="0"/>
                    <w:keepLines w:val="0"/>
                    <w:pageBreakBefore w:val="0"/>
                    <w:kinsoku/>
                    <w:wordWrap/>
                    <w:overflowPunct/>
                    <w:topLinePunct w:val="0"/>
                    <w:autoSpaceDE/>
                    <w:autoSpaceDN/>
                    <w:bidi w:val="0"/>
                    <w:adjustRightInd/>
                    <w:spacing w:line="240" w:lineRule="auto"/>
                    <w:ind w:right="0" w:firstLine="420" w:firstLineChars="200"/>
                    <w:jc w:val="both"/>
                    <w:textAlignment w:val="auto"/>
                    <w:rPr>
                      <w:rFonts w:hint="default"/>
                      <w:color w:val="auto"/>
                      <w:sz w:val="21"/>
                      <w:szCs w:val="21"/>
                      <w:highlight w:val="yellow"/>
                      <w:lang w:val="en-US" w:eastAsia="zh-CN"/>
                    </w:rPr>
                  </w:pPr>
                </w:p>
              </w:tc>
            </w:tr>
            <w:tr w14:paraId="5755531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pct"/>
                  <w:tcBorders>
                    <w:tl2br w:val="nil"/>
                    <w:tr2bl w:val="nil"/>
                  </w:tcBorders>
                  <w:noWrap w:val="0"/>
                  <w:vAlign w:val="center"/>
                </w:tcPr>
                <w:p w14:paraId="382C5739">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cs="Times New Roman"/>
                      <w:color w:val="auto"/>
                      <w:sz w:val="21"/>
                      <w:szCs w:val="21"/>
                      <w:highlight w:val="yellow"/>
                    </w:rPr>
                  </w:pPr>
                  <w:r>
                    <w:rPr>
                      <w:rFonts w:hint="default" w:ascii="Times New Roman" w:hAnsi="Times New Roman" w:cs="Times New Roman"/>
                      <w:b/>
                      <w:bCs/>
                      <w:color w:val="auto"/>
                      <w:sz w:val="21"/>
                      <w:szCs w:val="21"/>
                      <w:highlight w:val="none"/>
                    </w:rPr>
                    <w:t>空间布局约束</w:t>
                  </w:r>
                </w:p>
              </w:tc>
              <w:tc>
                <w:tcPr>
                  <w:tcW w:w="2728" w:type="pct"/>
                  <w:tcBorders>
                    <w:tl2br w:val="nil"/>
                    <w:tr2bl w:val="nil"/>
                  </w:tcBorders>
                  <w:noWrap w:val="0"/>
                  <w:vAlign w:val="center"/>
                </w:tcPr>
                <w:p w14:paraId="5AB01AA2">
                  <w:pPr>
                    <w:keepNext w:val="0"/>
                    <w:keepLines w:val="0"/>
                    <w:pageBreakBefore w:val="0"/>
                    <w:widowControl w:val="0"/>
                    <w:numPr>
                      <w:ilvl w:val="0"/>
                      <w:numId w:val="0"/>
                    </w:numPr>
                    <w:tabs>
                      <w:tab w:val="left" w:pos="265"/>
                    </w:tabs>
                    <w:kinsoku/>
                    <w:wordWrap/>
                    <w:overflowPunct/>
                    <w:topLinePunct w:val="0"/>
                    <w:autoSpaceDE w:val="0"/>
                    <w:autoSpaceDN w:val="0"/>
                    <w:bidi w:val="0"/>
                    <w:adjustRightInd/>
                    <w:snapToGrid/>
                    <w:ind w:leftChars="0" w:right="0" w:rightChars="0" w:firstLine="422" w:firstLineChars="20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1.执行</w:t>
                  </w:r>
                </w:p>
                <w:p w14:paraId="6EFF6735">
                  <w:pPr>
                    <w:keepNext w:val="0"/>
                    <w:keepLines w:val="0"/>
                    <w:pageBreakBefore w:val="0"/>
                    <w:widowControl w:val="0"/>
                    <w:numPr>
                      <w:ilvl w:val="0"/>
                      <w:numId w:val="0"/>
                    </w:numPr>
                    <w:tabs>
                      <w:tab w:val="left" w:pos="265"/>
                    </w:tabs>
                    <w:kinsoku/>
                    <w:wordWrap/>
                    <w:overflowPunct/>
                    <w:topLinePunct w:val="0"/>
                    <w:autoSpaceDE w:val="0"/>
                    <w:autoSpaceDN w:val="0"/>
                    <w:bidi w:val="0"/>
                    <w:adjustRightInd/>
                    <w:snapToGrid/>
                    <w:ind w:leftChars="0" w:right="0" w:rightChars="0" w:firstLine="420" w:firstLineChars="200"/>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cs="Times New Roman"/>
                      <w:color w:val="auto"/>
                      <w:sz w:val="21"/>
                      <w:szCs w:val="21"/>
                      <w:highlight w:val="none"/>
                      <w:lang w:val="en-US" w:eastAsia="zh-CN"/>
                    </w:rPr>
                    <w:t>1）</w:t>
                  </w:r>
                  <w:r>
                    <w:rPr>
                      <w:rFonts w:hint="default" w:ascii="Times New Roman" w:hAnsi="Times New Roman" w:eastAsia="宋体" w:cs="Times New Roman"/>
                      <w:color w:val="auto"/>
                      <w:kern w:val="0"/>
                      <w:sz w:val="21"/>
                      <w:szCs w:val="21"/>
                      <w:lang w:val="en-US" w:eastAsia="zh-CN" w:bidi="ar"/>
                    </w:rPr>
                    <w:t>原则上按限制开发区域的要求进行管理。严格限制与生态功能不一致的开发建设活动。符合区域准入条件的新增建设项目，涉及占用生态空间中的林地、草原等，按有关法律法规规定办理；涉及占用生态空间中其他未作明确规定的用地，应当加强论证和管理。符合条件的农业开发项目，须依法由市县级及以上地方人民政府统筹安排。除符合国家生态退耕条件的耕地，并纳入国家生态退耕总体安排，或因国家重大生态工程建设需要外，不得随意转用。</w:t>
                  </w:r>
                </w:p>
                <w:p w14:paraId="61525E69">
                  <w:pPr>
                    <w:keepNext w:val="0"/>
                    <w:keepLines w:val="0"/>
                    <w:pageBreakBefore w:val="0"/>
                    <w:widowControl w:val="0"/>
                    <w:numPr>
                      <w:ilvl w:val="0"/>
                      <w:numId w:val="0"/>
                    </w:numPr>
                    <w:tabs>
                      <w:tab w:val="left" w:pos="265"/>
                    </w:tabs>
                    <w:kinsoku/>
                    <w:wordWrap/>
                    <w:overflowPunct/>
                    <w:topLinePunct w:val="0"/>
                    <w:autoSpaceDE w:val="0"/>
                    <w:autoSpaceDN w:val="0"/>
                    <w:bidi w:val="0"/>
                    <w:adjustRightInd/>
                    <w:snapToGrid/>
                    <w:ind w:leftChars="0" w:right="0" w:rightChars="0" w:firstLine="420" w:firstLineChars="200"/>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2）对依法保护的生态空间实行承载力控制，防止过度垦殖、放牧、采伐、取水、渔猎、旅游等对生态功能造成损害，确保自然生态系统的稳定。</w:t>
                  </w:r>
                </w:p>
                <w:p w14:paraId="4FCCC6AB">
                  <w:pPr>
                    <w:keepNext w:val="0"/>
                    <w:keepLines w:val="0"/>
                    <w:pageBreakBefore w:val="0"/>
                    <w:widowControl w:val="0"/>
                    <w:numPr>
                      <w:ilvl w:val="0"/>
                      <w:numId w:val="0"/>
                    </w:numPr>
                    <w:tabs>
                      <w:tab w:val="left" w:pos="265"/>
                    </w:tabs>
                    <w:kinsoku/>
                    <w:wordWrap/>
                    <w:overflowPunct/>
                    <w:topLinePunct w:val="0"/>
                    <w:autoSpaceDE w:val="0"/>
                    <w:autoSpaceDN w:val="0"/>
                    <w:bidi w:val="0"/>
                    <w:adjustRightInd/>
                    <w:snapToGrid/>
                    <w:ind w:leftChars="0" w:right="0" w:rightChars="0" w:firstLine="420" w:firstLineChars="200"/>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3）避免开发建设活动损害其生态服务功能和生态产品质量。</w:t>
                  </w:r>
                </w:p>
                <w:p w14:paraId="57D94A05">
                  <w:pPr>
                    <w:keepNext w:val="0"/>
                    <w:keepLines w:val="0"/>
                    <w:pageBreakBefore w:val="0"/>
                    <w:widowControl w:val="0"/>
                    <w:numPr>
                      <w:ilvl w:val="0"/>
                      <w:numId w:val="0"/>
                    </w:numPr>
                    <w:tabs>
                      <w:tab w:val="left" w:pos="265"/>
                    </w:tabs>
                    <w:kinsoku/>
                    <w:wordWrap/>
                    <w:overflowPunct/>
                    <w:topLinePunct w:val="0"/>
                    <w:autoSpaceDE w:val="0"/>
                    <w:autoSpaceDN w:val="0"/>
                    <w:bidi w:val="0"/>
                    <w:adjustRightInd/>
                    <w:snapToGrid/>
                    <w:ind w:leftChars="0" w:right="0" w:rightChars="0" w:firstLine="420" w:firstLineChars="200"/>
                    <w:textAlignment w:val="auto"/>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4）已经侵占生态空间的，应建立退出机制、制定治理方案及时间表。自然生态系统的稳定。</w:t>
                  </w:r>
                </w:p>
                <w:p w14:paraId="2F32550E">
                  <w:pPr>
                    <w:keepNext w:val="0"/>
                    <w:keepLines w:val="0"/>
                    <w:pageBreakBefore w:val="0"/>
                    <w:widowControl w:val="0"/>
                    <w:numPr>
                      <w:ilvl w:val="0"/>
                      <w:numId w:val="0"/>
                    </w:numPr>
                    <w:tabs>
                      <w:tab w:val="left" w:pos="265"/>
                    </w:tabs>
                    <w:kinsoku/>
                    <w:wordWrap/>
                    <w:overflowPunct/>
                    <w:topLinePunct w:val="0"/>
                    <w:autoSpaceDE w:val="0"/>
                    <w:autoSpaceDN w:val="0"/>
                    <w:bidi w:val="0"/>
                    <w:adjustRightInd/>
                    <w:snapToGrid/>
                    <w:ind w:leftChars="0" w:right="0" w:rightChars="0" w:firstLine="422" w:firstLineChars="200"/>
                    <w:textAlignment w:val="auto"/>
                    <w:rPr>
                      <w:rFonts w:hint="eastAsia"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2.乌苏里江四排段哲罗鱼鲂国家级水产种质资源保护区同时执行</w:t>
                  </w:r>
                </w:p>
                <w:p w14:paraId="42CD7FC5">
                  <w:pPr>
                    <w:keepNext w:val="0"/>
                    <w:keepLines w:val="0"/>
                    <w:pageBreakBefore w:val="0"/>
                    <w:widowControl w:val="0"/>
                    <w:numPr>
                      <w:ilvl w:val="0"/>
                      <w:numId w:val="0"/>
                    </w:numPr>
                    <w:tabs>
                      <w:tab w:val="left" w:pos="265"/>
                    </w:tabs>
                    <w:kinsoku/>
                    <w:wordWrap/>
                    <w:overflowPunct/>
                    <w:topLinePunct w:val="0"/>
                    <w:autoSpaceDE w:val="0"/>
                    <w:autoSpaceDN w:val="0"/>
                    <w:bidi w:val="0"/>
                    <w:adjustRightInd/>
                    <w:snapToGrid/>
                    <w:ind w:leftChars="0" w:right="0" w:rightChars="0" w:firstLine="420" w:firstLineChars="200"/>
                    <w:textAlignment w:val="auto"/>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1）不得损害水产种质资源及其生存环境。</w:t>
                  </w:r>
                </w:p>
                <w:p w14:paraId="30F37BEB">
                  <w:pPr>
                    <w:keepNext w:val="0"/>
                    <w:keepLines w:val="0"/>
                    <w:pageBreakBefore w:val="0"/>
                    <w:widowControl w:val="0"/>
                    <w:numPr>
                      <w:ilvl w:val="0"/>
                      <w:numId w:val="0"/>
                    </w:numPr>
                    <w:tabs>
                      <w:tab w:val="left" w:pos="265"/>
                    </w:tabs>
                    <w:kinsoku/>
                    <w:wordWrap/>
                    <w:overflowPunct/>
                    <w:topLinePunct w:val="0"/>
                    <w:autoSpaceDE w:val="0"/>
                    <w:autoSpaceDN w:val="0"/>
                    <w:bidi w:val="0"/>
                    <w:adjustRightInd/>
                    <w:snapToGrid/>
                    <w:ind w:leftChars="0" w:right="0" w:rightChars="0" w:firstLine="420" w:firstLineChars="200"/>
                    <w:textAlignment w:val="auto"/>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2）禁止在水产种质资源保护区内从事围湖造田工程。</w:t>
                  </w:r>
                </w:p>
                <w:p w14:paraId="407DCD9F">
                  <w:pPr>
                    <w:keepNext w:val="0"/>
                    <w:keepLines w:val="0"/>
                    <w:pageBreakBefore w:val="0"/>
                    <w:widowControl w:val="0"/>
                    <w:numPr>
                      <w:ilvl w:val="0"/>
                      <w:numId w:val="0"/>
                    </w:numPr>
                    <w:tabs>
                      <w:tab w:val="left" w:pos="265"/>
                    </w:tabs>
                    <w:kinsoku/>
                    <w:wordWrap/>
                    <w:overflowPunct/>
                    <w:topLinePunct w:val="0"/>
                    <w:autoSpaceDE w:val="0"/>
                    <w:autoSpaceDN w:val="0"/>
                    <w:bidi w:val="0"/>
                    <w:adjustRightInd/>
                    <w:snapToGrid/>
                    <w:ind w:leftChars="0" w:right="0" w:rightChars="0" w:firstLine="420" w:firstLineChars="200"/>
                    <w:textAlignment w:val="auto"/>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3）禁止在水产种质资源保护区内新建排污口。</w:t>
                  </w:r>
                </w:p>
                <w:p w14:paraId="2A265963">
                  <w:pPr>
                    <w:keepNext w:val="0"/>
                    <w:keepLines w:val="0"/>
                    <w:pageBreakBefore w:val="0"/>
                    <w:widowControl w:val="0"/>
                    <w:numPr>
                      <w:ilvl w:val="0"/>
                      <w:numId w:val="0"/>
                    </w:numPr>
                    <w:tabs>
                      <w:tab w:val="left" w:pos="265"/>
                    </w:tabs>
                    <w:kinsoku/>
                    <w:wordWrap/>
                    <w:overflowPunct/>
                    <w:topLinePunct w:val="0"/>
                    <w:autoSpaceDE w:val="0"/>
                    <w:autoSpaceDN w:val="0"/>
                    <w:bidi w:val="0"/>
                    <w:adjustRightInd/>
                    <w:snapToGrid/>
                    <w:ind w:leftChars="0" w:right="0" w:rightChars="0" w:firstLine="420" w:firstLineChars="200"/>
                    <w:textAlignment w:val="auto"/>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4）在水产种质资源保护区附近新建、改建、扩建排污口，应当保证保护区水体不受污染。</w:t>
                  </w:r>
                </w:p>
                <w:p w14:paraId="49371609">
                  <w:pPr>
                    <w:keepNext w:val="0"/>
                    <w:keepLines w:val="0"/>
                    <w:pageBreakBefore w:val="0"/>
                    <w:widowControl w:val="0"/>
                    <w:numPr>
                      <w:ilvl w:val="0"/>
                      <w:numId w:val="0"/>
                    </w:numPr>
                    <w:tabs>
                      <w:tab w:val="left" w:pos="265"/>
                    </w:tabs>
                    <w:kinsoku/>
                    <w:wordWrap/>
                    <w:overflowPunct/>
                    <w:topLinePunct w:val="0"/>
                    <w:autoSpaceDE w:val="0"/>
                    <w:autoSpaceDN w:val="0"/>
                    <w:bidi w:val="0"/>
                    <w:adjustRightInd/>
                    <w:snapToGrid/>
                    <w:ind w:leftChars="0" w:right="0" w:rightChars="0" w:firstLine="420" w:firstLineChars="200"/>
                    <w:textAlignment w:val="auto"/>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5）特别保护期内不 得从事捕捞、爆破作业以及其他可能对保护区内生物资源和生态环境造成损害的活动。</w:t>
                  </w:r>
                </w:p>
                <w:p w14:paraId="1C996FE4">
                  <w:pPr>
                    <w:keepNext w:val="0"/>
                    <w:keepLines w:val="0"/>
                    <w:pageBreakBefore w:val="0"/>
                    <w:widowControl w:val="0"/>
                    <w:numPr>
                      <w:ilvl w:val="0"/>
                      <w:numId w:val="0"/>
                    </w:numPr>
                    <w:tabs>
                      <w:tab w:val="left" w:pos="265"/>
                    </w:tabs>
                    <w:kinsoku/>
                    <w:wordWrap/>
                    <w:overflowPunct/>
                    <w:topLinePunct w:val="0"/>
                    <w:autoSpaceDE w:val="0"/>
                    <w:autoSpaceDN w:val="0"/>
                    <w:bidi w:val="0"/>
                    <w:adjustRightInd/>
                    <w:snapToGrid/>
                    <w:ind w:leftChars="0" w:right="0" w:rightChars="0" w:firstLine="420" w:firstLineChars="200"/>
                    <w:textAlignment w:val="auto"/>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6） 在水产种质资源保护区内从事修建水利工程、疏浚航道、建闸筑坝、勘探和开采矿产资源、 港口建设等工程建设的，或者在水产种质资源保护区外从事可能损害保护区功能的工程建设 活动的，应当按照国家有关规定编制建设项目对水产种质资源保护区的影响专题论证报告，并将其纳入环境影响评价报告书。</w:t>
                  </w:r>
                </w:p>
              </w:tc>
              <w:tc>
                <w:tcPr>
                  <w:tcW w:w="1455" w:type="pct"/>
                  <w:tcBorders>
                    <w:tl2br w:val="nil"/>
                    <w:tr2bl w:val="nil"/>
                  </w:tcBorders>
                  <w:noWrap w:val="0"/>
                  <w:vAlign w:val="center"/>
                </w:tcPr>
                <w:p w14:paraId="1E5C7EC9">
                  <w:pPr>
                    <w:pStyle w:val="44"/>
                    <w:bidi w:val="0"/>
                    <w:rPr>
                      <w:rFonts w:hint="eastAsia"/>
                      <w:color w:val="auto"/>
                      <w:highlight w:val="none"/>
                      <w:lang w:val="en-US" w:eastAsia="zh-CN"/>
                    </w:rPr>
                  </w:pPr>
                  <w:r>
                    <w:rPr>
                      <w:rFonts w:hint="eastAsia"/>
                      <w:color w:val="auto"/>
                      <w:highlight w:val="none"/>
                      <w:lang w:val="en-US" w:eastAsia="zh-CN"/>
                    </w:rPr>
                    <w:t>1.1）项目位于</w:t>
                  </w:r>
                  <w:r>
                    <w:rPr>
                      <w:rFonts w:hint="default"/>
                      <w:color w:val="auto"/>
                      <w:highlight w:val="none"/>
                      <w:lang w:val="en-US" w:eastAsia="zh-CN"/>
                    </w:rPr>
                    <w:t>黑龙江省</w:t>
                  </w:r>
                  <w:r>
                    <w:rPr>
                      <w:rFonts w:hint="eastAsia"/>
                      <w:color w:val="auto"/>
                      <w:highlight w:val="none"/>
                      <w:lang w:val="en-US" w:eastAsia="zh-CN"/>
                    </w:rPr>
                    <w:t>双鸭山</w:t>
                  </w:r>
                  <w:r>
                    <w:rPr>
                      <w:rFonts w:hint="default"/>
                      <w:color w:val="auto"/>
                      <w:highlight w:val="none"/>
                      <w:lang w:val="en-US" w:eastAsia="zh-CN"/>
                    </w:rPr>
                    <w:t>市</w:t>
                  </w:r>
                  <w:r>
                    <w:rPr>
                      <w:rFonts w:hint="eastAsia"/>
                      <w:color w:val="auto"/>
                      <w:highlight w:val="none"/>
                      <w:lang w:val="en-US" w:eastAsia="zh-CN"/>
                    </w:rPr>
                    <w:t>饶河</w:t>
                  </w:r>
                  <w:r>
                    <w:rPr>
                      <w:rFonts w:hint="default"/>
                      <w:color w:val="auto"/>
                      <w:highlight w:val="none"/>
                      <w:lang w:val="en-US" w:eastAsia="zh-CN"/>
                    </w:rPr>
                    <w:t>县</w:t>
                  </w:r>
                  <w:r>
                    <w:rPr>
                      <w:rFonts w:hint="eastAsia"/>
                      <w:color w:val="auto"/>
                      <w:highlight w:val="none"/>
                      <w:lang w:val="en-US" w:eastAsia="zh-CN"/>
                    </w:rPr>
                    <w:t xml:space="preserve">四排乡四排村，建设场用地于已开发区域，不涉及林地、草原等。    </w:t>
                  </w:r>
                </w:p>
                <w:p w14:paraId="49D412F3">
                  <w:pPr>
                    <w:pStyle w:val="44"/>
                    <w:bidi w:val="0"/>
                    <w:rPr>
                      <w:rFonts w:hint="eastAsia"/>
                      <w:color w:val="auto"/>
                      <w:highlight w:val="none"/>
                      <w:lang w:val="en-US" w:eastAsia="zh-CN"/>
                    </w:rPr>
                  </w:pPr>
                  <w:r>
                    <w:rPr>
                      <w:rFonts w:hint="eastAsia"/>
                      <w:color w:val="auto"/>
                      <w:highlight w:val="none"/>
                      <w:lang w:val="en-US" w:eastAsia="zh-CN"/>
                    </w:rPr>
                    <w:t>2）项目属于</w:t>
                  </w:r>
                  <w:r>
                    <w:rPr>
                      <w:rFonts w:hint="default"/>
                      <w:color w:val="auto"/>
                      <w:highlight w:val="none"/>
                      <w:lang w:val="en-US" w:eastAsia="zh-CN"/>
                    </w:rPr>
                    <w:t>热力生产和供应</w:t>
                  </w:r>
                  <w:r>
                    <w:rPr>
                      <w:rFonts w:hint="eastAsia"/>
                      <w:color w:val="auto"/>
                      <w:highlight w:val="none"/>
                      <w:lang w:val="en-US" w:eastAsia="zh-CN"/>
                    </w:rPr>
                    <w:t>行业，不涉及</w:t>
                  </w:r>
                  <w:r>
                    <w:rPr>
                      <w:rFonts w:hint="default"/>
                      <w:color w:val="auto"/>
                      <w:highlight w:val="none"/>
                      <w:lang w:val="en-US" w:eastAsia="zh-CN"/>
                    </w:rPr>
                    <w:t>过度垦殖、放牧、采伐、取水、渔猎、旅游等</w:t>
                  </w:r>
                  <w:r>
                    <w:rPr>
                      <w:rFonts w:hint="eastAsia"/>
                      <w:color w:val="auto"/>
                      <w:highlight w:val="none"/>
                      <w:lang w:val="en-US" w:eastAsia="zh-CN"/>
                    </w:rPr>
                    <w:t>。</w:t>
                  </w:r>
                </w:p>
                <w:p w14:paraId="03AF7FCF">
                  <w:pPr>
                    <w:pStyle w:val="44"/>
                    <w:bidi w:val="0"/>
                    <w:rPr>
                      <w:rFonts w:hint="eastAsia"/>
                      <w:color w:val="auto"/>
                      <w:highlight w:val="none"/>
                      <w:lang w:val="en-US" w:eastAsia="zh-CN"/>
                    </w:rPr>
                  </w:pPr>
                  <w:r>
                    <w:rPr>
                      <w:rFonts w:hint="eastAsia"/>
                      <w:color w:val="auto"/>
                      <w:highlight w:val="none"/>
                      <w:lang w:val="en-US" w:eastAsia="zh-CN"/>
                    </w:rPr>
                    <w:t>3）项目所在区域已开发，周边环境为居民区、房地产等，不会因开发建设活动造成</w:t>
                  </w:r>
                  <w:r>
                    <w:rPr>
                      <w:rFonts w:hint="default" w:ascii="Times New Roman" w:hAnsi="Times New Roman" w:eastAsia="宋体" w:cs="Times New Roman"/>
                      <w:color w:val="auto"/>
                      <w:kern w:val="0"/>
                      <w:sz w:val="21"/>
                      <w:szCs w:val="21"/>
                      <w:lang w:val="en-US" w:eastAsia="zh-CN" w:bidi="ar"/>
                    </w:rPr>
                    <w:t>生态服务功能和生态产品质量</w:t>
                  </w:r>
                  <w:r>
                    <w:rPr>
                      <w:rFonts w:hint="eastAsia" w:cs="Times New Roman"/>
                      <w:color w:val="auto"/>
                      <w:kern w:val="0"/>
                      <w:sz w:val="21"/>
                      <w:szCs w:val="21"/>
                      <w:lang w:val="en-US" w:eastAsia="zh-CN" w:bidi="ar"/>
                    </w:rPr>
                    <w:t>的损害</w:t>
                  </w:r>
                  <w:r>
                    <w:rPr>
                      <w:rFonts w:hint="eastAsia"/>
                      <w:color w:val="auto"/>
                      <w:highlight w:val="none"/>
                      <w:lang w:val="en-US" w:eastAsia="zh-CN"/>
                    </w:rPr>
                    <w:t>。</w:t>
                  </w:r>
                </w:p>
                <w:p w14:paraId="53A5407F">
                  <w:pPr>
                    <w:pStyle w:val="44"/>
                    <w:bidi w:val="0"/>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4）项目在已开发区域进行建设，未侵占生态空间，与黑龙江饶河东北黑蜂国家级自然保护区整合优化调整后无相交情况，一般控制区最近距离约8.2公里；核心区最近距离约11公里</w:t>
                  </w:r>
                  <w:r>
                    <w:rPr>
                      <w:rFonts w:hint="eastAsia" w:cs="Times New Roman"/>
                      <w:color w:val="auto"/>
                      <w:kern w:val="0"/>
                      <w:sz w:val="21"/>
                      <w:szCs w:val="21"/>
                      <w:lang w:val="en-US" w:eastAsia="zh-CN" w:bidi="ar"/>
                    </w:rPr>
                    <w:t>。</w:t>
                  </w:r>
                </w:p>
                <w:p w14:paraId="7020456E">
                  <w:pPr>
                    <w:pStyle w:val="44"/>
                    <w:bidi w:val="0"/>
                    <w:rPr>
                      <w:rFonts w:hint="default"/>
                      <w:color w:val="auto"/>
                      <w:highlight w:val="none"/>
                      <w:lang w:val="en-US" w:eastAsia="zh-CN"/>
                    </w:rPr>
                  </w:pPr>
                  <w:r>
                    <w:rPr>
                      <w:rFonts w:hint="eastAsia"/>
                      <w:color w:val="auto"/>
                      <w:highlight w:val="none"/>
                      <w:lang w:val="en-US" w:eastAsia="zh-CN"/>
                    </w:rPr>
                    <w:t>2.项目不涉及乌苏里江四排段哲罗鱼鲂国家级水产种质资源保护区。</w:t>
                  </w:r>
                </w:p>
              </w:tc>
            </w:tr>
            <w:tr w14:paraId="04D33FA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pct"/>
                  <w:tcBorders>
                    <w:tl2br w:val="nil"/>
                    <w:tr2bl w:val="nil"/>
                  </w:tcBorders>
                  <w:noWrap w:val="0"/>
                  <w:vAlign w:val="center"/>
                </w:tcPr>
                <w:p w14:paraId="7AC29958">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污染物排放管控</w:t>
                  </w:r>
                </w:p>
              </w:tc>
              <w:tc>
                <w:tcPr>
                  <w:tcW w:w="2728" w:type="pct"/>
                  <w:tcBorders>
                    <w:tl2br w:val="nil"/>
                    <w:tr2bl w:val="nil"/>
                  </w:tcBorders>
                  <w:noWrap w:val="0"/>
                  <w:vAlign w:val="center"/>
                </w:tcPr>
                <w:p w14:paraId="49E0452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color w:val="auto"/>
                      <w:highlight w:val="none"/>
                      <w:lang w:val="en-US" w:eastAsia="zh-CN"/>
                    </w:rPr>
                  </w:pPr>
                  <w:r>
                    <w:rPr>
                      <w:rFonts w:hint="eastAsia"/>
                      <w:color w:val="auto"/>
                      <w:highlight w:val="none"/>
                      <w:lang w:val="en-US" w:eastAsia="zh-CN"/>
                    </w:rPr>
                    <w:t>/</w:t>
                  </w:r>
                </w:p>
              </w:tc>
              <w:tc>
                <w:tcPr>
                  <w:tcW w:w="1455" w:type="pct"/>
                  <w:tcBorders>
                    <w:tl2br w:val="nil"/>
                    <w:tr2bl w:val="nil"/>
                  </w:tcBorders>
                  <w:noWrap w:val="0"/>
                  <w:vAlign w:val="center"/>
                </w:tcPr>
                <w:p w14:paraId="1C505EF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color w:val="auto"/>
                      <w:sz w:val="21"/>
                      <w:szCs w:val="21"/>
                      <w:highlight w:val="none"/>
                      <w:lang w:val="en-US" w:eastAsia="zh-CN"/>
                    </w:rPr>
                  </w:pPr>
                  <w:r>
                    <w:rPr>
                      <w:rFonts w:hint="eastAsia"/>
                      <w:color w:val="auto"/>
                      <w:highlight w:val="none"/>
                      <w:lang w:val="en-US" w:eastAsia="zh-CN"/>
                    </w:rPr>
                    <w:t>/</w:t>
                  </w:r>
                </w:p>
              </w:tc>
            </w:tr>
            <w:tr w14:paraId="6489993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pct"/>
                  <w:tcBorders>
                    <w:tl2br w:val="nil"/>
                    <w:tr2bl w:val="nil"/>
                  </w:tcBorders>
                  <w:noWrap w:val="0"/>
                  <w:vAlign w:val="center"/>
                </w:tcPr>
                <w:p w14:paraId="52FC9445">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环境风险防控</w:t>
                  </w:r>
                </w:p>
              </w:tc>
              <w:tc>
                <w:tcPr>
                  <w:tcW w:w="2728" w:type="pct"/>
                  <w:tcBorders>
                    <w:tl2br w:val="nil"/>
                    <w:tr2bl w:val="nil"/>
                  </w:tcBorders>
                  <w:noWrap w:val="0"/>
                  <w:vAlign w:val="center"/>
                </w:tcPr>
                <w:p w14:paraId="4AE26A5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color w:val="auto"/>
                      <w:highlight w:val="none"/>
                      <w:lang w:val="en-US" w:eastAsia="zh-CN"/>
                    </w:rPr>
                  </w:pPr>
                  <w:r>
                    <w:rPr>
                      <w:rFonts w:hint="eastAsia"/>
                      <w:color w:val="auto"/>
                      <w:highlight w:val="none"/>
                      <w:lang w:val="en-US" w:eastAsia="zh-CN"/>
                    </w:rPr>
                    <w:t>/</w:t>
                  </w:r>
                </w:p>
              </w:tc>
              <w:tc>
                <w:tcPr>
                  <w:tcW w:w="1455" w:type="pct"/>
                  <w:tcBorders>
                    <w:tl2br w:val="nil"/>
                    <w:tr2bl w:val="nil"/>
                  </w:tcBorders>
                  <w:noWrap w:val="0"/>
                  <w:vAlign w:val="center"/>
                </w:tcPr>
                <w:p w14:paraId="4E7A6B6F">
                  <w:pPr>
                    <w:keepNext w:val="0"/>
                    <w:keepLines w:val="0"/>
                    <w:pageBreakBefore w:val="0"/>
                    <w:widowControl w:val="0"/>
                    <w:kinsoku/>
                    <w:wordWrap/>
                    <w:overflowPunct/>
                    <w:topLinePunct w:val="0"/>
                    <w:autoSpaceDE/>
                    <w:autoSpaceDN/>
                    <w:bidi w:val="0"/>
                    <w:adjustRightInd/>
                    <w:snapToGrid/>
                    <w:spacing w:line="240" w:lineRule="auto"/>
                    <w:ind w:right="0" w:firstLine="0" w:firstLineChars="0"/>
                    <w:jc w:val="center"/>
                    <w:textAlignment w:val="auto"/>
                    <w:rPr>
                      <w:rFonts w:hint="default"/>
                      <w:color w:val="auto"/>
                      <w:sz w:val="21"/>
                      <w:szCs w:val="21"/>
                      <w:highlight w:val="none"/>
                      <w:lang w:val="en-US" w:eastAsia="zh-CN"/>
                    </w:rPr>
                  </w:pPr>
                  <w:r>
                    <w:rPr>
                      <w:rFonts w:hint="eastAsia"/>
                      <w:color w:val="auto"/>
                      <w:highlight w:val="none"/>
                      <w:lang w:val="en-US" w:eastAsia="zh-CN"/>
                    </w:rPr>
                    <w:t>/</w:t>
                  </w:r>
                </w:p>
              </w:tc>
            </w:tr>
            <w:tr w14:paraId="039A0F5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pct"/>
                  <w:tcBorders>
                    <w:tl2br w:val="nil"/>
                    <w:tr2bl w:val="nil"/>
                  </w:tcBorders>
                  <w:noWrap w:val="0"/>
                  <w:vAlign w:val="center"/>
                </w:tcPr>
                <w:p w14:paraId="7E64B764">
                  <w:pPr>
                    <w:keepNext w:val="0"/>
                    <w:keepLines w:val="0"/>
                    <w:pageBreakBefore w:val="0"/>
                    <w:kinsoku/>
                    <w:wordWrap/>
                    <w:overflowPunct/>
                    <w:topLinePunct w:val="0"/>
                    <w:autoSpaceDE/>
                    <w:autoSpaceDN/>
                    <w:bidi w:val="0"/>
                    <w:adjustRightInd/>
                    <w:jc w:val="center"/>
                    <w:textAlignment w:val="auto"/>
                    <w:rPr>
                      <w:rFonts w:hint="default"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资源开发效率要求</w:t>
                  </w:r>
                </w:p>
              </w:tc>
              <w:tc>
                <w:tcPr>
                  <w:tcW w:w="2728" w:type="pct"/>
                  <w:tcBorders>
                    <w:tl2br w:val="nil"/>
                    <w:tr2bl w:val="nil"/>
                  </w:tcBorders>
                  <w:noWrap w:val="0"/>
                  <w:vAlign w:val="center"/>
                </w:tcPr>
                <w:p w14:paraId="29FC881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color w:val="auto"/>
                      <w:highlight w:val="none"/>
                      <w:lang w:val="en-US" w:eastAsia="zh-CN"/>
                    </w:rPr>
                  </w:pPr>
                  <w:r>
                    <w:rPr>
                      <w:rFonts w:hint="eastAsia"/>
                      <w:color w:val="auto"/>
                      <w:highlight w:val="none"/>
                      <w:lang w:val="en-US" w:eastAsia="zh-CN"/>
                    </w:rPr>
                    <w:t>/</w:t>
                  </w:r>
                </w:p>
              </w:tc>
              <w:tc>
                <w:tcPr>
                  <w:tcW w:w="1455" w:type="pct"/>
                  <w:tcBorders>
                    <w:tl2br w:val="nil"/>
                    <w:tr2bl w:val="nil"/>
                  </w:tcBorders>
                  <w:noWrap w:val="0"/>
                  <w:vAlign w:val="center"/>
                </w:tcPr>
                <w:p w14:paraId="484ED4C2">
                  <w:pPr>
                    <w:keepNext w:val="0"/>
                    <w:keepLines w:val="0"/>
                    <w:pageBreakBefore w:val="0"/>
                    <w:widowControl w:val="0"/>
                    <w:kinsoku/>
                    <w:wordWrap/>
                    <w:overflowPunct/>
                    <w:topLinePunct w:val="0"/>
                    <w:autoSpaceDE/>
                    <w:autoSpaceDN/>
                    <w:bidi w:val="0"/>
                    <w:adjustRightInd/>
                    <w:snapToGrid/>
                    <w:spacing w:line="240" w:lineRule="auto"/>
                    <w:ind w:right="0" w:firstLine="0" w:firstLineChars="0"/>
                    <w:jc w:val="center"/>
                    <w:textAlignment w:val="auto"/>
                    <w:rPr>
                      <w:rFonts w:hint="default"/>
                      <w:color w:val="auto"/>
                      <w:highlight w:val="none"/>
                      <w:lang w:val="en-US" w:eastAsia="zh-CN"/>
                    </w:rPr>
                  </w:pPr>
                  <w:r>
                    <w:rPr>
                      <w:rFonts w:hint="eastAsia"/>
                      <w:color w:val="auto"/>
                      <w:highlight w:val="none"/>
                      <w:lang w:val="en-US" w:eastAsia="zh-CN"/>
                    </w:rPr>
                    <w:t>/</w:t>
                  </w:r>
                </w:p>
              </w:tc>
            </w:tr>
          </w:tbl>
          <w:p w14:paraId="57204A67">
            <w:pPr>
              <w:keepNext w:val="0"/>
              <w:keepLines w:val="0"/>
              <w:pageBreakBefore w:val="0"/>
              <w:widowControl w:val="0"/>
              <w:kinsoku/>
              <w:wordWrap/>
              <w:overflowPunct/>
              <w:topLinePunct w:val="0"/>
              <w:autoSpaceDE w:val="0"/>
              <w:autoSpaceDN w:val="0"/>
              <w:bidi w:val="0"/>
              <w:adjustRightInd/>
              <w:snapToGrid/>
              <w:spacing w:before="157" w:beforeLines="50"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eastAsia="宋体" w:cs="Times New Roman"/>
                <w:b w:val="0"/>
                <w:bCs/>
                <w:color w:val="auto"/>
                <w:sz w:val="24"/>
                <w:szCs w:val="24"/>
                <w:highlight w:val="none"/>
                <w:lang w:val="en-US" w:eastAsia="zh-CN"/>
              </w:rPr>
              <w:t>根据上述分析，项目</w:t>
            </w:r>
            <w:r>
              <w:rPr>
                <w:rFonts w:hint="default" w:ascii="Times New Roman" w:hAnsi="Times New Roman" w:cs="Times New Roman"/>
                <w:color w:val="auto"/>
                <w:sz w:val="24"/>
                <w:szCs w:val="24"/>
                <w:highlight w:val="none"/>
                <w:lang w:val="en-US" w:eastAsia="zh-CN"/>
              </w:rPr>
              <w:t>符合</w:t>
            </w:r>
            <w:r>
              <w:rPr>
                <w:rFonts w:hint="eastAsia"/>
                <w:color w:val="auto"/>
                <w:sz w:val="24"/>
                <w:szCs w:val="24"/>
                <w:highlight w:val="none"/>
              </w:rPr>
              <w:t>《</w:t>
            </w:r>
            <w:r>
              <w:rPr>
                <w:rFonts w:hint="eastAsia"/>
                <w:color w:val="auto"/>
                <w:sz w:val="24"/>
                <w:szCs w:val="24"/>
                <w:highlight w:val="none"/>
                <w:lang w:eastAsia="zh-CN"/>
              </w:rPr>
              <w:t>双鸭山</w:t>
            </w:r>
            <w:r>
              <w:rPr>
                <w:rFonts w:hint="eastAsia"/>
                <w:color w:val="auto"/>
                <w:sz w:val="24"/>
                <w:szCs w:val="24"/>
                <w:highlight w:val="none"/>
              </w:rPr>
              <w:t>市生态环境准入清单》（2023年版）</w:t>
            </w:r>
            <w:r>
              <w:rPr>
                <w:rFonts w:hint="default" w:ascii="Times New Roman" w:hAnsi="Times New Roman" w:eastAsia="宋体" w:cs="Times New Roman"/>
                <w:color w:val="auto"/>
                <w:sz w:val="24"/>
                <w:szCs w:val="24"/>
                <w:highlight w:val="none"/>
                <w:lang w:val="en-US" w:eastAsia="zh-CN"/>
              </w:rPr>
              <w:t>中环境管控单元生态环境准入清单管控要求</w:t>
            </w:r>
            <w:r>
              <w:rPr>
                <w:rFonts w:hint="eastAsia" w:cs="Times New Roman"/>
                <w:color w:val="auto"/>
                <w:sz w:val="24"/>
                <w:szCs w:val="24"/>
                <w:highlight w:val="none"/>
                <w:lang w:val="en-US" w:eastAsia="zh-CN"/>
              </w:rPr>
              <w:t>和黑龙江省生态环境分区管控数据应用平台导出的《生态环境分区管控分析报告》</w:t>
            </w:r>
            <w:r>
              <w:rPr>
                <w:rFonts w:hint="default" w:ascii="Times New Roman" w:hAnsi="Times New Roman" w:cs="Times New Roman"/>
                <w:color w:val="auto"/>
                <w:sz w:val="24"/>
                <w:szCs w:val="24"/>
                <w:highlight w:val="none"/>
                <w:lang w:val="en-US" w:eastAsia="zh-CN"/>
              </w:rPr>
              <w:t>相关要求</w:t>
            </w:r>
            <w:r>
              <w:rPr>
                <w:rFonts w:hint="eastAsia" w:cs="Times New Roman"/>
                <w:color w:val="auto"/>
                <w:sz w:val="24"/>
                <w:szCs w:val="24"/>
                <w:highlight w:val="none"/>
                <w:lang w:val="en-US" w:eastAsia="zh-CN"/>
              </w:rPr>
              <w:t>。</w:t>
            </w:r>
          </w:p>
          <w:p w14:paraId="1C382DDB">
            <w:pPr>
              <w:autoSpaceDE w:val="0"/>
              <w:autoSpaceDN w:val="0"/>
              <w:spacing w:line="360" w:lineRule="auto"/>
              <w:ind w:firstLine="482" w:firstLineChars="200"/>
              <w:rPr>
                <w:color w:val="auto"/>
              </w:rPr>
            </w:pPr>
            <w:r>
              <w:rPr>
                <w:rFonts w:hint="eastAsia" w:ascii="宋体" w:hAnsi="宋体" w:cs="宋体"/>
                <w:b/>
                <w:bCs/>
                <w:color w:val="auto"/>
                <w:kern w:val="0"/>
                <w:sz w:val="24"/>
                <w:szCs w:val="24"/>
                <w:highlight w:val="none"/>
                <w:lang w:val="en-US" w:eastAsia="zh-CN"/>
              </w:rPr>
              <w:t>三</w:t>
            </w:r>
            <w:r>
              <w:rPr>
                <w:rFonts w:hint="eastAsia" w:ascii="宋体" w:hAnsi="宋体" w:cs="宋体"/>
                <w:b/>
                <w:bCs/>
                <w:color w:val="auto"/>
                <w:kern w:val="0"/>
                <w:sz w:val="24"/>
                <w:szCs w:val="24"/>
                <w:highlight w:val="none"/>
              </w:rPr>
              <w:t>、</w:t>
            </w:r>
            <w:r>
              <w:rPr>
                <w:b/>
                <w:bCs/>
                <w:color w:val="auto"/>
                <w:sz w:val="24"/>
              </w:rPr>
              <w:t>《</w:t>
            </w:r>
            <w:r>
              <w:rPr>
                <w:rFonts w:hint="eastAsia"/>
                <w:b/>
                <w:bCs/>
                <w:color w:val="auto"/>
                <w:kern w:val="0"/>
                <w:sz w:val="24"/>
              </w:rPr>
              <w:t>黑龙江省大气污染防治条例》符合性分析</w:t>
            </w:r>
          </w:p>
          <w:p w14:paraId="3243E262">
            <w:pPr>
              <w:autoSpaceDE w:val="0"/>
              <w:autoSpaceDN w:val="0"/>
              <w:snapToGrid w:val="0"/>
              <w:jc w:val="center"/>
              <w:rPr>
                <w:color w:val="auto"/>
                <w:szCs w:val="21"/>
              </w:rPr>
            </w:pPr>
            <w:r>
              <w:rPr>
                <w:rFonts w:hint="eastAsia"/>
                <w:b/>
                <w:bCs/>
                <w:color w:val="auto"/>
                <w:kern w:val="0"/>
                <w:szCs w:val="21"/>
              </w:rPr>
              <w:t>表1-4  项目与防治条例符合性分析一览表</w:t>
            </w:r>
          </w:p>
          <w:tbl>
            <w:tblPr>
              <w:tblStyle w:val="21"/>
              <w:tblW w:w="5000" w:type="pct"/>
              <w:tblInd w:w="5"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44"/>
              <w:gridCol w:w="3513"/>
              <w:gridCol w:w="2477"/>
              <w:gridCol w:w="953"/>
            </w:tblGrid>
            <w:tr w14:paraId="45CEB1C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1" w:type="dxa"/>
                  <w:tcBorders>
                    <w:tl2br w:val="nil"/>
                    <w:tr2bl w:val="nil"/>
                  </w:tcBorders>
                  <w:vAlign w:val="center"/>
                </w:tcPr>
                <w:p w14:paraId="71508970">
                  <w:pPr>
                    <w:jc w:val="center"/>
                    <w:rPr>
                      <w:b/>
                      <w:bCs/>
                      <w:color w:val="auto"/>
                      <w:szCs w:val="21"/>
                    </w:rPr>
                  </w:pPr>
                  <w:r>
                    <w:rPr>
                      <w:b/>
                      <w:bCs/>
                      <w:color w:val="auto"/>
                      <w:szCs w:val="21"/>
                    </w:rPr>
                    <w:t>序号</w:t>
                  </w:r>
                </w:p>
              </w:tc>
              <w:tc>
                <w:tcPr>
                  <w:tcW w:w="3404" w:type="dxa"/>
                  <w:tcBorders>
                    <w:tl2br w:val="nil"/>
                    <w:tr2bl w:val="nil"/>
                  </w:tcBorders>
                  <w:vAlign w:val="center"/>
                </w:tcPr>
                <w:p w14:paraId="39B58499">
                  <w:pPr>
                    <w:jc w:val="center"/>
                    <w:rPr>
                      <w:b/>
                      <w:bCs/>
                      <w:color w:val="auto"/>
                      <w:szCs w:val="21"/>
                    </w:rPr>
                  </w:pPr>
                  <w:r>
                    <w:rPr>
                      <w:rFonts w:hint="eastAsia"/>
                      <w:b/>
                      <w:bCs/>
                      <w:color w:val="auto"/>
                      <w:szCs w:val="21"/>
                    </w:rPr>
                    <w:t>文件</w:t>
                  </w:r>
                  <w:r>
                    <w:rPr>
                      <w:b/>
                      <w:bCs/>
                      <w:color w:val="auto"/>
                      <w:szCs w:val="21"/>
                    </w:rPr>
                    <w:t>要求</w:t>
                  </w:r>
                </w:p>
              </w:tc>
              <w:tc>
                <w:tcPr>
                  <w:tcW w:w="2400" w:type="dxa"/>
                  <w:tcBorders>
                    <w:tl2br w:val="nil"/>
                    <w:tr2bl w:val="nil"/>
                  </w:tcBorders>
                  <w:vAlign w:val="center"/>
                </w:tcPr>
                <w:p w14:paraId="03ACC59E">
                  <w:pPr>
                    <w:jc w:val="center"/>
                    <w:rPr>
                      <w:b/>
                      <w:bCs/>
                      <w:color w:val="auto"/>
                      <w:szCs w:val="21"/>
                    </w:rPr>
                  </w:pPr>
                  <w:r>
                    <w:rPr>
                      <w:b/>
                      <w:bCs/>
                      <w:color w:val="auto"/>
                      <w:szCs w:val="21"/>
                    </w:rPr>
                    <w:t>项目情况</w:t>
                  </w:r>
                </w:p>
              </w:tc>
              <w:tc>
                <w:tcPr>
                  <w:tcW w:w="923" w:type="dxa"/>
                  <w:tcBorders>
                    <w:tl2br w:val="nil"/>
                    <w:tr2bl w:val="nil"/>
                  </w:tcBorders>
                  <w:vAlign w:val="center"/>
                </w:tcPr>
                <w:p w14:paraId="1625DE52">
                  <w:pPr>
                    <w:jc w:val="center"/>
                    <w:rPr>
                      <w:b/>
                      <w:bCs/>
                      <w:color w:val="auto"/>
                      <w:szCs w:val="21"/>
                    </w:rPr>
                  </w:pPr>
                  <w:r>
                    <w:rPr>
                      <w:b/>
                      <w:bCs/>
                      <w:color w:val="auto"/>
                      <w:szCs w:val="21"/>
                    </w:rPr>
                    <w:t>相符性</w:t>
                  </w:r>
                </w:p>
              </w:tc>
            </w:tr>
            <w:tr w14:paraId="5745BEC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721" w:type="dxa"/>
                  <w:tcBorders>
                    <w:tl2br w:val="nil"/>
                    <w:tr2bl w:val="nil"/>
                  </w:tcBorders>
                  <w:vAlign w:val="center"/>
                </w:tcPr>
                <w:p w14:paraId="2587E04A">
                  <w:pPr>
                    <w:jc w:val="center"/>
                    <w:rPr>
                      <w:color w:val="auto"/>
                      <w:szCs w:val="21"/>
                    </w:rPr>
                  </w:pPr>
                  <w:r>
                    <w:rPr>
                      <w:color w:val="auto"/>
                      <w:szCs w:val="21"/>
                    </w:rPr>
                    <w:t>1</w:t>
                  </w:r>
                </w:p>
              </w:tc>
              <w:tc>
                <w:tcPr>
                  <w:tcW w:w="3404" w:type="dxa"/>
                  <w:tcBorders>
                    <w:tl2br w:val="nil"/>
                    <w:tr2bl w:val="nil"/>
                  </w:tcBorders>
                  <w:vAlign w:val="center"/>
                </w:tcPr>
                <w:p w14:paraId="68B4300D">
                  <w:pPr>
                    <w:adjustRightInd w:val="0"/>
                    <w:snapToGrid w:val="0"/>
                    <w:ind w:firstLine="420" w:firstLineChars="200"/>
                    <w:rPr>
                      <w:color w:val="auto"/>
                      <w:szCs w:val="21"/>
                    </w:rPr>
                  </w:pPr>
                  <w:r>
                    <w:rPr>
                      <w:rFonts w:hint="eastAsia"/>
                      <w:color w:val="auto"/>
                      <w:szCs w:val="21"/>
                    </w:rPr>
                    <w:t>企业事业单位和其他生产经营者建设对大气环境有影响的项目，应当依法进行生态环境影响评价；向大气排放污染物的，应当符合大气污染物排放标准，遵守重点大气污染物排放总量控制要求。</w:t>
                  </w:r>
                </w:p>
              </w:tc>
              <w:tc>
                <w:tcPr>
                  <w:tcW w:w="2400" w:type="dxa"/>
                  <w:tcBorders>
                    <w:tl2br w:val="nil"/>
                    <w:tr2bl w:val="nil"/>
                  </w:tcBorders>
                  <w:vAlign w:val="center"/>
                </w:tcPr>
                <w:p w14:paraId="1972A0C7">
                  <w:pPr>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eastAsia"/>
                      <w:color w:val="auto"/>
                      <w:szCs w:val="21"/>
                      <w:lang w:val="en-US" w:eastAsia="zh-CN"/>
                    </w:rPr>
                  </w:pPr>
                  <w:r>
                    <w:rPr>
                      <w:rFonts w:hint="eastAsia"/>
                      <w:color w:val="auto"/>
                      <w:szCs w:val="21"/>
                      <w:lang w:val="en-US" w:eastAsia="zh-CN"/>
                    </w:rPr>
                    <w:t>项目依法并依据流程开展环境影响评价工作，施工、运营期间均采取相应环保措施确保大气污染物排放达标。</w:t>
                  </w:r>
                </w:p>
                <w:p w14:paraId="07C9E7A0">
                  <w:pPr>
                    <w:pStyle w:val="16"/>
                    <w:keepNext w:val="0"/>
                    <w:keepLines w:val="0"/>
                    <w:pageBreakBefore w:val="0"/>
                    <w:widowControl w:val="0"/>
                    <w:kinsoku/>
                    <w:wordWrap/>
                    <w:overflowPunct/>
                    <w:topLinePunct w:val="0"/>
                    <w:autoSpaceDE/>
                    <w:autoSpaceDN/>
                    <w:bidi w:val="0"/>
                    <w:ind w:left="0" w:leftChars="0" w:firstLine="420" w:firstLineChars="200"/>
                    <w:textAlignment w:val="auto"/>
                    <w:rPr>
                      <w:color w:val="auto"/>
                      <w:szCs w:val="21"/>
                    </w:rPr>
                  </w:pPr>
                  <w:r>
                    <w:rPr>
                      <w:rFonts w:hint="eastAsia"/>
                      <w:color w:val="auto"/>
                      <w:lang w:val="en-US" w:eastAsia="zh-CN"/>
                    </w:rPr>
                    <w:t>项目严格遵守“三同时”要求，建设单位在落实本次评价提出的环保措施及相关要求后，可符合相关排放要求，对环境影响可接受。</w:t>
                  </w:r>
                </w:p>
              </w:tc>
              <w:tc>
                <w:tcPr>
                  <w:tcW w:w="923" w:type="dxa"/>
                  <w:tcBorders>
                    <w:tl2br w:val="nil"/>
                    <w:tr2bl w:val="nil"/>
                  </w:tcBorders>
                  <w:vAlign w:val="center"/>
                </w:tcPr>
                <w:p w14:paraId="321B2ACD">
                  <w:pPr>
                    <w:jc w:val="center"/>
                    <w:rPr>
                      <w:color w:val="auto"/>
                      <w:szCs w:val="21"/>
                    </w:rPr>
                  </w:pPr>
                  <w:r>
                    <w:rPr>
                      <w:color w:val="auto"/>
                      <w:szCs w:val="21"/>
                    </w:rPr>
                    <w:t>符合</w:t>
                  </w:r>
                </w:p>
              </w:tc>
            </w:tr>
            <w:tr w14:paraId="64A740E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1" w:type="dxa"/>
                  <w:tcBorders>
                    <w:tl2br w:val="nil"/>
                    <w:tr2bl w:val="nil"/>
                  </w:tcBorders>
                  <w:vAlign w:val="center"/>
                </w:tcPr>
                <w:p w14:paraId="29B5D7DA">
                  <w:pPr>
                    <w:jc w:val="center"/>
                    <w:rPr>
                      <w:color w:val="auto"/>
                      <w:szCs w:val="21"/>
                    </w:rPr>
                  </w:pPr>
                  <w:r>
                    <w:rPr>
                      <w:color w:val="auto"/>
                      <w:szCs w:val="21"/>
                    </w:rPr>
                    <w:t>2</w:t>
                  </w:r>
                </w:p>
              </w:tc>
              <w:tc>
                <w:tcPr>
                  <w:tcW w:w="3404" w:type="dxa"/>
                  <w:tcBorders>
                    <w:tl2br w:val="nil"/>
                    <w:tr2bl w:val="nil"/>
                  </w:tcBorders>
                  <w:vAlign w:val="center"/>
                </w:tcPr>
                <w:p w14:paraId="30B228FB">
                  <w:pPr>
                    <w:adjustRightInd w:val="0"/>
                    <w:snapToGrid w:val="0"/>
                    <w:ind w:firstLine="420" w:firstLineChars="200"/>
                    <w:rPr>
                      <w:rFonts w:hint="eastAsia"/>
                      <w:color w:val="auto"/>
                      <w:szCs w:val="21"/>
                    </w:rPr>
                  </w:pPr>
                  <w:r>
                    <w:rPr>
                      <w:rFonts w:hint="eastAsia"/>
                      <w:color w:val="auto"/>
                      <w:szCs w:val="21"/>
                    </w:rPr>
                    <w:t>向大气排放污染物的企业事业单位和其他生产经营者，应当配套建设大气污染防治设施。</w:t>
                  </w:r>
                </w:p>
                <w:p w14:paraId="23A71ACF">
                  <w:pPr>
                    <w:adjustRightInd w:val="0"/>
                    <w:snapToGrid w:val="0"/>
                    <w:ind w:firstLine="420" w:firstLineChars="200"/>
                    <w:rPr>
                      <w:rFonts w:hint="eastAsia"/>
                      <w:color w:val="auto"/>
                      <w:szCs w:val="21"/>
                      <w:lang w:eastAsia="zh-CN"/>
                    </w:rPr>
                  </w:pPr>
                  <w:r>
                    <w:rPr>
                      <w:rFonts w:hint="eastAsia"/>
                      <w:color w:val="auto"/>
                      <w:szCs w:val="21"/>
                    </w:rPr>
                    <w:t>配套建设的大气污染防治设施，应当与主体工程同时设计、同时施工、同时投产使用，污染防治设施应当符合经批准的生态环境影响报告书、生态环境影响报告表的要求，不得擅自拆除或者闲置</w:t>
                  </w:r>
                  <w:r>
                    <w:rPr>
                      <w:rFonts w:hint="eastAsia"/>
                      <w:color w:val="auto"/>
                      <w:szCs w:val="21"/>
                      <w:lang w:eastAsia="zh-CN"/>
                    </w:rPr>
                    <w:t>。</w:t>
                  </w:r>
                </w:p>
                <w:p w14:paraId="08EF81C9">
                  <w:pPr>
                    <w:adjustRightInd w:val="0"/>
                    <w:snapToGrid w:val="0"/>
                    <w:ind w:firstLine="420" w:firstLineChars="200"/>
                    <w:rPr>
                      <w:color w:val="auto"/>
                    </w:rPr>
                  </w:pPr>
                  <w:r>
                    <w:rPr>
                      <w:rFonts w:hint="eastAsia"/>
                      <w:color w:val="auto"/>
                      <w:szCs w:val="21"/>
                    </w:rPr>
                    <w:t>建设项目在投入生产或者使用前，建设单位应当按照国家规定，对配套建设的污染防治设施进行验收。</w:t>
                  </w:r>
                </w:p>
              </w:tc>
              <w:tc>
                <w:tcPr>
                  <w:tcW w:w="2400" w:type="dxa"/>
                  <w:tcBorders>
                    <w:tl2br w:val="nil"/>
                    <w:tr2bl w:val="nil"/>
                  </w:tcBorders>
                  <w:vAlign w:val="center"/>
                </w:tcPr>
                <w:p w14:paraId="04F666EF">
                  <w:pPr>
                    <w:adjustRightInd w:val="0"/>
                    <w:snapToGrid w:val="0"/>
                    <w:ind w:firstLine="420" w:firstLineChars="200"/>
                    <w:rPr>
                      <w:rFonts w:hint="eastAsia"/>
                      <w:color w:val="auto"/>
                      <w:szCs w:val="21"/>
                    </w:rPr>
                  </w:pPr>
                  <w:r>
                    <w:rPr>
                      <w:rFonts w:hint="eastAsia"/>
                      <w:color w:val="auto"/>
                      <w:szCs w:val="21"/>
                    </w:rPr>
                    <w:t>项目配套建设大气污染防治措施</w:t>
                  </w:r>
                  <w:r>
                    <w:rPr>
                      <w:rFonts w:hint="eastAsia"/>
                      <w:color w:val="auto"/>
                      <w:szCs w:val="21"/>
                      <w:lang w:eastAsia="zh-CN"/>
                    </w:rPr>
                    <w:t>，</w:t>
                  </w:r>
                  <w:r>
                    <w:rPr>
                      <w:rFonts w:hint="eastAsia"/>
                      <w:color w:val="auto"/>
                      <w:szCs w:val="21"/>
                    </w:rPr>
                    <w:t>且</w:t>
                  </w:r>
                  <w:r>
                    <w:rPr>
                      <w:color w:val="auto"/>
                      <w:szCs w:val="21"/>
                    </w:rPr>
                    <w:t>不擅自拆除</w:t>
                  </w:r>
                  <w:r>
                    <w:rPr>
                      <w:rFonts w:hint="eastAsia"/>
                      <w:color w:val="auto"/>
                      <w:szCs w:val="21"/>
                    </w:rPr>
                    <w:t>、</w:t>
                  </w:r>
                  <w:r>
                    <w:rPr>
                      <w:color w:val="auto"/>
                      <w:szCs w:val="21"/>
                    </w:rPr>
                    <w:t>闲置</w:t>
                  </w:r>
                  <w:r>
                    <w:rPr>
                      <w:rFonts w:hint="eastAsia"/>
                      <w:color w:val="auto"/>
                      <w:szCs w:val="21"/>
                    </w:rPr>
                    <w:t>。</w:t>
                  </w:r>
                </w:p>
                <w:p w14:paraId="4241B8AA">
                  <w:pPr>
                    <w:adjustRightInd w:val="0"/>
                    <w:snapToGrid w:val="0"/>
                    <w:ind w:firstLine="420" w:firstLineChars="200"/>
                    <w:rPr>
                      <w:rFonts w:hint="eastAsia"/>
                      <w:color w:val="auto"/>
                      <w:lang w:val="en-US" w:eastAsia="zh-CN"/>
                    </w:rPr>
                  </w:pPr>
                  <w:r>
                    <w:rPr>
                      <w:rFonts w:hint="eastAsia"/>
                      <w:color w:val="auto"/>
                      <w:lang w:val="en-US" w:eastAsia="zh-CN"/>
                    </w:rPr>
                    <w:t>严格遵守“三同时”要求，建设单位在落实本次评价提出的环保措施及相关要求后，可符合相关排放要求，对环境影响可接受。</w:t>
                  </w:r>
                </w:p>
                <w:p w14:paraId="732E9623">
                  <w:pPr>
                    <w:adjustRightInd w:val="0"/>
                    <w:snapToGrid w:val="0"/>
                    <w:ind w:firstLine="420" w:firstLineChars="200"/>
                    <w:rPr>
                      <w:rFonts w:hint="default" w:eastAsia="宋体"/>
                      <w:color w:val="auto"/>
                      <w:lang w:val="en-US" w:eastAsia="zh-CN"/>
                    </w:rPr>
                  </w:pPr>
                  <w:r>
                    <w:rPr>
                      <w:rFonts w:hint="eastAsia"/>
                      <w:color w:val="auto"/>
                      <w:lang w:val="en-US" w:eastAsia="zh-CN"/>
                    </w:rPr>
                    <w:t>项目投产及使用前严格按照国家规定对污染防治措施进行验收。</w:t>
                  </w:r>
                </w:p>
              </w:tc>
              <w:tc>
                <w:tcPr>
                  <w:tcW w:w="923" w:type="dxa"/>
                  <w:tcBorders>
                    <w:tl2br w:val="nil"/>
                    <w:tr2bl w:val="nil"/>
                  </w:tcBorders>
                  <w:vAlign w:val="center"/>
                </w:tcPr>
                <w:p w14:paraId="3C71611C">
                  <w:pPr>
                    <w:jc w:val="center"/>
                    <w:rPr>
                      <w:color w:val="auto"/>
                      <w:szCs w:val="21"/>
                    </w:rPr>
                  </w:pPr>
                  <w:r>
                    <w:rPr>
                      <w:color w:val="auto"/>
                      <w:szCs w:val="21"/>
                    </w:rPr>
                    <w:t>符合</w:t>
                  </w:r>
                </w:p>
              </w:tc>
            </w:tr>
            <w:tr w14:paraId="2C04F0C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1" w:type="dxa"/>
                  <w:tcBorders>
                    <w:tl2br w:val="nil"/>
                    <w:tr2bl w:val="nil"/>
                  </w:tcBorders>
                  <w:vAlign w:val="center"/>
                </w:tcPr>
                <w:p w14:paraId="7F7257BA">
                  <w:pPr>
                    <w:jc w:val="center"/>
                    <w:rPr>
                      <w:color w:val="auto"/>
                      <w:szCs w:val="21"/>
                    </w:rPr>
                  </w:pPr>
                  <w:r>
                    <w:rPr>
                      <w:color w:val="auto"/>
                      <w:szCs w:val="21"/>
                    </w:rPr>
                    <w:t>3</w:t>
                  </w:r>
                </w:p>
              </w:tc>
              <w:tc>
                <w:tcPr>
                  <w:tcW w:w="3404" w:type="dxa"/>
                  <w:tcBorders>
                    <w:tl2br w:val="nil"/>
                    <w:tr2bl w:val="nil"/>
                  </w:tcBorders>
                  <w:vAlign w:val="center"/>
                </w:tcPr>
                <w:p w14:paraId="609C6B09">
                  <w:pPr>
                    <w:adjustRightInd w:val="0"/>
                    <w:snapToGrid w:val="0"/>
                    <w:ind w:firstLine="420" w:firstLineChars="200"/>
                    <w:rPr>
                      <w:color w:val="auto"/>
                      <w:szCs w:val="21"/>
                    </w:rPr>
                  </w:pPr>
                  <w:r>
                    <w:rPr>
                      <w:rFonts w:hint="eastAsia"/>
                      <w:color w:val="auto"/>
                      <w:szCs w:val="21"/>
                    </w:rPr>
                    <w:t>实行排污许可管理的企业事业单位和其他生产经营者，应当按照规定取得排污许可证，未取得排污许可证的，不得排放大气污染物。</w:t>
                  </w:r>
                </w:p>
              </w:tc>
              <w:tc>
                <w:tcPr>
                  <w:tcW w:w="2400" w:type="dxa"/>
                  <w:tcBorders>
                    <w:tl2br w:val="nil"/>
                    <w:tr2bl w:val="nil"/>
                  </w:tcBorders>
                  <w:vAlign w:val="center"/>
                </w:tcPr>
                <w:p w14:paraId="6BC32AD5">
                  <w:pPr>
                    <w:adjustRightInd w:val="0"/>
                    <w:snapToGrid w:val="0"/>
                    <w:ind w:firstLine="420" w:firstLineChars="200"/>
                    <w:rPr>
                      <w:rFonts w:hint="default" w:eastAsia="宋体"/>
                      <w:color w:val="auto"/>
                      <w:szCs w:val="21"/>
                      <w:lang w:val="en-US" w:eastAsia="zh-CN"/>
                    </w:rPr>
                  </w:pPr>
                  <w:r>
                    <w:rPr>
                      <w:rFonts w:hint="eastAsia"/>
                      <w:color w:val="auto"/>
                      <w:szCs w:val="21"/>
                      <w:lang w:val="en-US" w:eastAsia="zh-CN"/>
                    </w:rPr>
                    <w:t>项目实行排污许可登记管理，</w:t>
                  </w:r>
                  <w:r>
                    <w:rPr>
                      <w:rFonts w:hint="eastAsia" w:cs="Times New Roman"/>
                      <w:color w:val="auto"/>
                      <w:sz w:val="21"/>
                      <w:szCs w:val="21"/>
                      <w:highlight w:val="none"/>
                      <w:lang w:val="en-US" w:eastAsia="zh-CN"/>
                    </w:rPr>
                    <w:t>取得固定污染源排污登记回执</w:t>
                  </w:r>
                  <w:r>
                    <w:rPr>
                      <w:rFonts w:hint="eastAsia"/>
                      <w:color w:val="auto"/>
                      <w:szCs w:val="21"/>
                      <w:lang w:val="en-US" w:eastAsia="zh-CN"/>
                    </w:rPr>
                    <w:t>后合法合规排放</w:t>
                  </w:r>
                  <w:r>
                    <w:rPr>
                      <w:rFonts w:hint="eastAsia"/>
                      <w:color w:val="auto"/>
                      <w:szCs w:val="21"/>
                    </w:rPr>
                    <w:t>大气污染物。</w:t>
                  </w:r>
                </w:p>
              </w:tc>
              <w:tc>
                <w:tcPr>
                  <w:tcW w:w="923" w:type="dxa"/>
                  <w:tcBorders>
                    <w:tl2br w:val="nil"/>
                    <w:tr2bl w:val="nil"/>
                  </w:tcBorders>
                  <w:vAlign w:val="center"/>
                </w:tcPr>
                <w:p w14:paraId="394F232B">
                  <w:pPr>
                    <w:jc w:val="center"/>
                    <w:rPr>
                      <w:color w:val="auto"/>
                      <w:szCs w:val="21"/>
                    </w:rPr>
                  </w:pPr>
                  <w:r>
                    <w:rPr>
                      <w:color w:val="auto"/>
                      <w:szCs w:val="21"/>
                    </w:rPr>
                    <w:t>符合</w:t>
                  </w:r>
                </w:p>
              </w:tc>
            </w:tr>
            <w:tr w14:paraId="59C0307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1" w:type="dxa"/>
                  <w:tcBorders>
                    <w:tl2br w:val="nil"/>
                    <w:tr2bl w:val="nil"/>
                  </w:tcBorders>
                  <w:vAlign w:val="center"/>
                </w:tcPr>
                <w:p w14:paraId="316FED45">
                  <w:pPr>
                    <w:jc w:val="center"/>
                    <w:rPr>
                      <w:rFonts w:hint="default"/>
                      <w:color w:val="auto"/>
                      <w:szCs w:val="21"/>
                      <w:lang w:val="en-US" w:eastAsia="zh-CN"/>
                    </w:rPr>
                  </w:pPr>
                  <w:r>
                    <w:rPr>
                      <w:rFonts w:hint="eastAsia"/>
                      <w:color w:val="auto"/>
                      <w:szCs w:val="21"/>
                      <w:lang w:val="en-US" w:eastAsia="zh-CN"/>
                    </w:rPr>
                    <w:t>4</w:t>
                  </w:r>
                </w:p>
              </w:tc>
              <w:tc>
                <w:tcPr>
                  <w:tcW w:w="3404" w:type="dxa"/>
                  <w:tcBorders>
                    <w:tl2br w:val="nil"/>
                    <w:tr2bl w:val="nil"/>
                  </w:tcBorders>
                  <w:vAlign w:val="center"/>
                </w:tcPr>
                <w:p w14:paraId="0DCC965B">
                  <w:pPr>
                    <w:adjustRightInd w:val="0"/>
                    <w:snapToGrid w:val="0"/>
                    <w:ind w:firstLine="420" w:firstLineChars="200"/>
                    <w:rPr>
                      <w:rFonts w:hint="eastAsia"/>
                      <w:color w:val="auto"/>
                      <w:szCs w:val="21"/>
                      <w:lang w:val="en-US" w:eastAsia="zh-CN"/>
                    </w:rPr>
                  </w:pPr>
                  <w:r>
                    <w:rPr>
                      <w:rFonts w:hint="eastAsia"/>
                      <w:color w:val="auto"/>
                      <w:szCs w:val="21"/>
                      <w:lang w:val="en-US" w:eastAsia="zh-CN"/>
                    </w:rPr>
                    <w:t>燃煤电厂、燃煤供热锅炉以及其他燃煤单位，应当采用清洁生产工艺，配套建设除尘、脱硫、脱硝等装置或者采用技术改造等措施，减少大气污染物的产生和排放，排放的大气污染物应当达到规定标准。</w:t>
                  </w:r>
                </w:p>
              </w:tc>
              <w:tc>
                <w:tcPr>
                  <w:tcW w:w="2400" w:type="dxa"/>
                  <w:tcBorders>
                    <w:tl2br w:val="nil"/>
                    <w:tr2bl w:val="nil"/>
                  </w:tcBorders>
                  <w:vAlign w:val="center"/>
                </w:tcPr>
                <w:p w14:paraId="3D4CA521">
                  <w:pPr>
                    <w:adjustRightInd w:val="0"/>
                    <w:snapToGrid w:val="0"/>
                    <w:ind w:firstLine="420" w:firstLineChars="200"/>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项目不涉及燃煤锅炉和煤燃料，项目设置两台5.6MW生物质承压热水锅炉，使用生物质燃料，一用一备，采用“旋风多管陶瓷除尘器+布袋除尘器”环保措施，有效减少大气污染物排放，确保大气污染物达标排放。</w:t>
                  </w:r>
                </w:p>
              </w:tc>
              <w:tc>
                <w:tcPr>
                  <w:tcW w:w="923" w:type="dxa"/>
                  <w:tcBorders>
                    <w:tl2br w:val="nil"/>
                    <w:tr2bl w:val="nil"/>
                  </w:tcBorders>
                  <w:vAlign w:val="center"/>
                </w:tcPr>
                <w:p w14:paraId="58E9F626">
                  <w:pPr>
                    <w:jc w:val="center"/>
                    <w:rPr>
                      <w:color w:val="auto"/>
                      <w:szCs w:val="21"/>
                    </w:rPr>
                  </w:pPr>
                  <w:r>
                    <w:rPr>
                      <w:color w:val="auto"/>
                      <w:szCs w:val="21"/>
                    </w:rPr>
                    <w:t>符合</w:t>
                  </w:r>
                </w:p>
              </w:tc>
            </w:tr>
            <w:tr w14:paraId="7F0AB71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1" w:type="dxa"/>
                  <w:tcBorders>
                    <w:tl2br w:val="nil"/>
                    <w:tr2bl w:val="nil"/>
                  </w:tcBorders>
                  <w:vAlign w:val="center"/>
                </w:tcPr>
                <w:p w14:paraId="0FE9B97D">
                  <w:pPr>
                    <w:jc w:val="center"/>
                    <w:rPr>
                      <w:rFonts w:hint="eastAsia" w:eastAsia="宋体"/>
                      <w:color w:val="auto"/>
                      <w:szCs w:val="21"/>
                      <w:lang w:val="en-US" w:eastAsia="zh-CN"/>
                    </w:rPr>
                  </w:pPr>
                  <w:r>
                    <w:rPr>
                      <w:rFonts w:hint="eastAsia"/>
                      <w:color w:val="auto"/>
                      <w:szCs w:val="21"/>
                      <w:lang w:val="en-US" w:eastAsia="zh-CN"/>
                    </w:rPr>
                    <w:t>5</w:t>
                  </w:r>
                </w:p>
              </w:tc>
              <w:tc>
                <w:tcPr>
                  <w:tcW w:w="3404" w:type="dxa"/>
                  <w:tcBorders>
                    <w:tl2br w:val="nil"/>
                    <w:tr2bl w:val="nil"/>
                  </w:tcBorders>
                  <w:vAlign w:val="center"/>
                </w:tcPr>
                <w:p w14:paraId="1331498E">
                  <w:pPr>
                    <w:adjustRightInd w:val="0"/>
                    <w:snapToGrid w:val="0"/>
                    <w:ind w:firstLine="420" w:firstLineChars="200"/>
                    <w:rPr>
                      <w:rFonts w:hint="eastAsia"/>
                      <w:color w:val="auto"/>
                      <w:szCs w:val="21"/>
                    </w:rPr>
                  </w:pPr>
                  <w:r>
                    <w:rPr>
                      <w:rFonts w:hint="eastAsia"/>
                      <w:color w:val="auto"/>
                      <w:szCs w:val="21"/>
                      <w:lang w:val="en-US" w:eastAsia="zh-CN"/>
                    </w:rPr>
                    <w:t>禁止新建设计用煤不符合国家规定商品煤质量标准的锅炉；已经建成的，应当按照国家和省有关规定进行技术改造</w:t>
                  </w:r>
                  <w:r>
                    <w:rPr>
                      <w:rFonts w:hint="eastAsia"/>
                      <w:color w:val="auto"/>
                      <w:szCs w:val="21"/>
                    </w:rPr>
                    <w:t>。</w:t>
                  </w:r>
                </w:p>
              </w:tc>
              <w:tc>
                <w:tcPr>
                  <w:tcW w:w="2400" w:type="dxa"/>
                  <w:tcBorders>
                    <w:tl2br w:val="nil"/>
                    <w:tr2bl w:val="nil"/>
                  </w:tcBorders>
                  <w:vAlign w:val="center"/>
                </w:tcPr>
                <w:p w14:paraId="42371C81">
                  <w:pPr>
                    <w:adjustRightInd w:val="0"/>
                    <w:snapToGrid w:val="0"/>
                    <w:ind w:firstLine="420" w:firstLineChars="200"/>
                    <w:rPr>
                      <w:rFonts w:hint="default" w:eastAsia="宋体"/>
                      <w:color w:val="auto"/>
                      <w:szCs w:val="21"/>
                      <w:lang w:val="en-US" w:eastAsia="zh-CN"/>
                    </w:rPr>
                  </w:pPr>
                  <w:r>
                    <w:rPr>
                      <w:rFonts w:hint="eastAsia" w:cs="Times New Roman"/>
                      <w:color w:val="auto"/>
                      <w:sz w:val="21"/>
                      <w:szCs w:val="21"/>
                      <w:highlight w:val="none"/>
                      <w:lang w:val="en-US" w:eastAsia="zh-CN"/>
                    </w:rPr>
                    <w:t>项目设置两台5.6MW生物质承压热水锅炉，一用一备，使用生物质燃料，不涉及燃煤，符合相关要求。</w:t>
                  </w:r>
                </w:p>
              </w:tc>
              <w:tc>
                <w:tcPr>
                  <w:tcW w:w="923" w:type="dxa"/>
                  <w:tcBorders>
                    <w:tl2br w:val="nil"/>
                    <w:tr2bl w:val="nil"/>
                  </w:tcBorders>
                  <w:vAlign w:val="center"/>
                </w:tcPr>
                <w:p w14:paraId="49076090">
                  <w:pPr>
                    <w:jc w:val="center"/>
                    <w:rPr>
                      <w:rFonts w:hint="eastAsia" w:eastAsia="宋体"/>
                      <w:color w:val="auto"/>
                      <w:szCs w:val="21"/>
                      <w:lang w:val="en-US" w:eastAsia="zh-CN"/>
                    </w:rPr>
                  </w:pPr>
                  <w:r>
                    <w:rPr>
                      <w:color w:val="auto"/>
                      <w:szCs w:val="21"/>
                    </w:rPr>
                    <w:t>符合</w:t>
                  </w:r>
                </w:p>
              </w:tc>
            </w:tr>
          </w:tbl>
          <w:p w14:paraId="5495D90F">
            <w:pPr>
              <w:widowControl/>
              <w:spacing w:before="120" w:beforeLines="50" w:line="360" w:lineRule="auto"/>
              <w:ind w:firstLine="480" w:firstLineChars="200"/>
              <w:rPr>
                <w:color w:val="auto"/>
                <w:sz w:val="24"/>
              </w:rPr>
            </w:pPr>
            <w:r>
              <w:rPr>
                <w:rFonts w:hint="eastAsia"/>
                <w:color w:val="auto"/>
                <w:sz w:val="24"/>
              </w:rPr>
              <w:t>综上所述，项目</w:t>
            </w:r>
            <w:r>
              <w:rPr>
                <w:color w:val="auto"/>
                <w:sz w:val="24"/>
              </w:rPr>
              <w:t>与《</w:t>
            </w:r>
            <w:r>
              <w:rPr>
                <w:rFonts w:hint="eastAsia"/>
                <w:color w:val="auto"/>
                <w:sz w:val="24"/>
              </w:rPr>
              <w:t>黑龙江省大气污染防治条例</w:t>
            </w:r>
            <w:r>
              <w:rPr>
                <w:color w:val="auto"/>
                <w:kern w:val="0"/>
                <w:sz w:val="24"/>
              </w:rPr>
              <w:t>》</w:t>
            </w:r>
            <w:r>
              <w:rPr>
                <w:color w:val="auto"/>
                <w:sz w:val="24"/>
              </w:rPr>
              <w:t>相符。</w:t>
            </w:r>
          </w:p>
          <w:p w14:paraId="35E915A0">
            <w:pPr>
              <w:autoSpaceDE w:val="0"/>
              <w:autoSpaceDN w:val="0"/>
              <w:spacing w:line="360" w:lineRule="auto"/>
              <w:ind w:firstLine="482" w:firstLineChars="200"/>
              <w:rPr>
                <w:rFonts w:hint="default" w:ascii="Times New Roman" w:hAnsi="Times New Roman" w:eastAsia="宋体" w:cs="Times New Roman"/>
                <w:b/>
                <w:bCs/>
                <w:color w:val="auto"/>
                <w:kern w:val="0"/>
                <w:sz w:val="24"/>
                <w:lang w:val="en-US" w:eastAsia="zh-CN"/>
              </w:rPr>
            </w:pPr>
            <w:r>
              <w:rPr>
                <w:rFonts w:hint="eastAsia" w:ascii="Times New Roman" w:hAnsi="Times New Roman" w:eastAsia="宋体" w:cs="Times New Roman"/>
                <w:b/>
                <w:bCs/>
                <w:color w:val="auto"/>
                <w:kern w:val="0"/>
                <w:sz w:val="24"/>
                <w:lang w:val="en-US" w:eastAsia="zh-CN"/>
              </w:rPr>
              <w:t>四、《双鸭山市空气质量持续改善行动计划实施方案》符合性分析</w:t>
            </w:r>
          </w:p>
          <w:p w14:paraId="60659B2F">
            <w:pPr>
              <w:keepNext w:val="0"/>
              <w:keepLines w:val="0"/>
              <w:pageBreakBefore w:val="0"/>
              <w:kinsoku/>
              <w:wordWrap/>
              <w:overflowPunct/>
              <w:topLinePunct w:val="0"/>
              <w:autoSpaceDE w:val="0"/>
              <w:autoSpaceDN w:val="0"/>
              <w:bidi w:val="0"/>
              <w:adjustRightInd/>
              <w:snapToGrid/>
              <w:spacing w:line="360" w:lineRule="auto"/>
              <w:ind w:firstLine="420" w:firstLineChars="200"/>
              <w:jc w:val="both"/>
              <w:textAlignment w:val="auto"/>
              <w:rPr>
                <w:rFonts w:hint="eastAsia"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color w:val="auto"/>
                <w:kern w:val="0"/>
                <w:sz w:val="24"/>
                <w:szCs w:val="24"/>
                <w:lang w:val="en-US" w:eastAsia="zh-CN" w:bidi="ar"/>
              </w:rPr>
              <w:t>双鸭山市空气质量持续改善行动计划实施方案》要求：新改扩建“两高一低”项目要严格落实产业规划、产业政策、生态环境分区管控方案、规划环评、项目环评、节能审查、产能置换、重点污染物总量控制、污染物排放区域削减、碳排放达峰目标等相关要求，原则上采用清洁运输方式。涉及产能置换的项目，被置换产能及其配套设施同步关停后，新建项目方可投产。坚决遏制“两高一低”项目盲目上马。新上高耗能项目要对照《重点用能产品设备能效先进水平、节能水平和准入水平（2024年版）》等要求，能效须达到国内或国际先进水平及能效标杆值，新上高耗能项目节能审查要与本地能耗双控目标相衔接，同时，须实行能耗等量或减量替代。贯彻落实《产业结构调整指导目录》，加大退出淘汰落后产能、工艺、装备，提高限制类产能、工艺、装备淘汰改造引导力度。实施供暖行业合理调配有效整合工作，充分考虑建成区内35蒸吨燃煤锅炉淘汰、热电企业关停等情况，谋划热源替代工程。到2025年，化石能源消费比重持续下降，增加电能、天然气等清洁能源占工业、农业、生活等领域终端能源消费比重。推进风电、光伏发电项目建设，实现能源供应多元化。推动城市燃气管网建设与规划的中俄远东天然气管道工程项目同步建设，推动对新建小区的配套和老城区天然气管网建设改造，扩大城市配气管网覆盖范围，提高城镇居民用气水平。有序推进以电代煤。</w:t>
            </w:r>
          </w:p>
          <w:p w14:paraId="61C58190">
            <w:pPr>
              <w:keepNext w:val="0"/>
              <w:keepLines w:val="0"/>
              <w:pageBreakBefore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项目设置两台5.6MW生物质承压热水锅炉，一用一备，采用“旋风多管陶瓷除尘器+布袋除尘器”环保措施，锅炉使用生物质燃料，不属于高污染燃料，不属于“两高一低”项目。</w:t>
            </w:r>
            <w:r>
              <w:rPr>
                <w:rFonts w:hint="eastAsia" w:ascii="Times New Roman" w:hAnsi="Times New Roman" w:eastAsia="宋体" w:cs="Times New Roman"/>
                <w:color w:val="auto"/>
                <w:sz w:val="24"/>
                <w:szCs w:val="24"/>
                <w:highlight w:val="none"/>
                <w:lang w:val="en-US" w:eastAsia="zh-CN"/>
              </w:rPr>
              <w:t>根据《产业结构调整指导目录（2024年本）》属于允许类项目，</w:t>
            </w:r>
            <w:r>
              <w:rPr>
                <w:rFonts w:hint="eastAsia"/>
                <w:color w:val="auto"/>
                <w:sz w:val="24"/>
              </w:rPr>
              <w:t>综上所述</w:t>
            </w:r>
            <w:r>
              <w:rPr>
                <w:rFonts w:hint="eastAsia" w:ascii="Times New Roman" w:hAnsi="Times New Roman" w:eastAsia="宋体" w:cs="Times New Roman"/>
                <w:color w:val="auto"/>
                <w:kern w:val="0"/>
                <w:sz w:val="24"/>
                <w:szCs w:val="24"/>
                <w:lang w:val="en-US" w:eastAsia="zh-CN" w:bidi="ar"/>
              </w:rPr>
              <w:t>，项目与《双鸭山市空气质量持续改善行动计划实施方案》相符。</w:t>
            </w:r>
          </w:p>
          <w:p w14:paraId="31A5A7D0">
            <w:pPr>
              <w:keepNext w:val="0"/>
              <w:keepLines w:val="0"/>
              <w:pageBreakBefore w:val="0"/>
              <w:kinsoku/>
              <w:wordWrap/>
              <w:overflowPunct/>
              <w:topLinePunct w:val="0"/>
              <w:autoSpaceDE w:val="0"/>
              <w:autoSpaceDN w:val="0"/>
              <w:bidi w:val="0"/>
              <w:adjustRightInd/>
              <w:snapToGrid/>
              <w:spacing w:line="360" w:lineRule="auto"/>
              <w:ind w:firstLine="482" w:firstLineChars="200"/>
              <w:textAlignment w:val="auto"/>
              <w:rPr>
                <w:rFonts w:ascii="宋体" w:hAnsi="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五</w:t>
            </w:r>
            <w:r>
              <w:rPr>
                <w:rFonts w:hint="eastAsia" w:ascii="宋体" w:hAnsi="宋体" w:cs="宋体"/>
                <w:b/>
                <w:bCs/>
                <w:color w:val="auto"/>
                <w:kern w:val="0"/>
                <w:sz w:val="24"/>
                <w:szCs w:val="24"/>
                <w:highlight w:val="none"/>
              </w:rPr>
              <w:t>、选址合理性分析</w:t>
            </w:r>
          </w:p>
          <w:p w14:paraId="04187C02">
            <w:pPr>
              <w:pStyle w:val="45"/>
              <w:keepNext w:val="0"/>
              <w:keepLines w:val="0"/>
              <w:pageBreakBefore w:val="0"/>
              <w:kinsoku/>
              <w:wordWrap/>
              <w:overflowPunct/>
              <w:topLinePunct w:val="0"/>
              <w:bidi w:val="0"/>
              <w:adjustRightInd/>
              <w:snapToGrid/>
              <w:spacing w:line="360" w:lineRule="auto"/>
              <w:textAlignment w:val="auto"/>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（一）用地相符性</w:t>
            </w:r>
          </w:p>
          <w:p w14:paraId="0D2AD1A3">
            <w:pPr>
              <w:pStyle w:val="45"/>
              <w:keepNext w:val="0"/>
              <w:keepLines w:val="0"/>
              <w:pageBreakBefore w:val="0"/>
              <w:kinsoku/>
              <w:wordWrap/>
              <w:overflowPunct/>
              <w:topLinePunct w:val="0"/>
              <w:bidi w:val="0"/>
              <w:adjustRightInd/>
              <w:snapToGrid/>
              <w:spacing w:line="360" w:lineRule="auto"/>
              <w:textAlignment w:val="auto"/>
              <w:rPr>
                <w:rFonts w:hint="default" w:ascii="Times New Roman" w:hAnsi="Times New Roman" w:cs="Times New Roman"/>
                <w:color w:val="auto"/>
                <w:spacing w:val="2"/>
                <w:kern w:val="0"/>
                <w:sz w:val="24"/>
                <w:szCs w:val="24"/>
                <w:highlight w:val="none"/>
                <w:lang w:val="en-US" w:eastAsia="zh-CN"/>
              </w:rPr>
            </w:pPr>
            <w:r>
              <w:rPr>
                <w:rFonts w:hint="eastAsia" w:cs="Times New Roman"/>
                <w:color w:val="auto"/>
                <w:sz w:val="24"/>
                <w:szCs w:val="24"/>
                <w:highlight w:val="none"/>
                <w:lang w:val="en-US" w:eastAsia="zh-CN"/>
              </w:rPr>
              <w:t>项目行业类别属于热力生产和供应，位于</w:t>
            </w:r>
            <w:r>
              <w:rPr>
                <w:rFonts w:hint="default" w:cs="Times New Roman"/>
                <w:color w:val="auto"/>
                <w:sz w:val="24"/>
                <w:szCs w:val="24"/>
                <w:highlight w:val="none"/>
                <w:lang w:val="en-US" w:eastAsia="zh-CN"/>
              </w:rPr>
              <w:t>黑龙江省</w:t>
            </w:r>
            <w:r>
              <w:rPr>
                <w:rFonts w:hint="eastAsia" w:cs="Times New Roman"/>
                <w:color w:val="auto"/>
                <w:sz w:val="24"/>
                <w:szCs w:val="24"/>
                <w:highlight w:val="none"/>
                <w:lang w:val="en-US" w:eastAsia="zh-CN"/>
              </w:rPr>
              <w:t>双鸭山</w:t>
            </w:r>
            <w:r>
              <w:rPr>
                <w:rFonts w:hint="default" w:cs="Times New Roman"/>
                <w:color w:val="auto"/>
                <w:sz w:val="24"/>
                <w:szCs w:val="24"/>
                <w:highlight w:val="none"/>
                <w:lang w:val="en-US" w:eastAsia="zh-CN"/>
              </w:rPr>
              <w:t>市</w:t>
            </w:r>
            <w:r>
              <w:rPr>
                <w:rFonts w:hint="eastAsia" w:cs="Times New Roman"/>
                <w:color w:val="auto"/>
                <w:sz w:val="24"/>
                <w:szCs w:val="24"/>
                <w:highlight w:val="none"/>
                <w:lang w:val="en-US" w:eastAsia="zh-CN"/>
              </w:rPr>
              <w:t>饶河</w:t>
            </w:r>
            <w:r>
              <w:rPr>
                <w:rFonts w:hint="default" w:cs="Times New Roman"/>
                <w:color w:val="auto"/>
                <w:sz w:val="24"/>
                <w:szCs w:val="24"/>
                <w:highlight w:val="none"/>
                <w:lang w:val="en-US" w:eastAsia="zh-CN"/>
              </w:rPr>
              <w:t>县</w:t>
            </w:r>
            <w:r>
              <w:rPr>
                <w:rFonts w:hint="eastAsia" w:cs="Times New Roman"/>
                <w:color w:val="auto"/>
                <w:sz w:val="24"/>
                <w:szCs w:val="24"/>
                <w:highlight w:val="none"/>
                <w:lang w:val="en-US" w:eastAsia="zh-CN"/>
              </w:rPr>
              <w:t>四排乡四排村</w:t>
            </w:r>
            <w:r>
              <w:rPr>
                <w:rFonts w:hint="eastAsia" w:cs="Times New Roman"/>
                <w:color w:val="auto"/>
                <w:sz w:val="24"/>
                <w:szCs w:val="24"/>
                <w:highlight w:val="none"/>
                <w:u w:val="none"/>
                <w:lang w:val="en-US" w:eastAsia="zh-CN"/>
              </w:rPr>
              <w:t>，</w:t>
            </w:r>
            <w:r>
              <w:rPr>
                <w:rFonts w:hint="eastAsia" w:cs="Times New Roman"/>
                <w:color w:val="auto"/>
                <w:kern w:val="0"/>
                <w:sz w:val="24"/>
                <w:szCs w:val="24"/>
                <w:highlight w:val="none"/>
                <w:lang w:val="en-US" w:eastAsia="zh-CN"/>
              </w:rPr>
              <w:t>项目所处地块</w:t>
            </w:r>
            <w:r>
              <w:rPr>
                <w:rFonts w:hint="eastAsia" w:ascii="Times New Roman" w:hAnsi="Times New Roman" w:eastAsia="宋体" w:cs="Times New Roman"/>
                <w:color w:val="auto"/>
                <w:kern w:val="0"/>
                <w:sz w:val="24"/>
                <w:szCs w:val="24"/>
                <w:highlight w:val="none"/>
                <w:lang w:val="en-US" w:eastAsia="zh-CN"/>
              </w:rPr>
              <w:t>用地性质为</w:t>
            </w:r>
            <w:r>
              <w:rPr>
                <w:rFonts w:hint="eastAsia" w:cs="Times New Roman"/>
                <w:color w:val="auto"/>
                <w:kern w:val="0"/>
                <w:sz w:val="24"/>
                <w:szCs w:val="24"/>
                <w:highlight w:val="none"/>
                <w:lang w:val="en-US" w:eastAsia="zh-CN"/>
              </w:rPr>
              <w:t>建设用地</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cs="Times New Roman"/>
                <w:color w:val="auto"/>
                <w:spacing w:val="2"/>
                <w:kern w:val="0"/>
                <w:sz w:val="24"/>
                <w:szCs w:val="24"/>
                <w:highlight w:val="none"/>
                <w:lang w:val="en-US" w:eastAsia="zh-CN"/>
              </w:rPr>
              <w:t>不</w:t>
            </w:r>
            <w:r>
              <w:rPr>
                <w:rFonts w:hint="eastAsia" w:cs="Times New Roman"/>
                <w:color w:val="auto"/>
                <w:spacing w:val="2"/>
                <w:kern w:val="0"/>
                <w:sz w:val="24"/>
                <w:szCs w:val="24"/>
                <w:highlight w:val="none"/>
                <w:lang w:val="en-US" w:eastAsia="zh-CN"/>
              </w:rPr>
              <w:t>涉及生态保护红线、</w:t>
            </w:r>
            <w:r>
              <w:rPr>
                <w:rFonts w:hint="default" w:ascii="Times New Roman" w:hAnsi="Times New Roman" w:cs="Times New Roman"/>
                <w:color w:val="auto"/>
                <w:spacing w:val="2"/>
                <w:kern w:val="0"/>
                <w:sz w:val="24"/>
                <w:szCs w:val="24"/>
                <w:highlight w:val="none"/>
                <w:lang w:val="en-US" w:eastAsia="zh-CN"/>
              </w:rPr>
              <w:t>风景名胜区、世界文化和自然遗产地、饮用水水源保护区，永久基本农田、重要湿地等需要特殊保</w:t>
            </w:r>
            <w:r>
              <w:rPr>
                <w:rFonts w:hint="default" w:ascii="Times New Roman" w:hAnsi="Times New Roman" w:eastAsia="宋体" w:cs="Times New Roman"/>
                <w:color w:val="auto"/>
                <w:kern w:val="2"/>
                <w:sz w:val="24"/>
                <w:szCs w:val="24"/>
                <w:highlight w:val="none"/>
                <w:lang w:val="en-US" w:eastAsia="zh-CN" w:bidi="ar-SA"/>
              </w:rPr>
              <w:t>护的区</w:t>
            </w:r>
            <w:r>
              <w:rPr>
                <w:rFonts w:hint="default" w:ascii="Times New Roman" w:hAnsi="Times New Roman" w:cs="Times New Roman"/>
                <w:color w:val="auto"/>
                <w:spacing w:val="2"/>
                <w:kern w:val="0"/>
                <w:sz w:val="24"/>
                <w:szCs w:val="24"/>
                <w:highlight w:val="none"/>
                <w:lang w:val="en-US" w:eastAsia="zh-CN"/>
              </w:rPr>
              <w:t>域</w:t>
            </w:r>
            <w:r>
              <w:rPr>
                <w:rFonts w:hint="eastAsia" w:ascii="Times New Roman" w:hAnsi="Times New Roman" w:cs="Times New Roman"/>
                <w:color w:val="auto"/>
                <w:spacing w:val="2"/>
                <w:kern w:val="0"/>
                <w:sz w:val="24"/>
                <w:szCs w:val="24"/>
                <w:highlight w:val="none"/>
                <w:lang w:val="en-US" w:eastAsia="zh-CN"/>
              </w:rPr>
              <w:t>，</w:t>
            </w:r>
            <w:r>
              <w:rPr>
                <w:rFonts w:hint="eastAsia" w:cs="Times New Roman"/>
                <w:color w:val="auto"/>
                <w:sz w:val="24"/>
                <w:szCs w:val="24"/>
                <w:highlight w:val="none"/>
                <w:u w:val="none"/>
                <w:lang w:val="en-US" w:eastAsia="zh-CN"/>
              </w:rPr>
              <w:t>项目与黑龙江饶河东北黑蜂国家级自然保护区整合优化调整后无相交情况，一般控制区最近距离约8.2公里；核心区最近距离约11公里；项目与黑龙江大佳河省级自然保护区实验区最近距离为西北侧90米；项目与乌苏里江风景名胜区最近距离为东侧415米。</w:t>
            </w:r>
            <w:r>
              <w:rPr>
                <w:rFonts w:hint="eastAsia" w:cs="Times New Roman"/>
                <w:color w:val="auto"/>
                <w:kern w:val="0"/>
                <w:sz w:val="24"/>
                <w:szCs w:val="24"/>
                <w:highlight w:val="none"/>
                <w:lang w:val="en-US" w:eastAsia="zh-CN"/>
              </w:rPr>
              <w:t>项目建设区域已进行开发，周边环境为居民区、房地产等，不会因开发建设活动造成</w:t>
            </w:r>
            <w:r>
              <w:rPr>
                <w:rFonts w:hint="default" w:cs="Times New Roman"/>
                <w:color w:val="auto"/>
                <w:kern w:val="0"/>
                <w:sz w:val="24"/>
                <w:szCs w:val="24"/>
                <w:highlight w:val="none"/>
                <w:lang w:val="en-US" w:eastAsia="zh-CN"/>
              </w:rPr>
              <w:t>生态服务功能和生态产品质量</w:t>
            </w:r>
            <w:r>
              <w:rPr>
                <w:rFonts w:hint="eastAsia" w:cs="Times New Roman"/>
                <w:color w:val="auto"/>
                <w:kern w:val="0"/>
                <w:sz w:val="24"/>
                <w:szCs w:val="24"/>
                <w:highlight w:val="none"/>
                <w:lang w:val="en-US" w:eastAsia="zh-CN"/>
              </w:rPr>
              <w:t>的损害。</w:t>
            </w:r>
          </w:p>
          <w:p w14:paraId="6219EB2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eastAsia="宋体" w:cs="Times New Roman"/>
                <w:color w:val="auto"/>
                <w:kern w:val="2"/>
                <w:sz w:val="24"/>
                <w:szCs w:val="24"/>
                <w:highlight w:val="none"/>
                <w:u w:val="none"/>
                <w:lang w:val="en-US" w:eastAsia="zh-CN" w:bidi="ar-SA"/>
              </w:rPr>
            </w:pPr>
            <w:r>
              <w:rPr>
                <w:rFonts w:hint="eastAsia" w:ascii="Times New Roman" w:hAnsi="Times New Roman" w:eastAsia="宋体" w:cs="Times New Roman"/>
                <w:b w:val="0"/>
                <w:bCs/>
                <w:color w:val="auto"/>
                <w:sz w:val="24"/>
                <w:szCs w:val="24"/>
                <w:highlight w:val="none"/>
                <w:lang w:val="en-US" w:eastAsia="zh-CN"/>
              </w:rPr>
              <w:t>（</w:t>
            </w:r>
            <w:r>
              <w:rPr>
                <w:rFonts w:hint="eastAsia" w:ascii="Times New Roman" w:hAnsi="Times New Roman" w:eastAsia="宋体" w:cs="Times New Roman"/>
                <w:color w:val="auto"/>
                <w:kern w:val="2"/>
                <w:sz w:val="24"/>
                <w:szCs w:val="24"/>
                <w:highlight w:val="none"/>
                <w:u w:val="none"/>
                <w:lang w:val="en-US" w:eastAsia="zh-CN" w:bidi="ar-SA"/>
              </w:rPr>
              <w:t>二）外环境相容性</w:t>
            </w:r>
          </w:p>
          <w:p w14:paraId="6984B49B">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cs="Times New Roman"/>
                <w:color w:val="auto"/>
                <w:kern w:val="2"/>
                <w:sz w:val="24"/>
                <w:szCs w:val="24"/>
                <w:highlight w:val="none"/>
                <w:u w:val="none"/>
                <w:lang w:val="en-US" w:eastAsia="zh-CN" w:bidi="ar-SA"/>
              </w:rPr>
            </w:pPr>
            <w:r>
              <w:rPr>
                <w:rFonts w:hint="eastAsia" w:cs="Times New Roman"/>
                <w:color w:val="auto"/>
                <w:kern w:val="2"/>
                <w:sz w:val="24"/>
                <w:szCs w:val="24"/>
                <w:highlight w:val="none"/>
                <w:u w:val="none"/>
                <w:lang w:val="en-US" w:eastAsia="zh-CN" w:bidi="ar-SA"/>
              </w:rPr>
              <w:t>项目东侧为空旷地块，南侧为农业机械停放场，西为沟塘，北侧为空地及沟塘。项目锅炉烟气采用“</w:t>
            </w:r>
            <w:r>
              <w:rPr>
                <w:rFonts w:hint="eastAsia" w:cs="Times New Roman"/>
                <w:color w:val="auto"/>
                <w:sz w:val="24"/>
                <w:szCs w:val="24"/>
                <w:highlight w:val="none"/>
                <w:lang w:val="en-US" w:eastAsia="zh-CN"/>
              </w:rPr>
              <w:t>旋风多管陶瓷除尘器+布袋除尘器</w:t>
            </w:r>
            <w:r>
              <w:rPr>
                <w:rFonts w:hint="eastAsia" w:cs="Times New Roman"/>
                <w:color w:val="auto"/>
                <w:kern w:val="2"/>
                <w:sz w:val="24"/>
                <w:szCs w:val="24"/>
                <w:highlight w:val="none"/>
                <w:u w:val="none"/>
                <w:lang w:val="en-US" w:eastAsia="zh-CN" w:bidi="ar-SA"/>
              </w:rPr>
              <w:t>”</w:t>
            </w:r>
            <w:r>
              <w:rPr>
                <w:rFonts w:hint="eastAsia" w:ascii="Times New Roman" w:hAnsi="Times New Roman" w:eastAsia="宋体" w:cs="Times New Roman"/>
                <w:color w:val="auto"/>
                <w:sz w:val="24"/>
                <w:szCs w:val="24"/>
                <w:highlight w:val="none"/>
                <w:lang w:val="en-US" w:eastAsia="zh-CN"/>
              </w:rPr>
              <w:t>处理后经</w:t>
            </w:r>
            <w:r>
              <w:rPr>
                <w:rFonts w:hint="eastAsia" w:cs="Times New Roman"/>
                <w:color w:val="auto"/>
                <w:sz w:val="24"/>
                <w:szCs w:val="24"/>
                <w:highlight w:val="none"/>
                <w:lang w:val="en-US" w:eastAsia="zh-CN"/>
              </w:rPr>
              <w:t>35</w:t>
            </w:r>
            <w:r>
              <w:rPr>
                <w:rFonts w:hint="eastAsia" w:ascii="Times New Roman" w:hAnsi="Times New Roman" w:eastAsia="宋体" w:cs="Times New Roman"/>
                <w:color w:val="auto"/>
                <w:sz w:val="24"/>
                <w:szCs w:val="24"/>
                <w:highlight w:val="none"/>
                <w:lang w:val="en-US" w:eastAsia="zh-CN"/>
              </w:rPr>
              <w:t>m高烟囱（DA001）有组织排放</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kern w:val="2"/>
                <w:sz w:val="24"/>
                <w:szCs w:val="24"/>
                <w:highlight w:val="none"/>
                <w:u w:val="none"/>
                <w:lang w:val="en-US" w:eastAsia="zh-CN" w:bidi="ar-SA"/>
              </w:rPr>
              <w:t>满足《锅炉大气污染物排放标准》（GB13271-2014）表3中燃煤锅炉大气污染物特别排放限值要求；无组织颗粒物采用定期洒水降尘的方式处理</w:t>
            </w:r>
            <w:r>
              <w:rPr>
                <w:rFonts w:hint="eastAsia" w:cs="Times New Roman"/>
                <w:color w:val="auto"/>
                <w:kern w:val="2"/>
                <w:sz w:val="24"/>
                <w:szCs w:val="24"/>
                <w:highlight w:val="none"/>
                <w:u w:val="none"/>
                <w:lang w:val="en-US" w:eastAsia="zh-CN" w:bidi="ar-SA"/>
              </w:rPr>
              <w:t>。</w:t>
            </w:r>
          </w:p>
          <w:p w14:paraId="2DEAB869">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Times New Roman" w:hAnsi="Times New Roman" w:eastAsia="宋体" w:cs="Times New Roman"/>
                <w:color w:val="auto"/>
                <w:kern w:val="2"/>
                <w:sz w:val="24"/>
                <w:szCs w:val="24"/>
                <w:highlight w:val="none"/>
                <w:u w:val="none"/>
                <w:lang w:val="en-US" w:eastAsia="zh-CN" w:bidi="ar-SA"/>
              </w:rPr>
            </w:pPr>
            <w:r>
              <w:rPr>
                <w:rFonts w:hint="eastAsia" w:ascii="Times New Roman" w:hAnsi="Times New Roman" w:eastAsia="宋体" w:cs="Times New Roman"/>
                <w:color w:val="auto"/>
                <w:sz w:val="24"/>
                <w:szCs w:val="24"/>
                <w:highlight w:val="none"/>
                <w:lang w:val="en-US" w:eastAsia="zh-CN"/>
              </w:rPr>
              <w:t>厂界颗粒物符合</w:t>
            </w:r>
            <w:r>
              <w:rPr>
                <w:rFonts w:hint="default" w:ascii="Times New Roman" w:hAnsi="Times New Roman" w:eastAsia="宋体" w:cs="Times New Roman"/>
                <w:color w:val="auto"/>
                <w:sz w:val="24"/>
                <w:szCs w:val="24"/>
                <w:highlight w:val="none"/>
                <w:lang w:val="en-US" w:eastAsia="zh-CN"/>
              </w:rPr>
              <w:t>《大气污染物综合排放标准》（GB16297-1996）表2</w:t>
            </w:r>
            <w:r>
              <w:rPr>
                <w:rFonts w:hint="eastAsia" w:ascii="Times New Roman" w:hAnsi="Times New Roman" w:eastAsia="宋体" w:cs="Times New Roman"/>
                <w:color w:val="auto"/>
                <w:sz w:val="24"/>
                <w:szCs w:val="24"/>
                <w:highlight w:val="none"/>
                <w:lang w:val="en-US" w:eastAsia="zh-CN"/>
              </w:rPr>
              <w:t>无组织排放浓度限值。</w:t>
            </w:r>
            <w:r>
              <w:rPr>
                <w:rFonts w:hint="eastAsia" w:cs="Times New Roman"/>
                <w:color w:val="auto"/>
                <w:kern w:val="2"/>
                <w:sz w:val="24"/>
                <w:szCs w:val="24"/>
                <w:highlight w:val="none"/>
                <w:u w:val="none"/>
                <w:lang w:val="en-US" w:eastAsia="zh-CN" w:bidi="ar-SA"/>
              </w:rPr>
              <w:t>项目所在区域常年主导风向为西南风，烟囱布置于锅炉房西南侧，厂区北侧、东北侧区域主要为沼泽地，居民区位于厂区东侧区域，属于常年</w:t>
            </w:r>
            <w:r>
              <w:rPr>
                <w:rFonts w:hint="eastAsia" w:ascii="Times New Roman" w:hAnsi="Times New Roman" w:eastAsia="宋体" w:cs="Times New Roman"/>
                <w:color w:val="auto"/>
                <w:kern w:val="2"/>
                <w:sz w:val="24"/>
                <w:szCs w:val="24"/>
                <w:highlight w:val="none"/>
                <w:u w:val="none"/>
                <w:lang w:val="en-US" w:eastAsia="zh-CN" w:bidi="ar-SA"/>
              </w:rPr>
              <w:t>主导风向侧风向区域，经采取环保措施处理后对周边环境影响较小，因此大气环境影响可接受。</w:t>
            </w:r>
          </w:p>
          <w:p w14:paraId="144549CB">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default"/>
                <w:color w:val="auto"/>
                <w:sz w:val="24"/>
                <w:szCs w:val="24"/>
                <w:highlight w:val="none"/>
                <w:lang w:val="en-US" w:eastAsia="zh-CN"/>
              </w:rPr>
            </w:pPr>
            <w:r>
              <w:rPr>
                <w:rFonts w:hint="eastAsia"/>
                <w:color w:val="auto"/>
                <w:sz w:val="24"/>
                <w:szCs w:val="24"/>
                <w:highlight w:val="none"/>
                <w:lang w:val="en-US" w:eastAsia="zh-CN"/>
              </w:rPr>
              <w:t>项目锅炉排污水及软化处理废水少量用于灰渣转运、储存进行洒水抑尘；生活污水、锅炉排污水及</w:t>
            </w:r>
            <w:r>
              <w:rPr>
                <w:rFonts w:hint="eastAsia" w:ascii="Times New Roman" w:hAnsi="Times New Roman" w:eastAsia="宋体" w:cs="Times New Roman"/>
                <w:color w:val="auto"/>
                <w:sz w:val="24"/>
                <w:szCs w:val="24"/>
                <w:highlight w:val="none"/>
                <w:lang w:val="en-US" w:eastAsia="zh-CN"/>
              </w:rPr>
              <w:t>软化处理废水排入厂区化粪池，化粪池出水水质符合</w:t>
            </w:r>
            <w:r>
              <w:rPr>
                <w:rFonts w:hint="default" w:ascii="Times New Roman" w:hAnsi="Times New Roman" w:eastAsia="宋体" w:cs="Times New Roman"/>
                <w:color w:val="auto"/>
                <w:sz w:val="24"/>
                <w:szCs w:val="24"/>
                <w:highlight w:val="none"/>
                <w:lang w:val="en-US" w:eastAsia="zh-CN"/>
              </w:rPr>
              <w:t>《污水综合排放标准》（GB8978-1996）表4中三级标准</w:t>
            </w:r>
            <w:r>
              <w:rPr>
                <w:rFonts w:hint="eastAsia" w:ascii="Times New Roman" w:hAnsi="Times New Roman" w:eastAsia="宋体" w:cs="Times New Roman"/>
                <w:color w:val="auto"/>
                <w:sz w:val="24"/>
                <w:szCs w:val="24"/>
                <w:highlight w:val="none"/>
                <w:lang w:val="en-US" w:eastAsia="zh-CN"/>
              </w:rPr>
              <w:t>，</w:t>
            </w:r>
            <w:r>
              <w:rPr>
                <w:rFonts w:hint="eastAsia"/>
                <w:color w:val="auto"/>
                <w:sz w:val="24"/>
                <w:szCs w:val="24"/>
                <w:highlight w:val="none"/>
                <w:lang w:val="en-US" w:eastAsia="zh-CN"/>
              </w:rPr>
              <w:t>通过10吨</w:t>
            </w:r>
            <w:r>
              <w:rPr>
                <w:rFonts w:hint="default" w:ascii="Times New Roman" w:hAnsi="Times New Roman" w:eastAsia="宋体" w:cs="Times New Roman"/>
                <w:bCs/>
                <w:color w:val="auto"/>
                <w:sz w:val="24"/>
                <w:szCs w:val="24"/>
                <w:lang w:val="en-US" w:eastAsia="zh-CN"/>
              </w:rPr>
              <w:t>吸污车收集后，运至</w:t>
            </w:r>
            <w:r>
              <w:rPr>
                <w:rFonts w:hint="default" w:ascii="Times New Roman" w:hAnsi="Times New Roman" w:eastAsia="宋体" w:cs="Times New Roman"/>
                <w:bCs/>
                <w:color w:val="auto"/>
                <w:sz w:val="24"/>
                <w:szCs w:val="24"/>
              </w:rPr>
              <w:t>饶河县西林子乡</w:t>
            </w:r>
            <w:r>
              <w:rPr>
                <w:rFonts w:hint="default" w:ascii="Times New Roman" w:hAnsi="Times New Roman" w:eastAsia="宋体" w:cs="Times New Roman"/>
                <w:bCs/>
                <w:color w:val="auto"/>
                <w:sz w:val="24"/>
                <w:szCs w:val="24"/>
                <w:lang w:val="en-US" w:eastAsia="zh-CN"/>
              </w:rPr>
              <w:t>污水处理站，污水处理站出水水质达到《城镇污水处理厂污染物排放标准》（GB18918-2002）及修改单中一级A标准，</w:t>
            </w:r>
            <w:r>
              <w:rPr>
                <w:rFonts w:hint="default" w:ascii="Times New Roman" w:hAnsi="Times New Roman" w:cs="Times New Roman"/>
                <w:bCs/>
                <w:color w:val="auto"/>
                <w:sz w:val="24"/>
                <w:szCs w:val="24"/>
                <w:lang w:val="en-US" w:eastAsia="zh-CN"/>
              </w:rPr>
              <w:t>排入小安河</w:t>
            </w:r>
            <w:r>
              <w:rPr>
                <w:rFonts w:hint="eastAsia" w:cs="Times New Roman"/>
                <w:bCs/>
                <w:color w:val="auto"/>
                <w:sz w:val="24"/>
                <w:szCs w:val="24"/>
                <w:lang w:val="en-US" w:eastAsia="zh-CN"/>
              </w:rPr>
              <w:t>。</w:t>
            </w:r>
          </w:p>
          <w:p w14:paraId="2805E86D">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default" w:ascii="Times New Roman" w:hAnsi="Times New Roman" w:cs="Times New Roman"/>
                <w:color w:val="auto"/>
                <w:sz w:val="24"/>
                <w:szCs w:val="24"/>
                <w:highlight w:val="yellow"/>
              </w:rPr>
            </w:pPr>
            <w:r>
              <w:rPr>
                <w:rFonts w:hint="eastAsia" w:ascii="Times New Roman" w:hAnsi="Times New Roman" w:eastAsia="宋体" w:cs="Times New Roman"/>
                <w:color w:val="auto"/>
                <w:kern w:val="2"/>
                <w:sz w:val="24"/>
                <w:szCs w:val="24"/>
                <w:highlight w:val="none"/>
                <w:u w:val="none"/>
                <w:lang w:val="en-US" w:eastAsia="zh-CN" w:bidi="ar-SA"/>
              </w:rPr>
              <w:t>项目采用低噪声环保设备、</w:t>
            </w:r>
            <w:r>
              <w:rPr>
                <w:rFonts w:hint="eastAsia" w:cs="Times New Roman"/>
                <w:color w:val="auto"/>
                <w:kern w:val="0"/>
                <w:sz w:val="24"/>
                <w:szCs w:val="24"/>
                <w:highlight w:val="none"/>
                <w:lang w:val="en-US" w:eastAsia="zh-CN" w:bidi="ar-SA"/>
              </w:rPr>
              <w:t>采取减振、降噪、隔声等措施治理噪声，产噪设备主要布置于锅炉房，根据噪声预测可知，</w:t>
            </w:r>
            <w:r>
              <w:rPr>
                <w:rFonts w:hint="default" w:ascii="Times New Roman" w:hAnsi="Times New Roman" w:cs="Times New Roman"/>
                <w:color w:val="auto"/>
                <w:sz w:val="24"/>
                <w:szCs w:val="24"/>
                <w:highlight w:val="none"/>
              </w:rPr>
              <w:t>厂界</w:t>
            </w:r>
            <w:r>
              <w:rPr>
                <w:rFonts w:hint="eastAsia" w:cs="Times New Roman"/>
                <w:color w:val="auto"/>
                <w:sz w:val="24"/>
                <w:szCs w:val="24"/>
                <w:highlight w:val="none"/>
                <w:lang w:val="en-US" w:eastAsia="zh-CN"/>
              </w:rPr>
              <w:t>外昼、夜间</w:t>
            </w:r>
            <w:r>
              <w:rPr>
                <w:rFonts w:hint="default" w:ascii="Times New Roman" w:hAnsi="Times New Roman" w:cs="Times New Roman"/>
                <w:color w:val="auto"/>
                <w:sz w:val="24"/>
                <w:szCs w:val="24"/>
                <w:highlight w:val="none"/>
              </w:rPr>
              <w:t>噪声贡献值</w:t>
            </w:r>
            <w:r>
              <w:rPr>
                <w:rFonts w:hint="default" w:ascii="Times New Roman" w:hAnsi="Times New Roman" w:cs="Times New Roman"/>
                <w:color w:val="auto"/>
                <w:sz w:val="24"/>
                <w:szCs w:val="24"/>
                <w:highlight w:val="none"/>
                <w:lang w:val="en-US" w:eastAsia="zh-CN"/>
              </w:rPr>
              <w:t>符合《工业企业厂界环境噪声排放标准》（GB12348-2008）表1中</w:t>
            </w:r>
            <w:r>
              <w:rPr>
                <w:rFonts w:hint="eastAsia"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类标准限值</w:t>
            </w:r>
            <w:r>
              <w:rPr>
                <w:rFonts w:hint="eastAsia" w:cs="Times New Roman"/>
                <w:color w:val="auto"/>
                <w:sz w:val="24"/>
                <w:szCs w:val="24"/>
                <w:highlight w:val="none"/>
                <w:lang w:val="en-US" w:eastAsia="zh-CN"/>
              </w:rPr>
              <w:t>；项目声环境敏感目</w:t>
            </w:r>
            <w:r>
              <w:rPr>
                <w:rFonts w:hint="eastAsia" w:ascii="Times New Roman" w:hAnsi="Times New Roman" w:eastAsia="宋体" w:cs="Times New Roman"/>
                <w:color w:val="auto"/>
                <w:sz w:val="24"/>
                <w:szCs w:val="24"/>
                <w:highlight w:val="none"/>
                <w:lang w:val="en-US" w:eastAsia="zh-CN"/>
              </w:rPr>
              <w:t>标（</w:t>
            </w:r>
            <w:r>
              <w:rPr>
                <w:rFonts w:hint="default" w:ascii="Times New Roman" w:hAnsi="Times New Roman" w:cs="Times New Roman"/>
                <w:b w:val="0"/>
                <w:bCs w:val="0"/>
                <w:color w:val="auto"/>
                <w:sz w:val="24"/>
                <w:szCs w:val="24"/>
                <w:highlight w:val="none"/>
                <w:lang w:val="en-US" w:eastAsia="zh-CN"/>
              </w:rPr>
              <w:t>1#</w:t>
            </w:r>
            <w:r>
              <w:rPr>
                <w:rFonts w:hint="eastAsia" w:ascii="Times New Roman" w:hAnsi="Times New Roman" w:cs="Times New Roman"/>
                <w:b w:val="0"/>
                <w:bCs w:val="0"/>
                <w:color w:val="auto"/>
                <w:sz w:val="24"/>
                <w:szCs w:val="24"/>
                <w:highlight w:val="none"/>
                <w:lang w:val="en-US" w:eastAsia="zh-CN"/>
              </w:rPr>
              <w:t>东侧居民区</w:t>
            </w:r>
            <w:r>
              <w:rPr>
                <w:rFonts w:hint="eastAsia"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昼、夜间</w:t>
            </w:r>
            <w:r>
              <w:rPr>
                <w:rFonts w:hint="eastAsia" w:ascii="Times New Roman" w:hAnsi="Times New Roman" w:eastAsia="宋体" w:cs="Times New Roman"/>
                <w:color w:val="auto"/>
                <w:sz w:val="24"/>
                <w:szCs w:val="24"/>
                <w:highlight w:val="none"/>
                <w:lang w:val="en-US" w:eastAsia="zh-CN"/>
              </w:rPr>
              <w:t>噪声</w:t>
            </w:r>
            <w:r>
              <w:rPr>
                <w:rFonts w:hint="eastAsia" w:cs="Times New Roman"/>
                <w:color w:val="auto"/>
                <w:sz w:val="24"/>
                <w:szCs w:val="24"/>
                <w:highlight w:val="none"/>
                <w:lang w:val="en-US" w:eastAsia="zh-CN"/>
              </w:rPr>
              <w:t>预测值符合</w:t>
            </w:r>
            <w:r>
              <w:rPr>
                <w:rFonts w:hint="default" w:ascii="Times New Roman" w:hAnsi="Times New Roman" w:eastAsia="宋体" w:cs="Times New Roman"/>
                <w:color w:val="auto"/>
                <w:sz w:val="24"/>
                <w:szCs w:val="24"/>
                <w:highlight w:val="none"/>
              </w:rPr>
              <w:t>《声环境质量标准》（GB3096-2008）</w:t>
            </w:r>
            <w:r>
              <w:rPr>
                <w:rFonts w:hint="eastAsia" w:ascii="Times New Roman" w:hAnsi="Times New Roman" w:eastAsia="宋体" w:cs="Times New Roman"/>
                <w:color w:val="auto"/>
                <w:sz w:val="24"/>
                <w:szCs w:val="24"/>
                <w:highlight w:val="none"/>
                <w:lang w:val="en-US" w:eastAsia="zh-CN"/>
              </w:rPr>
              <w:t>表1</w:t>
            </w:r>
            <w:r>
              <w:rPr>
                <w:rFonts w:hint="default" w:ascii="Times New Roman" w:hAnsi="Times New Roman" w:eastAsia="宋体" w:cs="Times New Roman"/>
                <w:color w:val="auto"/>
                <w:sz w:val="24"/>
                <w:szCs w:val="24"/>
                <w:highlight w:val="none"/>
              </w:rPr>
              <w:t>中2类标准</w:t>
            </w:r>
            <w:r>
              <w:rPr>
                <w:rFonts w:hint="eastAsia" w:cs="Times New Roman"/>
                <w:color w:val="auto"/>
                <w:sz w:val="24"/>
                <w:szCs w:val="24"/>
                <w:highlight w:val="none"/>
                <w:lang w:val="en-US" w:eastAsia="zh-CN"/>
              </w:rPr>
              <w:t>，因此项目</w:t>
            </w:r>
            <w:r>
              <w:rPr>
                <w:rFonts w:hint="default" w:ascii="Times New Roman" w:hAnsi="Times New Roman" w:cs="Times New Roman"/>
                <w:color w:val="auto"/>
                <w:sz w:val="24"/>
                <w:szCs w:val="24"/>
                <w:highlight w:val="none"/>
              </w:rPr>
              <w:t>对周边声环境</w:t>
            </w:r>
            <w:r>
              <w:rPr>
                <w:rFonts w:hint="default" w:ascii="Times New Roman" w:hAnsi="Times New Roman" w:cs="Times New Roman"/>
                <w:color w:val="auto"/>
                <w:sz w:val="24"/>
                <w:szCs w:val="24"/>
                <w:highlight w:val="none"/>
                <w:lang w:val="en-US" w:eastAsia="zh-CN"/>
              </w:rPr>
              <w:t>的</w:t>
            </w:r>
            <w:r>
              <w:rPr>
                <w:rFonts w:hint="default" w:ascii="Times New Roman" w:hAnsi="Times New Roman" w:cs="Times New Roman"/>
                <w:color w:val="auto"/>
                <w:sz w:val="24"/>
                <w:szCs w:val="24"/>
                <w:highlight w:val="none"/>
              </w:rPr>
              <w:t>影响</w:t>
            </w:r>
            <w:r>
              <w:rPr>
                <w:rFonts w:hint="default" w:ascii="Times New Roman" w:hAnsi="Times New Roman" w:cs="Times New Roman"/>
                <w:color w:val="auto"/>
                <w:sz w:val="24"/>
                <w:szCs w:val="24"/>
                <w:highlight w:val="none"/>
                <w:lang w:val="en-US" w:eastAsia="zh-CN"/>
              </w:rPr>
              <w:t>可被接受</w:t>
            </w:r>
            <w:r>
              <w:rPr>
                <w:rFonts w:hint="default" w:ascii="Times New Roman" w:hAnsi="Times New Roman" w:cs="Times New Roman"/>
                <w:color w:val="auto"/>
                <w:sz w:val="24"/>
                <w:szCs w:val="24"/>
                <w:highlight w:val="none"/>
              </w:rPr>
              <w:t>。</w:t>
            </w:r>
          </w:p>
          <w:p w14:paraId="63C185B9">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项目运营期生活垃圾经垃圾桶分类收集后，由环卫部门同一清运处理。锅炉灰渣、废弃包装物集中收集，外售综合利用。废弃离子交换树脂不在厂区内存放直接由厂家上门回收处置。废弃除尘布袋由厂家回收处置。采取上述措施后，对周边环境保护目标影响较小，不会对当地居民生活造成明显影响。</w:t>
            </w:r>
          </w:p>
          <w:p w14:paraId="71764924">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（三）环境功能一致性分析</w:t>
            </w:r>
          </w:p>
          <w:p w14:paraId="5801DA98">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根据工程分析确定污染物源强，通过大气环境、水环境、声环境影响分析，本项目建成后污染物达标排放对区域环境空气、水环境、声环境影响较小，项目建设不会使得环境功能发生改变。</w:t>
            </w:r>
          </w:p>
          <w:p w14:paraId="4EDB1F70">
            <w:pPr>
              <w:pStyle w:val="16"/>
              <w:rPr>
                <w:rFonts w:hint="eastAsia" w:ascii="Times New Roman" w:hAnsi="Times New Roman" w:eastAsia="宋体" w:cs="Times New Roman"/>
                <w:color w:val="auto"/>
                <w:sz w:val="24"/>
                <w:szCs w:val="24"/>
                <w:highlight w:val="none"/>
                <w:lang w:val="en-US" w:eastAsia="zh-CN"/>
              </w:rPr>
            </w:pPr>
          </w:p>
          <w:p w14:paraId="7744346B">
            <w:pPr>
              <w:rPr>
                <w:rFonts w:hint="eastAsia" w:ascii="Times New Roman" w:hAnsi="Times New Roman" w:eastAsia="宋体" w:cs="Times New Roman"/>
                <w:color w:val="auto"/>
                <w:sz w:val="24"/>
                <w:szCs w:val="24"/>
                <w:highlight w:val="none"/>
                <w:lang w:val="en-US" w:eastAsia="zh-CN"/>
              </w:rPr>
            </w:pPr>
          </w:p>
          <w:p w14:paraId="56009AAF">
            <w:pPr>
              <w:pStyle w:val="16"/>
              <w:rPr>
                <w:rFonts w:hint="eastAsia" w:ascii="Times New Roman" w:hAnsi="Times New Roman" w:eastAsia="宋体" w:cs="Times New Roman"/>
                <w:color w:val="auto"/>
                <w:sz w:val="24"/>
                <w:szCs w:val="24"/>
                <w:highlight w:val="none"/>
                <w:lang w:val="en-US" w:eastAsia="zh-CN"/>
              </w:rPr>
            </w:pPr>
          </w:p>
          <w:p w14:paraId="3F5E8BF9">
            <w:pPr>
              <w:rPr>
                <w:rFonts w:hint="eastAsia" w:ascii="Times New Roman" w:hAnsi="Times New Roman" w:eastAsia="宋体" w:cs="Times New Roman"/>
                <w:color w:val="auto"/>
                <w:sz w:val="24"/>
                <w:szCs w:val="24"/>
                <w:highlight w:val="none"/>
                <w:lang w:val="en-US" w:eastAsia="zh-CN"/>
              </w:rPr>
            </w:pPr>
          </w:p>
          <w:p w14:paraId="1057F531">
            <w:pPr>
              <w:pStyle w:val="16"/>
              <w:rPr>
                <w:rFonts w:hint="eastAsia" w:ascii="Times New Roman" w:hAnsi="Times New Roman" w:eastAsia="宋体" w:cs="Times New Roman"/>
                <w:color w:val="auto"/>
                <w:sz w:val="24"/>
                <w:szCs w:val="24"/>
                <w:highlight w:val="none"/>
                <w:lang w:val="en-US" w:eastAsia="zh-CN"/>
              </w:rPr>
            </w:pPr>
          </w:p>
          <w:p w14:paraId="27BD8A0E">
            <w:pPr>
              <w:rPr>
                <w:rFonts w:hint="eastAsia" w:ascii="Times New Roman" w:hAnsi="Times New Roman" w:eastAsia="宋体" w:cs="Times New Roman"/>
                <w:color w:val="auto"/>
                <w:sz w:val="24"/>
                <w:szCs w:val="24"/>
                <w:highlight w:val="none"/>
                <w:lang w:val="en-US" w:eastAsia="zh-CN"/>
              </w:rPr>
            </w:pPr>
          </w:p>
          <w:p w14:paraId="4F495CFC">
            <w:pPr>
              <w:pStyle w:val="16"/>
              <w:rPr>
                <w:rFonts w:hint="eastAsia" w:ascii="Times New Roman" w:hAnsi="Times New Roman" w:eastAsia="宋体" w:cs="Times New Roman"/>
                <w:color w:val="auto"/>
                <w:sz w:val="24"/>
                <w:szCs w:val="24"/>
                <w:highlight w:val="none"/>
                <w:lang w:val="en-US" w:eastAsia="zh-CN"/>
              </w:rPr>
            </w:pPr>
          </w:p>
          <w:p w14:paraId="25FCCD53">
            <w:pPr>
              <w:rPr>
                <w:rFonts w:hint="eastAsia" w:ascii="Times New Roman" w:hAnsi="Times New Roman" w:eastAsia="宋体" w:cs="Times New Roman"/>
                <w:color w:val="auto"/>
                <w:sz w:val="24"/>
                <w:szCs w:val="24"/>
                <w:highlight w:val="none"/>
                <w:lang w:val="en-US" w:eastAsia="zh-CN"/>
              </w:rPr>
            </w:pPr>
          </w:p>
          <w:p w14:paraId="6E80A57A">
            <w:pPr>
              <w:pStyle w:val="16"/>
              <w:rPr>
                <w:rFonts w:hint="eastAsia" w:ascii="Times New Roman" w:hAnsi="Times New Roman" w:eastAsia="宋体" w:cs="Times New Roman"/>
                <w:color w:val="auto"/>
                <w:sz w:val="24"/>
                <w:szCs w:val="24"/>
                <w:highlight w:val="none"/>
                <w:lang w:val="en-US" w:eastAsia="zh-CN"/>
              </w:rPr>
            </w:pPr>
          </w:p>
          <w:p w14:paraId="23C26639">
            <w:pPr>
              <w:rPr>
                <w:rFonts w:hint="eastAsia" w:ascii="Times New Roman" w:hAnsi="Times New Roman" w:eastAsia="宋体" w:cs="Times New Roman"/>
                <w:color w:val="auto"/>
                <w:sz w:val="24"/>
                <w:szCs w:val="24"/>
                <w:highlight w:val="none"/>
                <w:lang w:val="en-US" w:eastAsia="zh-CN"/>
              </w:rPr>
            </w:pPr>
          </w:p>
          <w:p w14:paraId="5DB80919">
            <w:pPr>
              <w:pStyle w:val="16"/>
              <w:rPr>
                <w:rFonts w:hint="eastAsia"/>
                <w:color w:val="auto"/>
                <w:lang w:val="en-US" w:eastAsia="zh-CN"/>
              </w:rPr>
            </w:pPr>
          </w:p>
          <w:p w14:paraId="52B0CF06">
            <w:pPr>
              <w:pStyle w:val="16"/>
              <w:rPr>
                <w:rFonts w:hint="eastAsia" w:ascii="Times New Roman" w:hAnsi="Times New Roman" w:eastAsia="宋体" w:cs="Times New Roman"/>
                <w:color w:val="auto"/>
                <w:sz w:val="24"/>
                <w:szCs w:val="24"/>
                <w:highlight w:val="none"/>
                <w:lang w:val="en-US" w:eastAsia="zh-CN"/>
              </w:rPr>
            </w:pPr>
          </w:p>
          <w:p w14:paraId="3D1FDAEB">
            <w:pPr>
              <w:rPr>
                <w:rFonts w:hint="eastAsia" w:ascii="Times New Roman" w:hAnsi="Times New Roman" w:eastAsia="宋体" w:cs="Times New Roman"/>
                <w:color w:val="auto"/>
                <w:sz w:val="24"/>
                <w:szCs w:val="24"/>
                <w:highlight w:val="none"/>
                <w:lang w:val="en-US" w:eastAsia="zh-CN"/>
              </w:rPr>
            </w:pPr>
          </w:p>
          <w:p w14:paraId="66B20D9A">
            <w:pPr>
              <w:pStyle w:val="16"/>
              <w:rPr>
                <w:rFonts w:hint="eastAsia"/>
                <w:color w:val="auto"/>
                <w:lang w:val="en-US" w:eastAsia="zh-CN"/>
              </w:rPr>
            </w:pPr>
          </w:p>
          <w:p w14:paraId="79C24D7B">
            <w:pPr>
              <w:rPr>
                <w:color w:val="auto"/>
              </w:rPr>
            </w:pPr>
          </w:p>
        </w:tc>
      </w:tr>
    </w:tbl>
    <w:p w14:paraId="6E4178B5">
      <w:pPr>
        <w:spacing w:line="360" w:lineRule="auto"/>
        <w:outlineLvl w:val="0"/>
        <w:rPr>
          <w:rFonts w:eastAsia="黑体"/>
          <w:color w:val="FF0000"/>
          <w:sz w:val="30"/>
          <w:highlight w:val="none"/>
        </w:rPr>
        <w:sectPr>
          <w:footerReference r:id="rId6"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1A5B0689">
      <w:pPr>
        <w:pStyle w:val="17"/>
        <w:jc w:val="center"/>
        <w:outlineLvl w:val="0"/>
        <w:rPr>
          <w:rFonts w:ascii="黑体" w:hAnsi="黑体" w:eastAsia="黑体"/>
          <w:snapToGrid w:val="0"/>
          <w:color w:val="auto"/>
          <w:sz w:val="30"/>
          <w:szCs w:val="30"/>
          <w:highlight w:val="none"/>
        </w:rPr>
      </w:pPr>
      <w:bookmarkStart w:id="6" w:name="_Toc24851"/>
      <w:r>
        <w:rPr>
          <w:rFonts w:hint="eastAsia" w:ascii="黑体" w:hAnsi="黑体" w:eastAsia="黑体"/>
          <w:snapToGrid w:val="0"/>
          <w:color w:val="auto"/>
          <w:sz w:val="30"/>
          <w:szCs w:val="30"/>
          <w:highlight w:val="none"/>
        </w:rPr>
        <w:t>二、建设项目工程分析</w:t>
      </w:r>
      <w:bookmarkEnd w:id="6"/>
    </w:p>
    <w:tbl>
      <w:tblPr>
        <w:tblStyle w:val="20"/>
        <w:tblW w:w="964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06"/>
        <w:gridCol w:w="9143"/>
      </w:tblGrid>
      <w:tr w14:paraId="33E52B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506" w:type="dxa"/>
            <w:noWrap w:val="0"/>
            <w:vAlign w:val="center"/>
          </w:tcPr>
          <w:p w14:paraId="33202F14">
            <w:pPr>
              <w:pStyle w:val="17"/>
              <w:adjustRightInd w:val="0"/>
              <w:snapToGrid w:val="0"/>
              <w:spacing w:before="0" w:beforeAutospacing="0" w:after="0" w:afterAutospacing="0"/>
              <w:jc w:val="center"/>
              <w:rPr>
                <w:rFonts w:cs="宋体"/>
                <w:color w:val="FF0000"/>
                <w:sz w:val="21"/>
                <w:szCs w:val="21"/>
                <w:highlight w:val="none"/>
              </w:rPr>
            </w:pPr>
            <w:r>
              <w:rPr>
                <w:rFonts w:hint="eastAsia" w:cs="宋体"/>
                <w:color w:val="auto"/>
                <w:sz w:val="24"/>
                <w:szCs w:val="24"/>
                <w:highlight w:val="none"/>
              </w:rPr>
              <w:t>建设内容</w:t>
            </w:r>
          </w:p>
        </w:tc>
        <w:tc>
          <w:tcPr>
            <w:tcW w:w="9143" w:type="dxa"/>
            <w:noWrap w:val="0"/>
            <w:vAlign w:val="top"/>
          </w:tcPr>
          <w:p w14:paraId="60DB746B">
            <w:pPr>
              <w:pStyle w:val="43"/>
              <w:keepNext w:val="0"/>
              <w:keepLines w:val="0"/>
              <w:pageBreakBefore w:val="0"/>
              <w:widowControl w:val="0"/>
              <w:kinsoku/>
              <w:wordWrap/>
              <w:overflowPunct/>
              <w:topLinePunct w:val="0"/>
              <w:autoSpaceDE/>
              <w:autoSpaceDN/>
              <w:bidi w:val="0"/>
              <w:adjustRightInd/>
              <w:snapToGrid/>
              <w:textAlignment w:val="auto"/>
              <w:rPr>
                <w:rFonts w:hint="eastAsia"/>
                <w:b/>
                <w:bCs/>
                <w:color w:val="auto"/>
                <w:highlight w:val="none"/>
                <w:lang w:val="en-US" w:eastAsia="zh-CN"/>
              </w:rPr>
            </w:pPr>
            <w:r>
              <w:rPr>
                <w:rFonts w:hint="eastAsia"/>
                <w:b/>
                <w:bCs/>
                <w:color w:val="auto"/>
                <w:highlight w:val="none"/>
                <w:lang w:val="en-US" w:eastAsia="zh-CN"/>
              </w:rPr>
              <w:t>一、建设内容</w:t>
            </w:r>
          </w:p>
          <w:p w14:paraId="17ADC95C">
            <w:pPr>
              <w:pStyle w:val="43"/>
              <w:keepNext w:val="0"/>
              <w:keepLines w:val="0"/>
              <w:pageBreakBefore w:val="0"/>
              <w:widowControl w:val="0"/>
              <w:kinsoku/>
              <w:wordWrap/>
              <w:overflowPunct/>
              <w:topLinePunct w:val="0"/>
              <w:autoSpaceDE/>
              <w:autoSpaceDN/>
              <w:bidi w:val="0"/>
              <w:adjustRightInd/>
              <w:snapToGrid/>
              <w:textAlignment w:val="auto"/>
              <w:rPr>
                <w:rFonts w:hint="default" w:cs="Times New Roman"/>
                <w:b/>
                <w:bCs w:val="0"/>
                <w:color w:val="auto"/>
                <w:sz w:val="24"/>
                <w:szCs w:val="24"/>
                <w:highlight w:val="none"/>
                <w:lang w:val="en-US" w:eastAsia="zh-CN"/>
              </w:rPr>
            </w:pPr>
            <w:r>
              <w:rPr>
                <w:rFonts w:hint="eastAsia" w:cs="Times New Roman"/>
                <w:b w:val="0"/>
                <w:bCs/>
                <w:color w:val="auto"/>
                <w:sz w:val="24"/>
                <w:szCs w:val="24"/>
                <w:highlight w:val="none"/>
                <w:lang w:val="en-US" w:eastAsia="zh-CN"/>
              </w:rPr>
              <w:t>项目厂区总用地面积3752.89m</w:t>
            </w:r>
            <w:r>
              <w:rPr>
                <w:rFonts w:hint="eastAsia" w:cs="Times New Roman"/>
                <w:b w:val="0"/>
                <w:bCs/>
                <w:color w:val="auto"/>
                <w:sz w:val="24"/>
                <w:szCs w:val="24"/>
                <w:highlight w:val="none"/>
                <w:vertAlign w:val="superscript"/>
                <w:lang w:val="en-US" w:eastAsia="zh-CN"/>
              </w:rPr>
              <w:t>2</w:t>
            </w:r>
            <w:r>
              <w:rPr>
                <w:rFonts w:hint="eastAsia" w:cs="Times New Roman"/>
                <w:b w:val="0"/>
                <w:bCs/>
                <w:color w:val="auto"/>
                <w:sz w:val="24"/>
                <w:szCs w:val="24"/>
                <w:highlight w:val="none"/>
                <w:lang w:val="en-US" w:eastAsia="zh-CN"/>
              </w:rPr>
              <w:t>，建筑面积1352.26m</w:t>
            </w:r>
            <w:r>
              <w:rPr>
                <w:rFonts w:hint="eastAsia" w:cs="Times New Roman"/>
                <w:b w:val="0"/>
                <w:bCs/>
                <w:color w:val="auto"/>
                <w:sz w:val="24"/>
                <w:szCs w:val="24"/>
                <w:highlight w:val="none"/>
                <w:vertAlign w:val="superscript"/>
                <w:lang w:val="en-US" w:eastAsia="zh-CN"/>
              </w:rPr>
              <w:t>2</w:t>
            </w:r>
            <w:r>
              <w:rPr>
                <w:rFonts w:hint="eastAsia" w:cs="Times New Roman"/>
                <w:b w:val="0"/>
                <w:bCs/>
                <w:color w:val="auto"/>
                <w:sz w:val="24"/>
                <w:szCs w:val="24"/>
                <w:highlight w:val="none"/>
                <w:vertAlign w:val="baseline"/>
                <w:lang w:val="en-US" w:eastAsia="zh-CN"/>
              </w:rPr>
              <w:t>，厂区内</w:t>
            </w:r>
            <w:r>
              <w:rPr>
                <w:rFonts w:hint="eastAsia" w:cs="Times New Roman"/>
                <w:b w:val="0"/>
                <w:bCs/>
                <w:color w:val="auto"/>
                <w:sz w:val="24"/>
                <w:szCs w:val="24"/>
                <w:highlight w:val="none"/>
                <w:lang w:val="en-US" w:eastAsia="zh-CN"/>
              </w:rPr>
              <w:t>新建锅炉房、</w:t>
            </w:r>
            <w:r>
              <w:rPr>
                <w:rFonts w:hint="eastAsia" w:cs="Times New Roman"/>
                <w:color w:val="auto"/>
                <w:sz w:val="24"/>
                <w:szCs w:val="24"/>
                <w:vertAlign w:val="baseline"/>
                <w:lang w:val="en-US" w:eastAsia="zh-CN"/>
              </w:rPr>
              <w:t>DN250管径</w:t>
            </w:r>
            <w:r>
              <w:rPr>
                <w:rFonts w:hint="eastAsia" w:ascii="Times New Roman" w:hAnsi="Times New Roman" w:cs="Times New Roman"/>
                <w:color w:val="auto"/>
                <w:sz w:val="24"/>
                <w:szCs w:val="24"/>
                <w:vertAlign w:val="baseline"/>
                <w:lang w:val="en-US" w:eastAsia="zh-CN"/>
              </w:rPr>
              <w:t>采暖供回水主干管道</w:t>
            </w:r>
            <w:r>
              <w:rPr>
                <w:rFonts w:hint="eastAsia" w:cs="Times New Roman"/>
                <w:b w:val="0"/>
                <w:bCs/>
                <w:color w:val="auto"/>
                <w:sz w:val="24"/>
                <w:szCs w:val="24"/>
                <w:highlight w:val="none"/>
                <w:lang w:val="en-US" w:eastAsia="zh-CN"/>
              </w:rPr>
              <w:t>375m</w:t>
            </w:r>
            <w:r>
              <w:rPr>
                <w:rFonts w:hint="eastAsia" w:ascii="Times New Roman" w:hAnsi="Times New Roman" w:cs="Times New Roman"/>
                <w:color w:val="auto"/>
                <w:sz w:val="24"/>
                <w:szCs w:val="24"/>
                <w:vertAlign w:val="baseline"/>
                <w:lang w:val="en-US" w:eastAsia="zh-CN"/>
              </w:rPr>
              <w:t>，</w:t>
            </w:r>
            <w:r>
              <w:rPr>
                <w:rFonts w:hint="eastAsia" w:cs="Times New Roman"/>
                <w:color w:val="auto"/>
                <w:sz w:val="24"/>
                <w:szCs w:val="24"/>
                <w:vertAlign w:val="baseline"/>
                <w:lang w:val="en-US" w:eastAsia="zh-CN"/>
              </w:rPr>
              <w:t>依托四排村现有DN250~32管径</w:t>
            </w:r>
            <w:r>
              <w:rPr>
                <w:rFonts w:hint="eastAsia" w:ascii="Times New Roman" w:hAnsi="Times New Roman" w:cs="Times New Roman"/>
                <w:color w:val="auto"/>
                <w:sz w:val="24"/>
                <w:szCs w:val="24"/>
                <w:vertAlign w:val="baseline"/>
                <w:lang w:val="en-US" w:eastAsia="zh-CN"/>
              </w:rPr>
              <w:t>采暖供回水干支管道</w:t>
            </w:r>
            <w:r>
              <w:rPr>
                <w:rFonts w:hint="eastAsia" w:cs="Times New Roman"/>
                <w:color w:val="auto"/>
                <w:sz w:val="24"/>
                <w:szCs w:val="24"/>
                <w:vertAlign w:val="baseline"/>
                <w:lang w:val="en-US" w:eastAsia="zh-CN"/>
              </w:rPr>
              <w:t>3615m</w:t>
            </w:r>
            <w:r>
              <w:rPr>
                <w:rFonts w:hint="eastAsia" w:ascii="Times New Roman" w:hAnsi="Times New Roman" w:cs="Times New Roman"/>
                <w:color w:val="auto"/>
                <w:sz w:val="24"/>
                <w:szCs w:val="24"/>
                <w:vertAlign w:val="baseline"/>
                <w:lang w:val="en-US" w:eastAsia="zh-CN"/>
              </w:rPr>
              <w:t>、更换入户处热计量装置；依托现有厂区内综合用房，不建设换热站。锅炉房内设置2台5.6MW生物质承压热水锅炉，</w:t>
            </w:r>
            <w:r>
              <w:rPr>
                <w:rFonts w:hint="eastAsia" w:cs="Times New Roman"/>
                <w:color w:val="auto"/>
                <w:sz w:val="24"/>
                <w:szCs w:val="24"/>
                <w:vertAlign w:val="baseline"/>
                <w:lang w:val="en-US" w:eastAsia="zh-CN"/>
              </w:rPr>
              <w:t>1</w:t>
            </w:r>
            <w:r>
              <w:rPr>
                <w:rFonts w:hint="eastAsia" w:ascii="Times New Roman" w:hAnsi="Times New Roman" w:cs="Times New Roman"/>
                <w:color w:val="auto"/>
                <w:sz w:val="24"/>
                <w:szCs w:val="24"/>
                <w:vertAlign w:val="baseline"/>
                <w:lang w:val="en-US" w:eastAsia="zh-CN"/>
              </w:rPr>
              <w:t>用</w:t>
            </w:r>
            <w:r>
              <w:rPr>
                <w:rFonts w:hint="eastAsia" w:cs="Times New Roman"/>
                <w:color w:val="auto"/>
                <w:sz w:val="24"/>
                <w:szCs w:val="24"/>
                <w:vertAlign w:val="baseline"/>
                <w:lang w:val="en-US" w:eastAsia="zh-CN"/>
              </w:rPr>
              <w:t>1</w:t>
            </w:r>
            <w:r>
              <w:rPr>
                <w:rFonts w:hint="eastAsia" w:ascii="Times New Roman" w:hAnsi="Times New Roman" w:cs="Times New Roman"/>
                <w:color w:val="auto"/>
                <w:sz w:val="24"/>
                <w:szCs w:val="24"/>
                <w:vertAlign w:val="baseline"/>
                <w:lang w:val="en-US" w:eastAsia="zh-CN"/>
              </w:rPr>
              <w:t>备，实际运行</w:t>
            </w:r>
            <w:r>
              <w:rPr>
                <w:rFonts w:hint="eastAsia" w:cs="Times New Roman"/>
                <w:color w:val="auto"/>
                <w:sz w:val="24"/>
                <w:szCs w:val="24"/>
                <w:vertAlign w:val="baseline"/>
                <w:lang w:val="en-US" w:eastAsia="zh-CN"/>
              </w:rPr>
              <w:t>1</w:t>
            </w:r>
            <w:r>
              <w:rPr>
                <w:rFonts w:hint="eastAsia" w:ascii="Times New Roman" w:hAnsi="Times New Roman" w:cs="Times New Roman"/>
                <w:color w:val="auto"/>
                <w:sz w:val="24"/>
                <w:szCs w:val="24"/>
                <w:vertAlign w:val="baseline"/>
                <w:lang w:val="en-US" w:eastAsia="zh-CN"/>
              </w:rPr>
              <w:t>台锅炉，备用锅炉仅在生产锅炉停运期间使用；同时配套2套板式换热机组（额定供水</w:t>
            </w:r>
            <w:r>
              <w:rPr>
                <w:rFonts w:hint="default" w:ascii="Times New Roman" w:hAnsi="Times New Roman" w:cs="Times New Roman"/>
                <w:color w:val="auto"/>
                <w:sz w:val="24"/>
                <w:szCs w:val="24"/>
                <w:vertAlign w:val="baseline"/>
                <w:lang w:val="en-US" w:eastAsia="zh-CN"/>
              </w:rPr>
              <w:t>温度</w:t>
            </w:r>
            <w:r>
              <w:rPr>
                <w:rFonts w:hint="eastAsia" w:ascii="Times New Roman" w:hAnsi="Times New Roman" w:cs="Times New Roman"/>
                <w:color w:val="auto"/>
                <w:sz w:val="24"/>
                <w:szCs w:val="24"/>
                <w:vertAlign w:val="baseline"/>
                <w:lang w:val="en-US" w:eastAsia="zh-CN"/>
              </w:rPr>
              <w:t>70</w:t>
            </w:r>
            <w:r>
              <w:rPr>
                <w:rFonts w:hint="default" w:ascii="Times New Roman" w:hAnsi="Times New Roman" w:cs="Times New Roman"/>
                <w:color w:val="auto"/>
                <w:sz w:val="24"/>
                <w:szCs w:val="24"/>
                <w:vertAlign w:val="baseline"/>
                <w:lang w:val="en-US" w:eastAsia="zh-CN"/>
              </w:rPr>
              <w:t>℃</w:t>
            </w:r>
            <w:r>
              <w:rPr>
                <w:rFonts w:hint="eastAsia" w:ascii="Times New Roman" w:hAnsi="Times New Roman" w:cs="Times New Roman"/>
                <w:color w:val="auto"/>
                <w:sz w:val="24"/>
                <w:szCs w:val="24"/>
                <w:vertAlign w:val="baseline"/>
                <w:lang w:val="en-US" w:eastAsia="zh-CN"/>
              </w:rPr>
              <w:t>，额定回水温度42</w:t>
            </w:r>
            <w:r>
              <w:rPr>
                <w:rFonts w:hint="default" w:ascii="Times New Roman" w:hAnsi="Times New Roman" w:cs="Times New Roman"/>
                <w:color w:val="auto"/>
                <w:sz w:val="24"/>
                <w:szCs w:val="24"/>
                <w:vertAlign w:val="baseline"/>
                <w:lang w:val="en-US" w:eastAsia="zh-CN"/>
              </w:rPr>
              <w:t>℃</w:t>
            </w:r>
            <w:r>
              <w:rPr>
                <w:rFonts w:hint="eastAsia" w:ascii="Times New Roman" w:hAnsi="Times New Roman" w:cs="Times New Roman"/>
                <w:color w:val="auto"/>
                <w:sz w:val="24"/>
                <w:szCs w:val="24"/>
                <w:vertAlign w:val="baseline"/>
                <w:lang w:val="en-US" w:eastAsia="zh-CN"/>
              </w:rPr>
              <w:t>）、1台全自动软化水装置及其他配套设施，主要用于四排村11栋住宅楼和9栋别墅的供热面积约30000</w:t>
            </w:r>
            <w:r>
              <w:rPr>
                <w:rFonts w:hint="eastAsia" w:cs="Times New Roman"/>
                <w:color w:val="auto"/>
                <w:sz w:val="24"/>
                <w:szCs w:val="24"/>
                <w:vertAlign w:val="baseline"/>
                <w:lang w:val="en-US" w:eastAsia="zh-CN"/>
              </w:rPr>
              <w:t>m</w:t>
            </w:r>
            <w:r>
              <w:rPr>
                <w:rFonts w:hint="eastAsia" w:cs="Times New Roman"/>
                <w:color w:val="auto"/>
                <w:sz w:val="24"/>
                <w:szCs w:val="24"/>
                <w:vertAlign w:val="superscript"/>
                <w:lang w:val="en-US" w:eastAsia="zh-CN"/>
              </w:rPr>
              <w:t>2</w:t>
            </w:r>
            <w:r>
              <w:rPr>
                <w:rFonts w:hint="eastAsia" w:ascii="Times New Roman" w:hAnsi="Times New Roman" w:cs="Times New Roman"/>
                <w:color w:val="auto"/>
                <w:sz w:val="24"/>
                <w:szCs w:val="24"/>
                <w:vertAlign w:val="baseline"/>
                <w:lang w:val="en-US" w:eastAsia="zh-CN"/>
              </w:rPr>
              <w:t>，运行时间</w:t>
            </w:r>
            <w:r>
              <w:rPr>
                <w:rFonts w:hint="eastAsia" w:cs="Times New Roman"/>
                <w:b w:val="0"/>
                <w:bCs/>
                <w:color w:val="auto"/>
                <w:sz w:val="24"/>
                <w:szCs w:val="24"/>
                <w:highlight w:val="none"/>
                <w:lang w:val="en-US" w:eastAsia="zh-CN"/>
              </w:rPr>
              <w:t>213天（10月1日至次年4月30日），平均日运行18小时，</w:t>
            </w:r>
            <w:r>
              <w:rPr>
                <w:rFonts w:hint="eastAsia" w:ascii="Times New Roman" w:hAnsi="Times New Roman" w:cs="Times New Roman"/>
                <w:b w:val="0"/>
                <w:bCs/>
                <w:color w:val="auto"/>
                <w:sz w:val="24"/>
                <w:szCs w:val="24"/>
                <w:highlight w:val="none"/>
                <w:lang w:val="en-US" w:eastAsia="zh-CN"/>
              </w:rPr>
              <w:t>非生产期间不供暖，消</w:t>
            </w:r>
            <w:r>
              <w:rPr>
                <w:rFonts w:hint="eastAsia" w:cs="Times New Roman"/>
                <w:b w:val="0"/>
                <w:bCs/>
                <w:color w:val="auto"/>
                <w:sz w:val="24"/>
                <w:szCs w:val="24"/>
                <w:highlight w:val="none"/>
                <w:lang w:val="en-US" w:eastAsia="zh-CN"/>
              </w:rPr>
              <w:t xml:space="preserve">耗燃料为生物质成型颗粒，劳动定员2人，两班制，工程建设内容详见下表。 </w:t>
            </w:r>
          </w:p>
          <w:p w14:paraId="6FF29A37">
            <w:pPr>
              <w:ind w:firstLine="422" w:firstLineChars="200"/>
              <w:jc w:val="center"/>
              <w:rPr>
                <w:b/>
                <w:bCs/>
                <w:color w:val="auto"/>
                <w:highlight w:val="none"/>
              </w:rPr>
            </w:pPr>
            <w:r>
              <w:rPr>
                <w:b/>
                <w:bCs/>
                <w:color w:val="auto"/>
                <w:highlight w:val="none"/>
              </w:rPr>
              <w:t>表2-1</w:t>
            </w:r>
            <w:r>
              <w:rPr>
                <w:rFonts w:hint="eastAsia"/>
                <w:b/>
                <w:bCs/>
                <w:color w:val="auto"/>
                <w:highlight w:val="none"/>
              </w:rPr>
              <w:t xml:space="preserve"> </w:t>
            </w:r>
            <w:r>
              <w:rPr>
                <w:rFonts w:hint="eastAsia"/>
                <w:b/>
                <w:bCs/>
                <w:color w:val="auto"/>
                <w:highlight w:val="none"/>
                <w:lang w:val="en-US" w:eastAsia="zh-CN"/>
              </w:rPr>
              <w:t xml:space="preserve"> </w:t>
            </w:r>
            <w:r>
              <w:rPr>
                <w:b/>
                <w:bCs/>
                <w:color w:val="auto"/>
                <w:highlight w:val="none"/>
              </w:rPr>
              <w:t>项目组成一览表</w:t>
            </w:r>
          </w:p>
          <w:tbl>
            <w:tblPr>
              <w:tblStyle w:val="20"/>
              <w:tblW w:w="8930"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3"/>
              <w:gridCol w:w="1018"/>
              <w:gridCol w:w="1208"/>
              <w:gridCol w:w="92"/>
              <w:gridCol w:w="5214"/>
              <w:gridCol w:w="955"/>
            </w:tblGrid>
            <w:tr w14:paraId="4EDD261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1" w:type="dxa"/>
                  <w:gridSpan w:val="2"/>
                  <w:tcBorders>
                    <w:tl2br w:val="nil"/>
                    <w:tr2bl w:val="nil"/>
                  </w:tcBorders>
                  <w:noWrap w:val="0"/>
                  <w:vAlign w:val="center"/>
                </w:tcPr>
                <w:p w14:paraId="5BE0E061">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项目类别</w:t>
                  </w:r>
                </w:p>
              </w:tc>
              <w:tc>
                <w:tcPr>
                  <w:tcW w:w="6514" w:type="dxa"/>
                  <w:gridSpan w:val="3"/>
                  <w:tcBorders>
                    <w:tl2br w:val="nil"/>
                    <w:tr2bl w:val="nil"/>
                  </w:tcBorders>
                  <w:noWrap w:val="0"/>
                  <w:vAlign w:val="center"/>
                </w:tcPr>
                <w:p w14:paraId="5AC7922C">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建设规模与内容</w:t>
                  </w:r>
                </w:p>
              </w:tc>
              <w:tc>
                <w:tcPr>
                  <w:tcW w:w="955" w:type="dxa"/>
                  <w:tcBorders>
                    <w:tl2br w:val="nil"/>
                    <w:tr2bl w:val="nil"/>
                  </w:tcBorders>
                  <w:noWrap w:val="0"/>
                  <w:vAlign w:val="center"/>
                </w:tcPr>
                <w:p w14:paraId="71189923">
                  <w:pPr>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备注</w:t>
                  </w:r>
                </w:p>
              </w:tc>
            </w:tr>
            <w:tr w14:paraId="0F1F91D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443" w:type="dxa"/>
                  <w:vMerge w:val="restart"/>
                  <w:tcBorders>
                    <w:tl2br w:val="nil"/>
                    <w:tr2bl w:val="nil"/>
                  </w:tcBorders>
                  <w:noWrap w:val="0"/>
                  <w:vAlign w:val="center"/>
                </w:tcPr>
                <w:p w14:paraId="72C7A2D4">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主体工程</w:t>
                  </w:r>
                </w:p>
              </w:tc>
              <w:tc>
                <w:tcPr>
                  <w:tcW w:w="1018" w:type="dxa"/>
                  <w:vMerge w:val="restart"/>
                  <w:tcBorders>
                    <w:tl2br w:val="nil"/>
                    <w:tr2bl w:val="nil"/>
                  </w:tcBorders>
                  <w:noWrap w:val="0"/>
                  <w:vAlign w:val="center"/>
                </w:tcPr>
                <w:p w14:paraId="31127023">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snapToGrid w:val="0"/>
                      <w:color w:val="auto"/>
                      <w:sz w:val="21"/>
                      <w:szCs w:val="21"/>
                      <w:highlight w:val="none"/>
                      <w:lang w:eastAsia="zh-CN"/>
                    </w:rPr>
                    <w:t>锅炉房</w:t>
                  </w:r>
                </w:p>
              </w:tc>
              <w:tc>
                <w:tcPr>
                  <w:tcW w:w="6514" w:type="dxa"/>
                  <w:gridSpan w:val="3"/>
                  <w:tcBorders>
                    <w:tl2br w:val="nil"/>
                    <w:tr2bl w:val="nil"/>
                  </w:tcBorders>
                  <w:noWrap w:val="0"/>
                  <w:vAlign w:val="center"/>
                </w:tcPr>
                <w:p w14:paraId="1DCFF518">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color w:val="auto"/>
                      <w:highlight w:val="none"/>
                      <w:lang w:val="en-US" w:eastAsia="zh-CN"/>
                    </w:rPr>
                  </w:pPr>
                  <w:r>
                    <w:rPr>
                      <w:rFonts w:hint="eastAsia" w:cs="Times New Roman"/>
                      <w:color w:val="auto"/>
                      <w:sz w:val="21"/>
                      <w:szCs w:val="21"/>
                      <w:highlight w:val="none"/>
                      <w:lang w:val="en-US" w:eastAsia="zh-CN"/>
                    </w:rPr>
                    <w:t>建筑面积1187.8</w:t>
                  </w:r>
                  <w:r>
                    <w:rPr>
                      <w:rFonts w:hint="default" w:ascii="Times New Roman" w:hAnsi="Times New Roman" w:cs="Times New Roman"/>
                      <w:color w:val="auto"/>
                      <w:sz w:val="21"/>
                      <w:szCs w:val="21"/>
                      <w:highlight w:val="none"/>
                      <w:lang w:val="en-US" w:eastAsia="zh-CN"/>
                    </w:rPr>
                    <w:t>m</w:t>
                  </w:r>
                  <w:r>
                    <w:rPr>
                      <w:rFonts w:hint="default" w:ascii="Times New Roman" w:hAnsi="Times New Roman" w:cs="Times New Roman"/>
                      <w:color w:val="auto"/>
                      <w:sz w:val="21"/>
                      <w:szCs w:val="21"/>
                      <w:highlight w:val="none"/>
                      <w:vertAlign w:val="superscript"/>
                      <w:lang w:val="en-US" w:eastAsia="zh-CN"/>
                    </w:rPr>
                    <w:t>2</w:t>
                  </w:r>
                  <w:r>
                    <w:rPr>
                      <w:rFonts w:hint="eastAsia" w:ascii="Times New Roman" w:hAnsi="Times New Roman" w:cs="Times New Roman"/>
                      <w:color w:val="auto"/>
                      <w:sz w:val="21"/>
                      <w:szCs w:val="21"/>
                      <w:highlight w:val="none"/>
                      <w:lang w:val="en-US" w:eastAsia="zh-CN"/>
                    </w:rPr>
                    <w:t>，位于厂区西北侧，设置2台5.6MW生物质承压热水锅炉，一用一备，实际运行一台锅炉，备用锅炉仅在生产锅炉停运期间使用；同时配套2套板式换热机组（额定供水</w:t>
                  </w:r>
                  <w:r>
                    <w:rPr>
                      <w:rFonts w:hint="default" w:ascii="Times New Roman" w:hAnsi="Times New Roman" w:cs="Times New Roman"/>
                      <w:color w:val="auto"/>
                      <w:sz w:val="21"/>
                      <w:szCs w:val="21"/>
                      <w:highlight w:val="none"/>
                      <w:lang w:val="en-US" w:eastAsia="zh-CN"/>
                    </w:rPr>
                    <w:t>温度</w:t>
                  </w:r>
                  <w:r>
                    <w:rPr>
                      <w:rFonts w:hint="eastAsia" w:ascii="Times New Roman" w:hAnsi="Times New Roman" w:cs="Times New Roman"/>
                      <w:color w:val="auto"/>
                      <w:sz w:val="21"/>
                      <w:szCs w:val="21"/>
                      <w:highlight w:val="none"/>
                      <w:lang w:val="en-US" w:eastAsia="zh-CN"/>
                    </w:rPr>
                    <w:t>70</w:t>
                  </w:r>
                  <w:r>
                    <w:rPr>
                      <w:rFonts w:hint="default" w:ascii="Times New Roman" w:hAnsi="Times New Roman"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，额定回水温度42</w:t>
                  </w:r>
                  <w:r>
                    <w:rPr>
                      <w:rFonts w:hint="default" w:ascii="Times New Roman" w:hAnsi="Times New Roman"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）、1台全自动软化水装置及其他配套设施，运行时间213天（10月1日至次年4月30日），平均日运行18小时，全年运行3834h，非生产期间不供暖。锅炉配套“旋风多管陶瓷除尘器+布袋除尘器”环保设施，设置1根35</w:t>
                  </w:r>
                  <w:r>
                    <w:rPr>
                      <w:rFonts w:hint="eastAsia" w:cs="Times New Roman"/>
                      <w:color w:val="auto"/>
                      <w:sz w:val="21"/>
                      <w:szCs w:val="21"/>
                      <w:highlight w:val="none"/>
                      <w:lang w:val="en-US" w:eastAsia="zh-CN"/>
                    </w:rPr>
                    <w:t>m</w:t>
                  </w:r>
                  <w:r>
                    <w:rPr>
                      <w:rFonts w:hint="eastAsia" w:ascii="Times New Roman" w:hAnsi="Times New Roman" w:cs="Times New Roman"/>
                      <w:color w:val="auto"/>
                      <w:sz w:val="21"/>
                      <w:szCs w:val="21"/>
                      <w:highlight w:val="none"/>
                      <w:lang w:val="en-US" w:eastAsia="zh-CN"/>
                    </w:rPr>
                    <w:t>高烟囱位于锅炉房西侧。</w:t>
                  </w:r>
                </w:p>
              </w:tc>
              <w:tc>
                <w:tcPr>
                  <w:tcW w:w="955" w:type="dxa"/>
                  <w:vMerge w:val="restart"/>
                  <w:tcBorders>
                    <w:tl2br w:val="nil"/>
                    <w:tr2bl w:val="nil"/>
                  </w:tcBorders>
                  <w:noWrap w:val="0"/>
                  <w:vAlign w:val="center"/>
                </w:tcPr>
                <w:p w14:paraId="3B9CF7F5">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新建</w:t>
                  </w:r>
                </w:p>
              </w:tc>
            </w:tr>
            <w:tr w14:paraId="7AE26CB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443" w:type="dxa"/>
                  <w:vMerge w:val="continue"/>
                  <w:tcBorders>
                    <w:tl2br w:val="nil"/>
                    <w:tr2bl w:val="nil"/>
                  </w:tcBorders>
                  <w:noWrap w:val="0"/>
                  <w:vAlign w:val="center"/>
                </w:tcPr>
                <w:p w14:paraId="42CF323A">
                  <w:pPr>
                    <w:jc w:val="center"/>
                    <w:rPr>
                      <w:rFonts w:hint="eastAsia" w:ascii="Times New Roman" w:hAnsi="Times New Roman" w:cs="Times New Roman"/>
                      <w:color w:val="auto"/>
                      <w:sz w:val="21"/>
                      <w:szCs w:val="21"/>
                      <w:highlight w:val="none"/>
                      <w:lang w:val="en-US" w:eastAsia="zh-CN"/>
                    </w:rPr>
                  </w:pPr>
                </w:p>
              </w:tc>
              <w:tc>
                <w:tcPr>
                  <w:tcW w:w="1018" w:type="dxa"/>
                  <w:vMerge w:val="continue"/>
                  <w:tcBorders>
                    <w:tl2br w:val="nil"/>
                    <w:tr2bl w:val="nil"/>
                  </w:tcBorders>
                  <w:noWrap w:val="0"/>
                  <w:vAlign w:val="center"/>
                </w:tcPr>
                <w:p w14:paraId="706AA612">
                  <w:pPr>
                    <w:adjustRightInd w:val="0"/>
                    <w:snapToGrid w:val="0"/>
                    <w:jc w:val="center"/>
                    <w:rPr>
                      <w:rFonts w:hint="default" w:ascii="Times New Roman" w:hAnsi="Times New Roman" w:cs="Times New Roman"/>
                      <w:snapToGrid w:val="0"/>
                      <w:color w:val="auto"/>
                      <w:sz w:val="21"/>
                      <w:szCs w:val="21"/>
                      <w:highlight w:val="none"/>
                      <w:lang w:eastAsia="zh-CN"/>
                    </w:rPr>
                  </w:pPr>
                </w:p>
              </w:tc>
              <w:tc>
                <w:tcPr>
                  <w:tcW w:w="1208" w:type="dxa"/>
                  <w:tcBorders>
                    <w:tl2br w:val="nil"/>
                    <w:tr2bl w:val="nil"/>
                  </w:tcBorders>
                  <w:noWrap w:val="0"/>
                  <w:vAlign w:val="center"/>
                </w:tcPr>
                <w:p w14:paraId="092A08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锅炉间</w:t>
                  </w:r>
                </w:p>
              </w:tc>
              <w:tc>
                <w:tcPr>
                  <w:tcW w:w="5306" w:type="dxa"/>
                  <w:gridSpan w:val="2"/>
                  <w:tcBorders>
                    <w:tl2br w:val="nil"/>
                    <w:tr2bl w:val="nil"/>
                  </w:tcBorders>
                  <w:noWrap w:val="0"/>
                  <w:vAlign w:val="center"/>
                </w:tcPr>
                <w:p w14:paraId="6B5653B1">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建筑面积383.4m</w:t>
                  </w:r>
                  <w:r>
                    <w:rPr>
                      <w:rFonts w:hint="eastAsia" w:cs="Times New Roman"/>
                      <w:color w:val="auto"/>
                      <w:sz w:val="21"/>
                      <w:szCs w:val="21"/>
                      <w:highlight w:val="none"/>
                      <w:vertAlign w:val="superscript"/>
                      <w:lang w:val="en-US" w:eastAsia="zh-CN"/>
                    </w:rPr>
                    <w:t>2</w:t>
                  </w:r>
                  <w:r>
                    <w:rPr>
                      <w:rFonts w:hint="eastAsia"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设置2台5.6MW生物质承压热水锅炉，</w:t>
                  </w:r>
                  <w:r>
                    <w:rPr>
                      <w:rFonts w:hint="eastAsia" w:cs="Times New Roman"/>
                      <w:color w:val="auto"/>
                      <w:sz w:val="21"/>
                      <w:szCs w:val="21"/>
                      <w:highlight w:val="none"/>
                      <w:lang w:val="en-US" w:eastAsia="zh-CN"/>
                    </w:rPr>
                    <w:t>1</w:t>
                  </w:r>
                  <w:r>
                    <w:rPr>
                      <w:rFonts w:hint="eastAsia" w:ascii="Times New Roman" w:hAnsi="Times New Roman" w:cs="Times New Roman"/>
                      <w:color w:val="auto"/>
                      <w:sz w:val="21"/>
                      <w:szCs w:val="21"/>
                      <w:highlight w:val="none"/>
                      <w:lang w:val="en-US" w:eastAsia="zh-CN"/>
                    </w:rPr>
                    <w:t>用</w:t>
                  </w:r>
                  <w:r>
                    <w:rPr>
                      <w:rFonts w:hint="eastAsia" w:cs="Times New Roman"/>
                      <w:color w:val="auto"/>
                      <w:sz w:val="21"/>
                      <w:szCs w:val="21"/>
                      <w:highlight w:val="none"/>
                      <w:lang w:val="en-US" w:eastAsia="zh-CN"/>
                    </w:rPr>
                    <w:t>1</w:t>
                  </w:r>
                  <w:r>
                    <w:rPr>
                      <w:rFonts w:hint="eastAsia" w:ascii="Times New Roman" w:hAnsi="Times New Roman" w:cs="Times New Roman"/>
                      <w:color w:val="auto"/>
                      <w:sz w:val="21"/>
                      <w:szCs w:val="21"/>
                      <w:highlight w:val="none"/>
                      <w:lang w:val="en-US" w:eastAsia="zh-CN"/>
                    </w:rPr>
                    <w:t>备，实际运行</w:t>
                  </w:r>
                  <w:r>
                    <w:rPr>
                      <w:rFonts w:hint="eastAsia" w:cs="Times New Roman"/>
                      <w:color w:val="auto"/>
                      <w:sz w:val="21"/>
                      <w:szCs w:val="21"/>
                      <w:highlight w:val="none"/>
                      <w:lang w:val="en-US" w:eastAsia="zh-CN"/>
                    </w:rPr>
                    <w:t>1</w:t>
                  </w:r>
                  <w:r>
                    <w:rPr>
                      <w:rFonts w:hint="eastAsia" w:ascii="Times New Roman" w:hAnsi="Times New Roman" w:cs="Times New Roman"/>
                      <w:color w:val="auto"/>
                      <w:sz w:val="21"/>
                      <w:szCs w:val="21"/>
                      <w:highlight w:val="none"/>
                      <w:lang w:val="en-US" w:eastAsia="zh-CN"/>
                    </w:rPr>
                    <w:t>台锅炉，备用锅炉仅在生产锅炉停运期间使用。</w:t>
                  </w:r>
                </w:p>
              </w:tc>
              <w:tc>
                <w:tcPr>
                  <w:tcW w:w="955" w:type="dxa"/>
                  <w:vMerge w:val="continue"/>
                  <w:tcBorders>
                    <w:tl2br w:val="nil"/>
                    <w:tr2bl w:val="nil"/>
                  </w:tcBorders>
                  <w:noWrap w:val="0"/>
                  <w:vAlign w:val="center"/>
                </w:tcPr>
                <w:p w14:paraId="281B3D0D">
                  <w:pPr>
                    <w:adjustRightInd w:val="0"/>
                    <w:snapToGrid w:val="0"/>
                    <w:jc w:val="center"/>
                    <w:rPr>
                      <w:rFonts w:hint="eastAsia" w:cs="Times New Roman"/>
                      <w:color w:val="auto"/>
                      <w:sz w:val="21"/>
                      <w:szCs w:val="21"/>
                      <w:highlight w:val="none"/>
                      <w:lang w:val="en-US" w:eastAsia="zh-CN"/>
                    </w:rPr>
                  </w:pPr>
                </w:p>
              </w:tc>
            </w:tr>
            <w:tr w14:paraId="3D0694F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3" w:type="dxa"/>
                  <w:vMerge w:val="continue"/>
                  <w:tcBorders>
                    <w:tl2br w:val="nil"/>
                    <w:tr2bl w:val="nil"/>
                  </w:tcBorders>
                  <w:noWrap w:val="0"/>
                  <w:vAlign w:val="center"/>
                </w:tcPr>
                <w:p w14:paraId="7246076A">
                  <w:pPr>
                    <w:jc w:val="center"/>
                    <w:rPr>
                      <w:rFonts w:hint="eastAsia" w:ascii="Times New Roman" w:hAnsi="Times New Roman" w:cs="Times New Roman"/>
                      <w:color w:val="auto"/>
                      <w:sz w:val="21"/>
                      <w:szCs w:val="21"/>
                      <w:highlight w:val="none"/>
                      <w:lang w:val="en-US" w:eastAsia="zh-CN"/>
                    </w:rPr>
                  </w:pPr>
                </w:p>
              </w:tc>
              <w:tc>
                <w:tcPr>
                  <w:tcW w:w="1018" w:type="dxa"/>
                  <w:vMerge w:val="continue"/>
                  <w:tcBorders>
                    <w:tl2br w:val="nil"/>
                    <w:tr2bl w:val="nil"/>
                  </w:tcBorders>
                  <w:noWrap w:val="0"/>
                  <w:vAlign w:val="center"/>
                </w:tcPr>
                <w:p w14:paraId="5AD17C72">
                  <w:pPr>
                    <w:adjustRightInd w:val="0"/>
                    <w:snapToGrid w:val="0"/>
                    <w:jc w:val="center"/>
                    <w:rPr>
                      <w:rFonts w:hint="default" w:ascii="Times New Roman" w:hAnsi="Times New Roman" w:cs="Times New Roman"/>
                      <w:snapToGrid w:val="0"/>
                      <w:color w:val="auto"/>
                      <w:sz w:val="21"/>
                      <w:szCs w:val="21"/>
                      <w:highlight w:val="none"/>
                      <w:lang w:eastAsia="zh-CN"/>
                    </w:rPr>
                  </w:pPr>
                </w:p>
              </w:tc>
              <w:tc>
                <w:tcPr>
                  <w:tcW w:w="1208" w:type="dxa"/>
                  <w:tcBorders>
                    <w:tl2br w:val="nil"/>
                    <w:tr2bl w:val="nil"/>
                  </w:tcBorders>
                  <w:noWrap w:val="0"/>
                  <w:vAlign w:val="center"/>
                </w:tcPr>
                <w:p w14:paraId="715215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除尘间</w:t>
                  </w:r>
                </w:p>
              </w:tc>
              <w:tc>
                <w:tcPr>
                  <w:tcW w:w="5306" w:type="dxa"/>
                  <w:gridSpan w:val="2"/>
                  <w:tcBorders>
                    <w:tl2br w:val="nil"/>
                    <w:tr2bl w:val="nil"/>
                  </w:tcBorders>
                  <w:noWrap w:val="0"/>
                  <w:vAlign w:val="center"/>
                </w:tcPr>
                <w:p w14:paraId="21E9DAE9">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建筑面积342.5m</w:t>
                  </w:r>
                  <w:r>
                    <w:rPr>
                      <w:rFonts w:hint="eastAsia" w:cs="Times New Roman"/>
                      <w:color w:val="auto"/>
                      <w:sz w:val="21"/>
                      <w:szCs w:val="21"/>
                      <w:highlight w:val="none"/>
                      <w:vertAlign w:val="superscript"/>
                      <w:lang w:val="en-US" w:eastAsia="zh-CN"/>
                    </w:rPr>
                    <w:t>2</w:t>
                  </w:r>
                  <w:r>
                    <w:rPr>
                      <w:rFonts w:hint="eastAsia" w:cs="Times New Roman"/>
                      <w:color w:val="auto"/>
                      <w:sz w:val="21"/>
                      <w:szCs w:val="21"/>
                      <w:highlight w:val="none"/>
                      <w:lang w:val="en-US" w:eastAsia="zh-CN"/>
                    </w:rPr>
                    <w:t>，设置2套</w:t>
                  </w:r>
                  <w:r>
                    <w:rPr>
                      <w:rFonts w:hint="eastAsia" w:ascii="Times New Roman" w:hAnsi="Times New Roman" w:cs="Times New Roman"/>
                      <w:color w:val="auto"/>
                      <w:sz w:val="21"/>
                      <w:szCs w:val="21"/>
                      <w:highlight w:val="none"/>
                      <w:lang w:val="en-US" w:eastAsia="zh-CN"/>
                    </w:rPr>
                    <w:t>“旋风多管陶瓷除尘器+布袋除尘器”环保设施、引风机等设备。</w:t>
                  </w:r>
                </w:p>
              </w:tc>
              <w:tc>
                <w:tcPr>
                  <w:tcW w:w="955" w:type="dxa"/>
                  <w:vMerge w:val="continue"/>
                  <w:tcBorders>
                    <w:tl2br w:val="nil"/>
                    <w:tr2bl w:val="nil"/>
                  </w:tcBorders>
                  <w:noWrap w:val="0"/>
                  <w:vAlign w:val="center"/>
                </w:tcPr>
                <w:p w14:paraId="5C6E93FB">
                  <w:pPr>
                    <w:adjustRightInd w:val="0"/>
                    <w:snapToGrid w:val="0"/>
                    <w:jc w:val="center"/>
                    <w:rPr>
                      <w:rFonts w:hint="eastAsia" w:cs="Times New Roman"/>
                      <w:color w:val="auto"/>
                      <w:sz w:val="21"/>
                      <w:szCs w:val="21"/>
                      <w:highlight w:val="none"/>
                      <w:lang w:val="en-US" w:eastAsia="zh-CN"/>
                    </w:rPr>
                  </w:pPr>
                </w:p>
              </w:tc>
            </w:tr>
            <w:tr w14:paraId="66C8848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3" w:type="dxa"/>
                  <w:vMerge w:val="continue"/>
                  <w:tcBorders>
                    <w:tl2br w:val="nil"/>
                    <w:tr2bl w:val="nil"/>
                  </w:tcBorders>
                  <w:noWrap w:val="0"/>
                  <w:vAlign w:val="center"/>
                </w:tcPr>
                <w:p w14:paraId="26DE821C">
                  <w:pPr>
                    <w:jc w:val="center"/>
                    <w:rPr>
                      <w:rFonts w:hint="eastAsia" w:ascii="Times New Roman" w:hAnsi="Times New Roman" w:cs="Times New Roman"/>
                      <w:color w:val="auto"/>
                      <w:sz w:val="21"/>
                      <w:szCs w:val="21"/>
                      <w:highlight w:val="none"/>
                      <w:lang w:val="en-US" w:eastAsia="zh-CN"/>
                    </w:rPr>
                  </w:pPr>
                </w:p>
              </w:tc>
              <w:tc>
                <w:tcPr>
                  <w:tcW w:w="1018" w:type="dxa"/>
                  <w:vMerge w:val="continue"/>
                  <w:tcBorders>
                    <w:tl2br w:val="nil"/>
                    <w:tr2bl w:val="nil"/>
                  </w:tcBorders>
                  <w:noWrap w:val="0"/>
                  <w:vAlign w:val="center"/>
                </w:tcPr>
                <w:p w14:paraId="755EA728">
                  <w:pPr>
                    <w:adjustRightInd w:val="0"/>
                    <w:snapToGrid w:val="0"/>
                    <w:jc w:val="center"/>
                    <w:rPr>
                      <w:rFonts w:hint="default" w:ascii="Times New Roman" w:hAnsi="Times New Roman" w:cs="Times New Roman"/>
                      <w:snapToGrid w:val="0"/>
                      <w:color w:val="auto"/>
                      <w:sz w:val="21"/>
                      <w:szCs w:val="21"/>
                      <w:highlight w:val="none"/>
                      <w:lang w:eastAsia="zh-CN"/>
                    </w:rPr>
                  </w:pPr>
                </w:p>
              </w:tc>
              <w:tc>
                <w:tcPr>
                  <w:tcW w:w="1208" w:type="dxa"/>
                  <w:tcBorders>
                    <w:tl2br w:val="nil"/>
                    <w:tr2bl w:val="nil"/>
                  </w:tcBorders>
                  <w:noWrap w:val="0"/>
                  <w:vAlign w:val="center"/>
                </w:tcPr>
                <w:p w14:paraId="088D92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水处理室</w:t>
                  </w:r>
                </w:p>
              </w:tc>
              <w:tc>
                <w:tcPr>
                  <w:tcW w:w="5306" w:type="dxa"/>
                  <w:gridSpan w:val="2"/>
                  <w:tcBorders>
                    <w:tl2br w:val="nil"/>
                    <w:tr2bl w:val="nil"/>
                  </w:tcBorders>
                  <w:noWrap w:val="0"/>
                  <w:vAlign w:val="center"/>
                </w:tcPr>
                <w:p w14:paraId="7D772F55">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建筑面积251.3m</w:t>
                  </w:r>
                  <w:r>
                    <w:rPr>
                      <w:rFonts w:hint="eastAsia" w:cs="Times New Roman"/>
                      <w:color w:val="auto"/>
                      <w:sz w:val="21"/>
                      <w:szCs w:val="21"/>
                      <w:highlight w:val="none"/>
                      <w:vertAlign w:val="superscript"/>
                      <w:lang w:val="en-US" w:eastAsia="zh-CN"/>
                    </w:rPr>
                    <w:t>2</w:t>
                  </w:r>
                  <w:r>
                    <w:rPr>
                      <w:rFonts w:hint="eastAsia" w:cs="Times New Roman"/>
                      <w:color w:val="auto"/>
                      <w:sz w:val="21"/>
                      <w:szCs w:val="21"/>
                      <w:highlight w:val="none"/>
                      <w:lang w:val="en-US" w:eastAsia="zh-CN"/>
                    </w:rPr>
                    <w:t>，设置2套</w:t>
                  </w:r>
                  <w:r>
                    <w:rPr>
                      <w:rFonts w:hint="eastAsia"/>
                      <w:sz w:val="21"/>
                      <w:szCs w:val="21"/>
                      <w:vertAlign w:val="baseline"/>
                      <w:lang w:val="en-US" w:eastAsia="zh-CN"/>
                    </w:rPr>
                    <w:t>板式换热机组</w:t>
                  </w:r>
                  <w:r>
                    <w:rPr>
                      <w:rFonts w:hint="eastAsia" w:cs="Times New Roman"/>
                      <w:color w:val="auto"/>
                      <w:sz w:val="21"/>
                      <w:szCs w:val="21"/>
                      <w:highlight w:val="none"/>
                      <w:lang w:val="en-US" w:eastAsia="zh-CN"/>
                    </w:rPr>
                    <w:t>、全自动软化水装置、</w:t>
                  </w:r>
                  <w:r>
                    <w:rPr>
                      <w:rFonts w:hint="eastAsia"/>
                      <w:sz w:val="21"/>
                      <w:szCs w:val="21"/>
                      <w:vertAlign w:val="baseline"/>
                      <w:lang w:val="en-US" w:eastAsia="zh-CN"/>
                    </w:rPr>
                    <w:t>一次水变频定压补水装置。</w:t>
                  </w:r>
                </w:p>
              </w:tc>
              <w:tc>
                <w:tcPr>
                  <w:tcW w:w="955" w:type="dxa"/>
                  <w:vMerge w:val="continue"/>
                  <w:tcBorders>
                    <w:tl2br w:val="nil"/>
                    <w:tr2bl w:val="nil"/>
                  </w:tcBorders>
                  <w:noWrap w:val="0"/>
                  <w:vAlign w:val="center"/>
                </w:tcPr>
                <w:p w14:paraId="2060BE98">
                  <w:pPr>
                    <w:adjustRightInd w:val="0"/>
                    <w:snapToGrid w:val="0"/>
                    <w:jc w:val="center"/>
                    <w:rPr>
                      <w:rFonts w:hint="eastAsia" w:cs="Times New Roman"/>
                      <w:color w:val="auto"/>
                      <w:sz w:val="21"/>
                      <w:szCs w:val="21"/>
                      <w:highlight w:val="none"/>
                      <w:lang w:val="en-US" w:eastAsia="zh-CN"/>
                    </w:rPr>
                  </w:pPr>
                </w:p>
              </w:tc>
            </w:tr>
            <w:tr w14:paraId="5E01DA0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3" w:type="dxa"/>
                  <w:vMerge w:val="continue"/>
                  <w:tcBorders>
                    <w:tl2br w:val="nil"/>
                    <w:tr2bl w:val="nil"/>
                  </w:tcBorders>
                  <w:noWrap w:val="0"/>
                  <w:vAlign w:val="center"/>
                </w:tcPr>
                <w:p w14:paraId="5C32A1A6">
                  <w:pPr>
                    <w:jc w:val="center"/>
                    <w:rPr>
                      <w:rFonts w:hint="eastAsia" w:ascii="Times New Roman" w:hAnsi="Times New Roman" w:cs="Times New Roman"/>
                      <w:color w:val="auto"/>
                      <w:sz w:val="21"/>
                      <w:szCs w:val="21"/>
                      <w:highlight w:val="none"/>
                      <w:lang w:val="en-US" w:eastAsia="zh-CN"/>
                    </w:rPr>
                  </w:pPr>
                </w:p>
              </w:tc>
              <w:tc>
                <w:tcPr>
                  <w:tcW w:w="1018" w:type="dxa"/>
                  <w:vMerge w:val="continue"/>
                  <w:tcBorders>
                    <w:tl2br w:val="nil"/>
                    <w:tr2bl w:val="nil"/>
                  </w:tcBorders>
                  <w:noWrap w:val="0"/>
                  <w:vAlign w:val="center"/>
                </w:tcPr>
                <w:p w14:paraId="76B2F5C8">
                  <w:pPr>
                    <w:adjustRightInd w:val="0"/>
                    <w:snapToGrid w:val="0"/>
                    <w:jc w:val="center"/>
                    <w:rPr>
                      <w:rFonts w:hint="default" w:ascii="Times New Roman" w:hAnsi="Times New Roman" w:cs="Times New Roman"/>
                      <w:snapToGrid w:val="0"/>
                      <w:color w:val="auto"/>
                      <w:sz w:val="21"/>
                      <w:szCs w:val="21"/>
                      <w:highlight w:val="none"/>
                      <w:lang w:eastAsia="zh-CN"/>
                    </w:rPr>
                  </w:pPr>
                </w:p>
              </w:tc>
              <w:tc>
                <w:tcPr>
                  <w:tcW w:w="1208" w:type="dxa"/>
                  <w:tcBorders>
                    <w:tl2br w:val="nil"/>
                    <w:tr2bl w:val="nil"/>
                  </w:tcBorders>
                  <w:noWrap w:val="0"/>
                  <w:vAlign w:val="center"/>
                </w:tcPr>
                <w:p w14:paraId="757AB1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值班室</w:t>
                  </w:r>
                </w:p>
              </w:tc>
              <w:tc>
                <w:tcPr>
                  <w:tcW w:w="5306" w:type="dxa"/>
                  <w:gridSpan w:val="2"/>
                  <w:tcBorders>
                    <w:tl2br w:val="nil"/>
                    <w:tr2bl w:val="nil"/>
                  </w:tcBorders>
                  <w:noWrap w:val="0"/>
                  <w:vAlign w:val="center"/>
                </w:tcPr>
                <w:p w14:paraId="1229BEE6">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建筑面积36.2m</w:t>
                  </w:r>
                  <w:r>
                    <w:rPr>
                      <w:rFonts w:hint="eastAsia" w:cs="Times New Roman"/>
                      <w:color w:val="auto"/>
                      <w:sz w:val="21"/>
                      <w:szCs w:val="21"/>
                      <w:highlight w:val="none"/>
                      <w:vertAlign w:val="superscript"/>
                      <w:lang w:val="en-US" w:eastAsia="zh-CN"/>
                    </w:rPr>
                    <w:t>2</w:t>
                  </w:r>
                  <w:r>
                    <w:rPr>
                      <w:rFonts w:hint="eastAsia" w:cs="Times New Roman"/>
                      <w:color w:val="auto"/>
                      <w:sz w:val="21"/>
                      <w:szCs w:val="21"/>
                      <w:highlight w:val="none"/>
                      <w:lang w:val="en-US" w:eastAsia="zh-CN"/>
                    </w:rPr>
                    <w:t>，职工值班场所。</w:t>
                  </w:r>
                </w:p>
              </w:tc>
              <w:tc>
                <w:tcPr>
                  <w:tcW w:w="955" w:type="dxa"/>
                  <w:vMerge w:val="continue"/>
                  <w:tcBorders>
                    <w:tl2br w:val="nil"/>
                    <w:tr2bl w:val="nil"/>
                  </w:tcBorders>
                  <w:noWrap w:val="0"/>
                  <w:vAlign w:val="center"/>
                </w:tcPr>
                <w:p w14:paraId="5D3BA13D">
                  <w:pPr>
                    <w:adjustRightInd w:val="0"/>
                    <w:snapToGrid w:val="0"/>
                    <w:jc w:val="center"/>
                    <w:rPr>
                      <w:rFonts w:hint="eastAsia" w:cs="Times New Roman"/>
                      <w:color w:val="auto"/>
                      <w:sz w:val="21"/>
                      <w:szCs w:val="21"/>
                      <w:highlight w:val="none"/>
                      <w:lang w:val="en-US" w:eastAsia="zh-CN"/>
                    </w:rPr>
                  </w:pPr>
                </w:p>
              </w:tc>
            </w:tr>
            <w:tr w14:paraId="045684A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3" w:type="dxa"/>
                  <w:vMerge w:val="continue"/>
                  <w:tcBorders>
                    <w:tl2br w:val="nil"/>
                    <w:tr2bl w:val="nil"/>
                  </w:tcBorders>
                  <w:noWrap w:val="0"/>
                  <w:vAlign w:val="center"/>
                </w:tcPr>
                <w:p w14:paraId="25DFE41B">
                  <w:pPr>
                    <w:jc w:val="center"/>
                    <w:rPr>
                      <w:rFonts w:hint="eastAsia" w:ascii="Times New Roman" w:hAnsi="Times New Roman" w:cs="Times New Roman"/>
                      <w:color w:val="auto"/>
                      <w:sz w:val="21"/>
                      <w:szCs w:val="21"/>
                      <w:highlight w:val="none"/>
                      <w:lang w:val="en-US" w:eastAsia="zh-CN"/>
                    </w:rPr>
                  </w:pPr>
                </w:p>
              </w:tc>
              <w:tc>
                <w:tcPr>
                  <w:tcW w:w="1018" w:type="dxa"/>
                  <w:vMerge w:val="continue"/>
                  <w:tcBorders>
                    <w:tl2br w:val="nil"/>
                    <w:tr2bl w:val="nil"/>
                  </w:tcBorders>
                  <w:noWrap w:val="0"/>
                  <w:vAlign w:val="center"/>
                </w:tcPr>
                <w:p w14:paraId="3AAA1DE3">
                  <w:pPr>
                    <w:adjustRightInd w:val="0"/>
                    <w:snapToGrid w:val="0"/>
                    <w:jc w:val="center"/>
                    <w:rPr>
                      <w:rFonts w:hint="default" w:ascii="Times New Roman" w:hAnsi="Times New Roman" w:cs="Times New Roman"/>
                      <w:snapToGrid w:val="0"/>
                      <w:color w:val="auto"/>
                      <w:sz w:val="21"/>
                      <w:szCs w:val="21"/>
                      <w:highlight w:val="none"/>
                      <w:lang w:eastAsia="zh-CN"/>
                    </w:rPr>
                  </w:pPr>
                </w:p>
              </w:tc>
              <w:tc>
                <w:tcPr>
                  <w:tcW w:w="1208" w:type="dxa"/>
                  <w:tcBorders>
                    <w:tl2br w:val="nil"/>
                    <w:tr2bl w:val="nil"/>
                  </w:tcBorders>
                  <w:noWrap w:val="0"/>
                  <w:vAlign w:val="center"/>
                </w:tcPr>
                <w:p w14:paraId="3E4399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控制室</w:t>
                  </w:r>
                </w:p>
              </w:tc>
              <w:tc>
                <w:tcPr>
                  <w:tcW w:w="5306" w:type="dxa"/>
                  <w:gridSpan w:val="2"/>
                  <w:tcBorders>
                    <w:tl2br w:val="nil"/>
                    <w:tr2bl w:val="nil"/>
                  </w:tcBorders>
                  <w:noWrap w:val="0"/>
                  <w:vAlign w:val="center"/>
                </w:tcPr>
                <w:p w14:paraId="12F1671D">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建筑面积34.9m</w:t>
                  </w:r>
                  <w:r>
                    <w:rPr>
                      <w:rFonts w:hint="eastAsia" w:cs="Times New Roman"/>
                      <w:color w:val="auto"/>
                      <w:sz w:val="21"/>
                      <w:szCs w:val="21"/>
                      <w:highlight w:val="none"/>
                      <w:vertAlign w:val="superscript"/>
                      <w:lang w:val="en-US" w:eastAsia="zh-CN"/>
                    </w:rPr>
                    <w:t>2</w:t>
                  </w:r>
                  <w:r>
                    <w:rPr>
                      <w:rFonts w:hint="eastAsia" w:cs="Times New Roman"/>
                      <w:color w:val="auto"/>
                      <w:sz w:val="21"/>
                      <w:szCs w:val="21"/>
                      <w:highlight w:val="none"/>
                      <w:lang w:val="en-US" w:eastAsia="zh-CN"/>
                    </w:rPr>
                    <w:t>，锅炉设备控制场所。</w:t>
                  </w:r>
                </w:p>
              </w:tc>
              <w:tc>
                <w:tcPr>
                  <w:tcW w:w="955" w:type="dxa"/>
                  <w:vMerge w:val="continue"/>
                  <w:tcBorders>
                    <w:tl2br w:val="nil"/>
                    <w:tr2bl w:val="nil"/>
                  </w:tcBorders>
                  <w:noWrap w:val="0"/>
                  <w:vAlign w:val="center"/>
                </w:tcPr>
                <w:p w14:paraId="7A911308">
                  <w:pPr>
                    <w:adjustRightInd w:val="0"/>
                    <w:snapToGrid w:val="0"/>
                    <w:jc w:val="center"/>
                    <w:rPr>
                      <w:rFonts w:hint="eastAsia" w:cs="Times New Roman"/>
                      <w:color w:val="auto"/>
                      <w:sz w:val="21"/>
                      <w:szCs w:val="21"/>
                      <w:highlight w:val="none"/>
                      <w:lang w:val="en-US" w:eastAsia="zh-CN"/>
                    </w:rPr>
                  </w:pPr>
                </w:p>
              </w:tc>
            </w:tr>
            <w:tr w14:paraId="68026E5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443" w:type="dxa"/>
                  <w:vMerge w:val="continue"/>
                  <w:tcBorders>
                    <w:tl2br w:val="nil"/>
                    <w:tr2bl w:val="nil"/>
                  </w:tcBorders>
                  <w:noWrap w:val="0"/>
                  <w:vAlign w:val="center"/>
                </w:tcPr>
                <w:p w14:paraId="51CAD8AC">
                  <w:pPr>
                    <w:jc w:val="center"/>
                    <w:rPr>
                      <w:rFonts w:hint="eastAsia" w:ascii="Times New Roman" w:hAnsi="Times New Roman" w:cs="Times New Roman"/>
                      <w:color w:val="auto"/>
                      <w:sz w:val="21"/>
                      <w:szCs w:val="21"/>
                      <w:highlight w:val="none"/>
                      <w:lang w:val="en-US" w:eastAsia="zh-CN"/>
                    </w:rPr>
                  </w:pPr>
                </w:p>
              </w:tc>
              <w:tc>
                <w:tcPr>
                  <w:tcW w:w="1018" w:type="dxa"/>
                  <w:vMerge w:val="restart"/>
                  <w:tcBorders>
                    <w:tl2br w:val="nil"/>
                    <w:tr2bl w:val="nil"/>
                  </w:tcBorders>
                  <w:noWrap w:val="0"/>
                  <w:vAlign w:val="center"/>
                </w:tcPr>
                <w:p w14:paraId="5CEEF6F4">
                  <w:pPr>
                    <w:adjustRightInd w:val="0"/>
                    <w:snapToGrid w:val="0"/>
                    <w:jc w:val="center"/>
                    <w:rPr>
                      <w:rFonts w:hint="default" w:ascii="Times New Roman" w:hAnsi="Times New Roman" w:cs="Times New Roman"/>
                      <w:snapToGrid w:val="0"/>
                      <w:color w:val="auto"/>
                      <w:sz w:val="21"/>
                      <w:szCs w:val="21"/>
                      <w:highlight w:val="none"/>
                      <w:lang w:val="en-US" w:eastAsia="zh-CN"/>
                    </w:rPr>
                  </w:pPr>
                  <w:r>
                    <w:rPr>
                      <w:rFonts w:hint="eastAsia" w:cs="Times New Roman"/>
                      <w:snapToGrid w:val="0"/>
                      <w:color w:val="auto"/>
                      <w:sz w:val="21"/>
                      <w:szCs w:val="21"/>
                      <w:highlight w:val="none"/>
                      <w:lang w:val="en-US" w:eastAsia="zh-CN"/>
                    </w:rPr>
                    <w:t>供热管网、</w:t>
                  </w:r>
                  <w:r>
                    <w:rPr>
                      <w:rFonts w:hint="eastAsia" w:ascii="Times New Roman" w:hAnsi="Times New Roman" w:cs="Times New Roman"/>
                      <w:color w:val="auto"/>
                      <w:sz w:val="21"/>
                      <w:szCs w:val="21"/>
                      <w:highlight w:val="none"/>
                      <w:lang w:val="en-US" w:eastAsia="zh-CN"/>
                    </w:rPr>
                    <w:t>入户处热计量装置</w:t>
                  </w:r>
                </w:p>
              </w:tc>
              <w:tc>
                <w:tcPr>
                  <w:tcW w:w="6514" w:type="dxa"/>
                  <w:gridSpan w:val="3"/>
                  <w:tcBorders>
                    <w:tl2br w:val="nil"/>
                    <w:tr2bl w:val="nil"/>
                  </w:tcBorders>
                  <w:noWrap w:val="0"/>
                  <w:vAlign w:val="center"/>
                </w:tcPr>
                <w:p w14:paraId="0DF94548">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新建DN250管径采暖供回水主干管道375</w:t>
                  </w:r>
                  <w:r>
                    <w:rPr>
                      <w:rFonts w:hint="eastAsia" w:cs="Times New Roman"/>
                      <w:color w:val="auto"/>
                      <w:sz w:val="21"/>
                      <w:szCs w:val="21"/>
                      <w:highlight w:val="none"/>
                      <w:lang w:val="en-US" w:eastAsia="zh-CN"/>
                    </w:rPr>
                    <w:t>m，</w:t>
                  </w:r>
                  <w:r>
                    <w:rPr>
                      <w:rFonts w:hint="eastAsia" w:ascii="Times New Roman" w:hAnsi="Times New Roman" w:cs="Times New Roman"/>
                      <w:color w:val="auto"/>
                      <w:sz w:val="21"/>
                      <w:szCs w:val="21"/>
                      <w:highlight w:val="none"/>
                      <w:lang w:val="en-US" w:eastAsia="zh-CN"/>
                    </w:rPr>
                    <w:t>室外管道采用直埋敷设，用预制保温管（管中管），预制保温管道主管采用无缝钢管，保温材料为聚氨酯泡沫塑料，外护管为HDPE高密度聚乙烯。</w:t>
                  </w:r>
                  <w:r>
                    <w:rPr>
                      <w:rFonts w:hint="eastAsia" w:cs="Times New Roman"/>
                      <w:color w:val="auto"/>
                      <w:sz w:val="21"/>
                      <w:szCs w:val="21"/>
                      <w:highlight w:val="none"/>
                      <w:lang w:val="en-US" w:eastAsia="zh-CN"/>
                    </w:rPr>
                    <w:t>依托现有</w:t>
                  </w:r>
                  <w:r>
                    <w:rPr>
                      <w:rFonts w:hint="eastAsia" w:ascii="Times New Roman" w:hAnsi="Times New Roman" w:cs="Times New Roman"/>
                      <w:color w:val="auto"/>
                      <w:sz w:val="21"/>
                      <w:szCs w:val="21"/>
                      <w:highlight w:val="none"/>
                      <w:lang w:val="en-US" w:eastAsia="zh-CN"/>
                    </w:rPr>
                    <w:t>DN250管径采暖供回水主干管道</w:t>
                  </w:r>
                  <w:r>
                    <w:rPr>
                      <w:rFonts w:hint="eastAsia" w:cs="Times New Roman"/>
                      <w:color w:val="auto"/>
                      <w:sz w:val="21"/>
                      <w:szCs w:val="21"/>
                      <w:highlight w:val="none"/>
                      <w:lang w:val="en-US" w:eastAsia="zh-CN"/>
                    </w:rPr>
                    <w:t>645m、</w:t>
                  </w:r>
                  <w:r>
                    <w:rPr>
                      <w:rFonts w:hint="eastAsia" w:ascii="Times New Roman" w:hAnsi="Times New Roman" w:cs="Times New Roman"/>
                      <w:color w:val="auto"/>
                      <w:sz w:val="21"/>
                      <w:szCs w:val="21"/>
                      <w:highlight w:val="none"/>
                      <w:lang w:val="en-US" w:eastAsia="zh-CN"/>
                    </w:rPr>
                    <w:t>DN2</w:t>
                  </w:r>
                  <w:r>
                    <w:rPr>
                      <w:rFonts w:hint="eastAsia" w:cs="Times New Roman"/>
                      <w:color w:val="auto"/>
                      <w:sz w:val="21"/>
                      <w:szCs w:val="21"/>
                      <w:highlight w:val="none"/>
                      <w:lang w:val="en-US" w:eastAsia="zh-CN"/>
                    </w:rPr>
                    <w:t>0</w:t>
                  </w:r>
                  <w:r>
                    <w:rPr>
                      <w:rFonts w:hint="eastAsia" w:ascii="Times New Roman" w:hAnsi="Times New Roman" w:cs="Times New Roman"/>
                      <w:color w:val="auto"/>
                      <w:sz w:val="21"/>
                      <w:szCs w:val="21"/>
                      <w:highlight w:val="none"/>
                      <w:lang w:val="en-US" w:eastAsia="zh-CN"/>
                    </w:rPr>
                    <w:t>0管径采暖供回水主干管道</w:t>
                  </w:r>
                  <w:r>
                    <w:rPr>
                      <w:rFonts w:hint="eastAsia" w:cs="Times New Roman"/>
                      <w:color w:val="auto"/>
                      <w:sz w:val="21"/>
                      <w:szCs w:val="21"/>
                      <w:highlight w:val="none"/>
                      <w:lang w:val="en-US" w:eastAsia="zh-CN"/>
                    </w:rPr>
                    <w:t>1020m、</w:t>
                  </w:r>
                  <w:r>
                    <w:rPr>
                      <w:rFonts w:hint="eastAsia" w:ascii="Times New Roman" w:hAnsi="Times New Roman" w:cs="Times New Roman"/>
                      <w:color w:val="auto"/>
                      <w:sz w:val="21"/>
                      <w:szCs w:val="21"/>
                      <w:highlight w:val="none"/>
                      <w:lang w:val="en-US" w:eastAsia="zh-CN"/>
                    </w:rPr>
                    <w:t>DN</w:t>
                  </w:r>
                  <w:r>
                    <w:rPr>
                      <w:rFonts w:hint="eastAsia" w:cs="Times New Roman"/>
                      <w:color w:val="auto"/>
                      <w:sz w:val="21"/>
                      <w:szCs w:val="21"/>
                      <w:highlight w:val="none"/>
                      <w:lang w:val="en-US" w:eastAsia="zh-CN"/>
                    </w:rPr>
                    <w:t>8</w:t>
                  </w:r>
                  <w:r>
                    <w:rPr>
                      <w:rFonts w:hint="eastAsia" w:ascii="Times New Roman" w:hAnsi="Times New Roman" w:cs="Times New Roman"/>
                      <w:color w:val="auto"/>
                      <w:sz w:val="21"/>
                      <w:szCs w:val="21"/>
                      <w:highlight w:val="none"/>
                      <w:lang w:val="en-US" w:eastAsia="zh-CN"/>
                    </w:rPr>
                    <w:t>0管径采暖供回水</w:t>
                  </w:r>
                  <w:r>
                    <w:rPr>
                      <w:rFonts w:hint="eastAsia" w:cs="Times New Roman"/>
                      <w:color w:val="auto"/>
                      <w:sz w:val="21"/>
                      <w:szCs w:val="21"/>
                      <w:highlight w:val="none"/>
                      <w:lang w:val="en-US" w:eastAsia="zh-CN"/>
                    </w:rPr>
                    <w:t>支干</w:t>
                  </w:r>
                  <w:r>
                    <w:rPr>
                      <w:rFonts w:hint="eastAsia" w:ascii="Times New Roman" w:hAnsi="Times New Roman" w:cs="Times New Roman"/>
                      <w:color w:val="auto"/>
                      <w:sz w:val="21"/>
                      <w:szCs w:val="21"/>
                      <w:highlight w:val="none"/>
                      <w:lang w:val="en-US" w:eastAsia="zh-CN"/>
                    </w:rPr>
                    <w:t>管道</w:t>
                  </w:r>
                  <w:r>
                    <w:rPr>
                      <w:rFonts w:hint="eastAsia" w:cs="Times New Roman"/>
                      <w:color w:val="auto"/>
                      <w:sz w:val="21"/>
                      <w:szCs w:val="21"/>
                      <w:highlight w:val="none"/>
                      <w:lang w:val="en-US" w:eastAsia="zh-CN"/>
                    </w:rPr>
                    <w:t>480m、</w:t>
                  </w:r>
                  <w:r>
                    <w:rPr>
                      <w:rFonts w:hint="eastAsia" w:ascii="Times New Roman" w:hAnsi="Times New Roman" w:cs="Times New Roman"/>
                      <w:color w:val="auto"/>
                      <w:sz w:val="21"/>
                      <w:szCs w:val="21"/>
                      <w:highlight w:val="none"/>
                      <w:lang w:val="en-US" w:eastAsia="zh-CN"/>
                    </w:rPr>
                    <w:t>DN</w:t>
                  </w:r>
                  <w:r>
                    <w:rPr>
                      <w:rFonts w:hint="eastAsia" w:cs="Times New Roman"/>
                      <w:color w:val="auto"/>
                      <w:sz w:val="21"/>
                      <w:szCs w:val="21"/>
                      <w:highlight w:val="none"/>
                      <w:lang w:val="en-US" w:eastAsia="zh-CN"/>
                    </w:rPr>
                    <w:t>7</w:t>
                  </w:r>
                  <w:r>
                    <w:rPr>
                      <w:rFonts w:hint="eastAsia" w:ascii="Times New Roman" w:hAnsi="Times New Roman" w:cs="Times New Roman"/>
                      <w:color w:val="auto"/>
                      <w:sz w:val="21"/>
                      <w:szCs w:val="21"/>
                      <w:highlight w:val="none"/>
                      <w:lang w:val="en-US" w:eastAsia="zh-CN"/>
                    </w:rPr>
                    <w:t>0管径采暖供回水</w:t>
                  </w:r>
                  <w:r>
                    <w:rPr>
                      <w:rFonts w:hint="eastAsia" w:cs="Times New Roman"/>
                      <w:color w:val="auto"/>
                      <w:sz w:val="21"/>
                      <w:szCs w:val="21"/>
                      <w:highlight w:val="none"/>
                      <w:lang w:val="en-US" w:eastAsia="zh-CN"/>
                    </w:rPr>
                    <w:t>支干</w:t>
                  </w:r>
                  <w:r>
                    <w:rPr>
                      <w:rFonts w:hint="eastAsia" w:ascii="Times New Roman" w:hAnsi="Times New Roman" w:cs="Times New Roman"/>
                      <w:color w:val="auto"/>
                      <w:sz w:val="21"/>
                      <w:szCs w:val="21"/>
                      <w:highlight w:val="none"/>
                      <w:lang w:val="en-US" w:eastAsia="zh-CN"/>
                    </w:rPr>
                    <w:t>管道</w:t>
                  </w:r>
                  <w:r>
                    <w:rPr>
                      <w:rFonts w:hint="eastAsia" w:cs="Times New Roman"/>
                      <w:color w:val="auto"/>
                      <w:sz w:val="21"/>
                      <w:szCs w:val="21"/>
                      <w:highlight w:val="none"/>
                      <w:lang w:val="en-US" w:eastAsia="zh-CN"/>
                    </w:rPr>
                    <w:t>1360m、</w:t>
                  </w:r>
                  <w:r>
                    <w:rPr>
                      <w:rFonts w:hint="eastAsia" w:ascii="Times New Roman" w:hAnsi="Times New Roman" w:cs="Times New Roman"/>
                      <w:color w:val="auto"/>
                      <w:sz w:val="21"/>
                      <w:szCs w:val="21"/>
                      <w:highlight w:val="none"/>
                      <w:lang w:val="en-US" w:eastAsia="zh-CN"/>
                    </w:rPr>
                    <w:t>DN</w:t>
                  </w:r>
                  <w:r>
                    <w:rPr>
                      <w:rFonts w:hint="eastAsia" w:cs="Times New Roman"/>
                      <w:color w:val="auto"/>
                      <w:sz w:val="21"/>
                      <w:szCs w:val="21"/>
                      <w:highlight w:val="none"/>
                      <w:lang w:val="en-US" w:eastAsia="zh-CN"/>
                    </w:rPr>
                    <w:t>32</w:t>
                  </w:r>
                  <w:r>
                    <w:rPr>
                      <w:rFonts w:hint="eastAsia" w:ascii="Times New Roman" w:hAnsi="Times New Roman" w:cs="Times New Roman"/>
                      <w:color w:val="auto"/>
                      <w:sz w:val="21"/>
                      <w:szCs w:val="21"/>
                      <w:highlight w:val="none"/>
                      <w:lang w:val="en-US" w:eastAsia="zh-CN"/>
                    </w:rPr>
                    <w:t>管径采暖供回水</w:t>
                  </w:r>
                  <w:r>
                    <w:rPr>
                      <w:rFonts w:hint="eastAsia" w:cs="Times New Roman"/>
                      <w:color w:val="auto"/>
                      <w:sz w:val="21"/>
                      <w:szCs w:val="21"/>
                      <w:highlight w:val="none"/>
                      <w:lang w:val="en-US" w:eastAsia="zh-CN"/>
                    </w:rPr>
                    <w:t>支</w:t>
                  </w:r>
                  <w:r>
                    <w:rPr>
                      <w:rFonts w:hint="eastAsia" w:ascii="Times New Roman" w:hAnsi="Times New Roman" w:cs="Times New Roman"/>
                      <w:color w:val="auto"/>
                      <w:sz w:val="21"/>
                      <w:szCs w:val="21"/>
                      <w:highlight w:val="none"/>
                      <w:lang w:val="en-US" w:eastAsia="zh-CN"/>
                    </w:rPr>
                    <w:t>管道</w:t>
                  </w:r>
                  <w:r>
                    <w:rPr>
                      <w:rFonts w:hint="eastAsia" w:cs="Times New Roman"/>
                      <w:color w:val="auto"/>
                      <w:sz w:val="21"/>
                      <w:szCs w:val="21"/>
                      <w:highlight w:val="none"/>
                      <w:lang w:val="en-US" w:eastAsia="zh-CN"/>
                    </w:rPr>
                    <w:t>110m。依托现有3座热力阀门井。</w:t>
                  </w:r>
                </w:p>
              </w:tc>
              <w:tc>
                <w:tcPr>
                  <w:tcW w:w="955" w:type="dxa"/>
                  <w:tcBorders>
                    <w:tl2br w:val="nil"/>
                    <w:tr2bl w:val="nil"/>
                  </w:tcBorders>
                  <w:noWrap w:val="0"/>
                  <w:vAlign w:val="center"/>
                </w:tcPr>
                <w:p w14:paraId="04F7D396">
                  <w:pPr>
                    <w:adjustRightInd w:val="0"/>
                    <w:snapToGrid w:val="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新建/依托</w:t>
                  </w:r>
                </w:p>
              </w:tc>
            </w:tr>
            <w:tr w14:paraId="275CEC0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443" w:type="dxa"/>
                  <w:vMerge w:val="continue"/>
                  <w:tcBorders>
                    <w:tl2br w:val="nil"/>
                    <w:tr2bl w:val="nil"/>
                  </w:tcBorders>
                  <w:noWrap w:val="0"/>
                  <w:vAlign w:val="center"/>
                </w:tcPr>
                <w:p w14:paraId="6BA98302">
                  <w:pPr>
                    <w:jc w:val="center"/>
                    <w:rPr>
                      <w:rFonts w:hint="eastAsia" w:ascii="Times New Roman" w:hAnsi="Times New Roman" w:cs="Times New Roman"/>
                      <w:color w:val="auto"/>
                      <w:sz w:val="21"/>
                      <w:szCs w:val="21"/>
                      <w:highlight w:val="none"/>
                      <w:lang w:val="en-US" w:eastAsia="zh-CN"/>
                    </w:rPr>
                  </w:pPr>
                </w:p>
              </w:tc>
              <w:tc>
                <w:tcPr>
                  <w:tcW w:w="1018" w:type="dxa"/>
                  <w:vMerge w:val="continue"/>
                  <w:tcBorders>
                    <w:tl2br w:val="nil"/>
                    <w:tr2bl w:val="nil"/>
                  </w:tcBorders>
                  <w:noWrap w:val="0"/>
                  <w:vAlign w:val="center"/>
                </w:tcPr>
                <w:p w14:paraId="397FEC9C">
                  <w:pPr>
                    <w:adjustRightInd w:val="0"/>
                    <w:snapToGrid w:val="0"/>
                    <w:jc w:val="center"/>
                    <w:rPr>
                      <w:rFonts w:hint="eastAsia" w:cs="Times New Roman"/>
                      <w:snapToGrid w:val="0"/>
                      <w:color w:val="auto"/>
                      <w:sz w:val="21"/>
                      <w:szCs w:val="21"/>
                      <w:highlight w:val="none"/>
                      <w:lang w:val="en-US" w:eastAsia="zh-CN"/>
                    </w:rPr>
                  </w:pPr>
                </w:p>
              </w:tc>
              <w:tc>
                <w:tcPr>
                  <w:tcW w:w="6514" w:type="dxa"/>
                  <w:gridSpan w:val="3"/>
                  <w:tcBorders>
                    <w:tl2br w:val="nil"/>
                    <w:tr2bl w:val="nil"/>
                  </w:tcBorders>
                  <w:noWrap w:val="0"/>
                  <w:vAlign w:val="center"/>
                </w:tcPr>
                <w:p w14:paraId="301139AA">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更换入户处热计量装置（开关阀门、静态平衡阀、压力表、温度计、Y型过滤器、泄水阀等）。</w:t>
                  </w:r>
                </w:p>
              </w:tc>
              <w:tc>
                <w:tcPr>
                  <w:tcW w:w="955" w:type="dxa"/>
                  <w:tcBorders>
                    <w:tl2br w:val="nil"/>
                    <w:tr2bl w:val="nil"/>
                  </w:tcBorders>
                  <w:noWrap w:val="0"/>
                  <w:vAlign w:val="center"/>
                </w:tcPr>
                <w:p w14:paraId="317DA788">
                  <w:pPr>
                    <w:adjustRightInd w:val="0"/>
                    <w:snapToGrid w:val="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改造</w:t>
                  </w:r>
                </w:p>
              </w:tc>
            </w:tr>
            <w:tr w14:paraId="12D7BCE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443" w:type="dxa"/>
                  <w:vMerge w:val="restart"/>
                  <w:tcBorders>
                    <w:tl2br w:val="nil"/>
                    <w:tr2bl w:val="nil"/>
                  </w:tcBorders>
                  <w:noWrap w:val="0"/>
                  <w:vAlign w:val="center"/>
                </w:tcPr>
                <w:p w14:paraId="088E85F1">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辅助工程</w:t>
                  </w:r>
                </w:p>
              </w:tc>
              <w:tc>
                <w:tcPr>
                  <w:tcW w:w="1018" w:type="dxa"/>
                  <w:vMerge w:val="restart"/>
                  <w:tcBorders>
                    <w:tl2br w:val="nil"/>
                    <w:tr2bl w:val="nil"/>
                  </w:tcBorders>
                  <w:noWrap w:val="0"/>
                  <w:vAlign w:val="center"/>
                </w:tcPr>
                <w:p w14:paraId="24C5F67F">
                  <w:pPr>
                    <w:adjustRightInd w:val="0"/>
                    <w:snapToGrid w:val="0"/>
                    <w:jc w:val="center"/>
                    <w:rPr>
                      <w:rFonts w:hint="default" w:cs="Times New Roman"/>
                      <w:snapToGrid w:val="0"/>
                      <w:color w:val="auto"/>
                      <w:sz w:val="21"/>
                      <w:szCs w:val="21"/>
                      <w:highlight w:val="none"/>
                      <w:lang w:val="en-US" w:eastAsia="zh-CN"/>
                    </w:rPr>
                  </w:pPr>
                  <w:r>
                    <w:rPr>
                      <w:rFonts w:hint="eastAsia" w:cs="Times New Roman"/>
                      <w:snapToGrid w:val="0"/>
                      <w:color w:val="auto"/>
                      <w:sz w:val="21"/>
                      <w:szCs w:val="21"/>
                      <w:highlight w:val="none"/>
                      <w:lang w:val="en-US" w:eastAsia="zh-CN"/>
                    </w:rPr>
                    <w:t>综合用房</w:t>
                  </w:r>
                </w:p>
              </w:tc>
              <w:tc>
                <w:tcPr>
                  <w:tcW w:w="6514" w:type="dxa"/>
                  <w:gridSpan w:val="3"/>
                  <w:tcBorders>
                    <w:tl2br w:val="nil"/>
                    <w:tr2bl w:val="nil"/>
                  </w:tcBorders>
                  <w:noWrap w:val="0"/>
                  <w:vAlign w:val="center"/>
                </w:tcPr>
                <w:p w14:paraId="1175692B">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建筑面积164.46m</w:t>
                  </w:r>
                  <w:r>
                    <w:rPr>
                      <w:rFonts w:hint="eastAsia" w:cs="Times New Roman"/>
                      <w:color w:val="auto"/>
                      <w:sz w:val="21"/>
                      <w:szCs w:val="21"/>
                      <w:highlight w:val="none"/>
                      <w:vertAlign w:val="superscript"/>
                      <w:lang w:val="en-US" w:eastAsia="zh-CN"/>
                    </w:rPr>
                    <w:t>2</w:t>
                  </w:r>
                  <w:r>
                    <w:rPr>
                      <w:rFonts w:hint="eastAsia" w:cs="Times New Roman"/>
                      <w:color w:val="auto"/>
                      <w:sz w:val="21"/>
                      <w:szCs w:val="21"/>
                      <w:highlight w:val="none"/>
                      <w:vertAlign w:val="baseline"/>
                      <w:lang w:val="en-US" w:eastAsia="zh-CN"/>
                    </w:rPr>
                    <w:t>，位于东北侧，内部划分为东、西两侧。东侧用于职工临时休息场所，西侧为办公区域，职工人员2人，两班制。</w:t>
                  </w:r>
                </w:p>
              </w:tc>
              <w:tc>
                <w:tcPr>
                  <w:tcW w:w="955" w:type="dxa"/>
                  <w:vMerge w:val="restart"/>
                  <w:tcBorders>
                    <w:tl2br w:val="nil"/>
                    <w:tr2bl w:val="nil"/>
                  </w:tcBorders>
                  <w:noWrap w:val="0"/>
                  <w:vAlign w:val="center"/>
                </w:tcPr>
                <w:p w14:paraId="478BEF21">
                  <w:pPr>
                    <w:adjustRightInd w:val="0"/>
                    <w:snapToGrid w:val="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依托</w:t>
                  </w:r>
                </w:p>
              </w:tc>
            </w:tr>
            <w:tr w14:paraId="6326B54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443" w:type="dxa"/>
                  <w:vMerge w:val="continue"/>
                  <w:tcBorders>
                    <w:tl2br w:val="nil"/>
                    <w:tr2bl w:val="nil"/>
                  </w:tcBorders>
                  <w:noWrap w:val="0"/>
                  <w:vAlign w:val="center"/>
                </w:tcPr>
                <w:p w14:paraId="5E4BF22C">
                  <w:pPr>
                    <w:jc w:val="center"/>
                    <w:rPr>
                      <w:rFonts w:hint="eastAsia" w:cs="Times New Roman"/>
                      <w:color w:val="auto"/>
                      <w:sz w:val="21"/>
                      <w:szCs w:val="21"/>
                      <w:highlight w:val="none"/>
                      <w:lang w:val="en-US" w:eastAsia="zh-CN"/>
                    </w:rPr>
                  </w:pPr>
                </w:p>
              </w:tc>
              <w:tc>
                <w:tcPr>
                  <w:tcW w:w="1018" w:type="dxa"/>
                  <w:vMerge w:val="continue"/>
                  <w:tcBorders>
                    <w:tl2br w:val="nil"/>
                    <w:tr2bl w:val="nil"/>
                  </w:tcBorders>
                  <w:noWrap w:val="0"/>
                  <w:vAlign w:val="center"/>
                </w:tcPr>
                <w:p w14:paraId="75E88143">
                  <w:pPr>
                    <w:adjustRightInd w:val="0"/>
                    <w:snapToGrid w:val="0"/>
                    <w:jc w:val="center"/>
                    <w:rPr>
                      <w:rFonts w:hint="default" w:cs="Times New Roman"/>
                      <w:snapToGrid w:val="0"/>
                      <w:color w:val="auto"/>
                      <w:sz w:val="21"/>
                      <w:szCs w:val="21"/>
                      <w:highlight w:val="none"/>
                      <w:lang w:val="en-US" w:eastAsia="zh-CN"/>
                    </w:rPr>
                  </w:pPr>
                </w:p>
              </w:tc>
              <w:tc>
                <w:tcPr>
                  <w:tcW w:w="1300" w:type="dxa"/>
                  <w:gridSpan w:val="2"/>
                  <w:tcBorders>
                    <w:tl2br w:val="nil"/>
                    <w:tr2bl w:val="nil"/>
                  </w:tcBorders>
                  <w:noWrap w:val="0"/>
                  <w:vAlign w:val="center"/>
                </w:tcPr>
                <w:p w14:paraId="128B77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办公区</w:t>
                  </w:r>
                </w:p>
              </w:tc>
              <w:tc>
                <w:tcPr>
                  <w:tcW w:w="5214" w:type="dxa"/>
                  <w:tcBorders>
                    <w:tl2br w:val="nil"/>
                    <w:tr2bl w:val="nil"/>
                  </w:tcBorders>
                  <w:noWrap w:val="0"/>
                  <w:vAlign w:val="center"/>
                </w:tcPr>
                <w:p w14:paraId="48D4914E">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建筑面积82.23m</w:t>
                  </w:r>
                  <w:r>
                    <w:rPr>
                      <w:rFonts w:hint="eastAsia" w:cs="Times New Roman"/>
                      <w:color w:val="auto"/>
                      <w:sz w:val="21"/>
                      <w:szCs w:val="21"/>
                      <w:highlight w:val="none"/>
                      <w:vertAlign w:val="superscript"/>
                      <w:lang w:val="en-US" w:eastAsia="zh-CN"/>
                    </w:rPr>
                    <w:t>2</w:t>
                  </w:r>
                  <w:r>
                    <w:rPr>
                      <w:rFonts w:hint="eastAsia" w:cs="Times New Roman"/>
                      <w:color w:val="auto"/>
                      <w:sz w:val="21"/>
                      <w:szCs w:val="21"/>
                      <w:highlight w:val="none"/>
                      <w:vertAlign w:val="baseline"/>
                      <w:lang w:val="en-US" w:eastAsia="zh-CN"/>
                    </w:rPr>
                    <w:t>，综合用房西侧，职工办公区。</w:t>
                  </w:r>
                </w:p>
              </w:tc>
              <w:tc>
                <w:tcPr>
                  <w:tcW w:w="955" w:type="dxa"/>
                  <w:vMerge w:val="continue"/>
                  <w:tcBorders>
                    <w:tl2br w:val="nil"/>
                    <w:tr2bl w:val="nil"/>
                  </w:tcBorders>
                  <w:noWrap w:val="0"/>
                  <w:vAlign w:val="center"/>
                </w:tcPr>
                <w:p w14:paraId="18D43468">
                  <w:pPr>
                    <w:adjustRightInd w:val="0"/>
                    <w:snapToGrid w:val="0"/>
                    <w:jc w:val="center"/>
                    <w:rPr>
                      <w:rFonts w:hint="eastAsia" w:cs="Times New Roman"/>
                      <w:color w:val="auto"/>
                      <w:sz w:val="21"/>
                      <w:szCs w:val="21"/>
                      <w:highlight w:val="none"/>
                      <w:lang w:val="en-US" w:eastAsia="zh-CN"/>
                    </w:rPr>
                  </w:pPr>
                </w:p>
              </w:tc>
            </w:tr>
            <w:tr w14:paraId="36BA868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443" w:type="dxa"/>
                  <w:vMerge w:val="continue"/>
                  <w:tcBorders>
                    <w:tl2br w:val="nil"/>
                    <w:tr2bl w:val="nil"/>
                  </w:tcBorders>
                  <w:noWrap w:val="0"/>
                  <w:vAlign w:val="center"/>
                </w:tcPr>
                <w:p w14:paraId="163C2562">
                  <w:pPr>
                    <w:jc w:val="center"/>
                    <w:rPr>
                      <w:rFonts w:hint="eastAsia" w:cs="Times New Roman"/>
                      <w:color w:val="auto"/>
                      <w:sz w:val="21"/>
                      <w:szCs w:val="21"/>
                      <w:highlight w:val="none"/>
                      <w:lang w:val="en-US" w:eastAsia="zh-CN"/>
                    </w:rPr>
                  </w:pPr>
                </w:p>
              </w:tc>
              <w:tc>
                <w:tcPr>
                  <w:tcW w:w="1018" w:type="dxa"/>
                  <w:vMerge w:val="continue"/>
                  <w:tcBorders>
                    <w:tl2br w:val="nil"/>
                    <w:tr2bl w:val="nil"/>
                  </w:tcBorders>
                  <w:noWrap w:val="0"/>
                  <w:vAlign w:val="center"/>
                </w:tcPr>
                <w:p w14:paraId="756EE0F5">
                  <w:pPr>
                    <w:adjustRightInd w:val="0"/>
                    <w:snapToGrid w:val="0"/>
                    <w:jc w:val="center"/>
                    <w:rPr>
                      <w:rFonts w:hint="default" w:cs="Times New Roman"/>
                      <w:snapToGrid w:val="0"/>
                      <w:color w:val="auto"/>
                      <w:sz w:val="21"/>
                      <w:szCs w:val="21"/>
                      <w:highlight w:val="none"/>
                      <w:lang w:val="en-US" w:eastAsia="zh-CN"/>
                    </w:rPr>
                  </w:pPr>
                </w:p>
              </w:tc>
              <w:tc>
                <w:tcPr>
                  <w:tcW w:w="1300" w:type="dxa"/>
                  <w:gridSpan w:val="2"/>
                  <w:tcBorders>
                    <w:tl2br w:val="nil"/>
                    <w:tr2bl w:val="nil"/>
                  </w:tcBorders>
                  <w:noWrap w:val="0"/>
                  <w:vAlign w:val="center"/>
                </w:tcPr>
                <w:p w14:paraId="7C5B342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职工休息区</w:t>
                  </w:r>
                </w:p>
              </w:tc>
              <w:tc>
                <w:tcPr>
                  <w:tcW w:w="5214" w:type="dxa"/>
                  <w:tcBorders>
                    <w:tl2br w:val="nil"/>
                    <w:tr2bl w:val="nil"/>
                  </w:tcBorders>
                  <w:noWrap w:val="0"/>
                  <w:vAlign w:val="center"/>
                </w:tcPr>
                <w:p w14:paraId="0D43DBC5">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建筑面积82.23m</w:t>
                  </w:r>
                  <w:r>
                    <w:rPr>
                      <w:rFonts w:hint="eastAsia" w:cs="Times New Roman"/>
                      <w:color w:val="auto"/>
                      <w:sz w:val="21"/>
                      <w:szCs w:val="21"/>
                      <w:highlight w:val="none"/>
                      <w:vertAlign w:val="superscript"/>
                      <w:lang w:val="en-US" w:eastAsia="zh-CN"/>
                    </w:rPr>
                    <w:t>2</w:t>
                  </w:r>
                  <w:r>
                    <w:rPr>
                      <w:rFonts w:hint="eastAsia" w:cs="Times New Roman"/>
                      <w:color w:val="auto"/>
                      <w:sz w:val="21"/>
                      <w:szCs w:val="21"/>
                      <w:highlight w:val="none"/>
                      <w:vertAlign w:val="baseline"/>
                      <w:lang w:val="en-US" w:eastAsia="zh-CN"/>
                    </w:rPr>
                    <w:t>，综合用房东侧，职工临时休息场所。</w:t>
                  </w:r>
                </w:p>
              </w:tc>
              <w:tc>
                <w:tcPr>
                  <w:tcW w:w="955" w:type="dxa"/>
                  <w:vMerge w:val="continue"/>
                  <w:tcBorders>
                    <w:tl2br w:val="nil"/>
                    <w:tr2bl w:val="nil"/>
                  </w:tcBorders>
                  <w:noWrap w:val="0"/>
                  <w:vAlign w:val="center"/>
                </w:tcPr>
                <w:p w14:paraId="4B807B03">
                  <w:pPr>
                    <w:adjustRightInd w:val="0"/>
                    <w:snapToGrid w:val="0"/>
                    <w:jc w:val="center"/>
                    <w:rPr>
                      <w:rFonts w:hint="eastAsia" w:cs="Times New Roman"/>
                      <w:color w:val="auto"/>
                      <w:sz w:val="21"/>
                      <w:szCs w:val="21"/>
                      <w:highlight w:val="none"/>
                      <w:lang w:val="en-US" w:eastAsia="zh-CN"/>
                    </w:rPr>
                  </w:pPr>
                </w:p>
              </w:tc>
            </w:tr>
            <w:tr w14:paraId="72F1AC9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443" w:type="dxa"/>
                  <w:vMerge w:val="continue"/>
                  <w:tcBorders>
                    <w:tl2br w:val="nil"/>
                    <w:tr2bl w:val="nil"/>
                  </w:tcBorders>
                  <w:noWrap w:val="0"/>
                  <w:vAlign w:val="center"/>
                </w:tcPr>
                <w:p w14:paraId="716EEDF7">
                  <w:pPr>
                    <w:jc w:val="center"/>
                    <w:rPr>
                      <w:rFonts w:hint="eastAsia" w:cs="Times New Roman"/>
                      <w:color w:val="auto"/>
                      <w:sz w:val="21"/>
                      <w:szCs w:val="21"/>
                      <w:highlight w:val="none"/>
                      <w:lang w:val="en-US" w:eastAsia="zh-CN"/>
                    </w:rPr>
                  </w:pPr>
                </w:p>
              </w:tc>
              <w:tc>
                <w:tcPr>
                  <w:tcW w:w="1018" w:type="dxa"/>
                  <w:tcBorders>
                    <w:tl2br w:val="nil"/>
                    <w:tr2bl w:val="nil"/>
                  </w:tcBorders>
                  <w:noWrap w:val="0"/>
                  <w:vAlign w:val="center"/>
                </w:tcPr>
                <w:p w14:paraId="150F1973">
                  <w:pPr>
                    <w:adjustRightInd w:val="0"/>
                    <w:snapToGrid w:val="0"/>
                    <w:jc w:val="center"/>
                    <w:rPr>
                      <w:rFonts w:hint="default" w:cs="Times New Roman"/>
                      <w:snapToGrid w:val="0"/>
                      <w:color w:val="auto"/>
                      <w:sz w:val="21"/>
                      <w:szCs w:val="21"/>
                      <w:highlight w:val="none"/>
                      <w:lang w:val="en-US" w:eastAsia="zh-CN"/>
                    </w:rPr>
                  </w:pPr>
                  <w:r>
                    <w:rPr>
                      <w:rFonts w:hint="eastAsia" w:cs="Times New Roman"/>
                      <w:snapToGrid w:val="0"/>
                      <w:color w:val="auto"/>
                      <w:sz w:val="21"/>
                      <w:szCs w:val="21"/>
                      <w:highlight w:val="none"/>
                      <w:lang w:val="en-US" w:eastAsia="zh-CN"/>
                    </w:rPr>
                    <w:t>机动车停车位</w:t>
                  </w:r>
                </w:p>
              </w:tc>
              <w:tc>
                <w:tcPr>
                  <w:tcW w:w="6514" w:type="dxa"/>
                  <w:gridSpan w:val="3"/>
                  <w:tcBorders>
                    <w:tl2br w:val="nil"/>
                    <w:tr2bl w:val="nil"/>
                  </w:tcBorders>
                  <w:noWrap w:val="0"/>
                  <w:vAlign w:val="center"/>
                </w:tcPr>
                <w:p w14:paraId="5139BCBE">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位于综合用房南侧10米处，共设2个车位。</w:t>
                  </w:r>
                </w:p>
              </w:tc>
              <w:tc>
                <w:tcPr>
                  <w:tcW w:w="955" w:type="dxa"/>
                  <w:tcBorders>
                    <w:tl2br w:val="nil"/>
                    <w:tr2bl w:val="nil"/>
                  </w:tcBorders>
                  <w:noWrap w:val="0"/>
                  <w:vAlign w:val="center"/>
                </w:tcPr>
                <w:p w14:paraId="7ACE6C8B">
                  <w:pPr>
                    <w:adjustRightInd w:val="0"/>
                    <w:snapToGrid w:val="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新建</w:t>
                  </w:r>
                </w:p>
              </w:tc>
            </w:tr>
            <w:tr w14:paraId="495537C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266" w:hRule="atLeast"/>
                <w:jc w:val="center"/>
              </w:trPr>
              <w:tc>
                <w:tcPr>
                  <w:tcW w:w="443" w:type="dxa"/>
                  <w:vMerge w:val="continue"/>
                  <w:tcBorders>
                    <w:tl2br w:val="nil"/>
                    <w:tr2bl w:val="nil"/>
                  </w:tcBorders>
                  <w:noWrap w:val="0"/>
                  <w:vAlign w:val="center"/>
                </w:tcPr>
                <w:p w14:paraId="3A328C81">
                  <w:pPr>
                    <w:jc w:val="center"/>
                    <w:rPr>
                      <w:rFonts w:hint="eastAsia" w:cs="Times New Roman"/>
                      <w:color w:val="auto"/>
                      <w:sz w:val="21"/>
                      <w:szCs w:val="21"/>
                      <w:highlight w:val="none"/>
                      <w:lang w:val="en-US" w:eastAsia="zh-CN"/>
                    </w:rPr>
                  </w:pPr>
                </w:p>
              </w:tc>
              <w:tc>
                <w:tcPr>
                  <w:tcW w:w="1018" w:type="dxa"/>
                  <w:tcBorders>
                    <w:tl2br w:val="nil"/>
                    <w:tr2bl w:val="nil"/>
                  </w:tcBorders>
                  <w:noWrap w:val="0"/>
                  <w:vAlign w:val="center"/>
                </w:tcPr>
                <w:p w14:paraId="6734BD11">
                  <w:pPr>
                    <w:adjustRightInd w:val="0"/>
                    <w:snapToGrid w:val="0"/>
                    <w:jc w:val="center"/>
                    <w:rPr>
                      <w:rFonts w:hint="default" w:cs="Times New Roman"/>
                      <w:snapToGrid w:val="0"/>
                      <w:color w:val="auto"/>
                      <w:sz w:val="21"/>
                      <w:szCs w:val="21"/>
                      <w:highlight w:val="none"/>
                      <w:lang w:val="en-US" w:eastAsia="zh-CN"/>
                    </w:rPr>
                  </w:pPr>
                  <w:r>
                    <w:rPr>
                      <w:rFonts w:hint="eastAsia" w:cs="Times New Roman"/>
                      <w:snapToGrid w:val="0"/>
                      <w:color w:val="auto"/>
                      <w:sz w:val="21"/>
                      <w:szCs w:val="21"/>
                      <w:highlight w:val="none"/>
                      <w:lang w:val="en-US" w:eastAsia="zh-CN"/>
                    </w:rPr>
                    <w:t>非机动车停车位</w:t>
                  </w:r>
                </w:p>
              </w:tc>
              <w:tc>
                <w:tcPr>
                  <w:tcW w:w="6514" w:type="dxa"/>
                  <w:gridSpan w:val="3"/>
                  <w:tcBorders>
                    <w:tl2br w:val="nil"/>
                    <w:tr2bl w:val="nil"/>
                  </w:tcBorders>
                  <w:noWrap w:val="0"/>
                  <w:vAlign w:val="center"/>
                </w:tcPr>
                <w:p w14:paraId="6BA790D6">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cs="Times New Roman"/>
                      <w:color w:val="auto"/>
                      <w:sz w:val="21"/>
                      <w:szCs w:val="21"/>
                      <w:highlight w:val="none"/>
                      <w:lang w:val="en-US" w:eastAsia="zh-CN"/>
                    </w:rPr>
                  </w:pPr>
                  <w:r>
                    <w:rPr>
                      <w:rFonts w:hint="eastAsia" w:cs="Times New Roman"/>
                      <w:snapToGrid w:val="0"/>
                      <w:color w:val="auto"/>
                      <w:sz w:val="21"/>
                      <w:szCs w:val="21"/>
                      <w:highlight w:val="none"/>
                      <w:lang w:val="en-US" w:eastAsia="zh-CN"/>
                    </w:rPr>
                    <w:t>位于机动车停车位东侧相邻，共设15个非机动车车位。</w:t>
                  </w:r>
                </w:p>
              </w:tc>
              <w:tc>
                <w:tcPr>
                  <w:tcW w:w="955" w:type="dxa"/>
                  <w:tcBorders>
                    <w:tl2br w:val="nil"/>
                    <w:tr2bl w:val="nil"/>
                  </w:tcBorders>
                  <w:noWrap w:val="0"/>
                  <w:vAlign w:val="center"/>
                </w:tcPr>
                <w:p w14:paraId="1D6CBAD2">
                  <w:pPr>
                    <w:adjustRightInd w:val="0"/>
                    <w:snapToGrid w:val="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新建</w:t>
                  </w:r>
                </w:p>
              </w:tc>
            </w:tr>
            <w:tr w14:paraId="67D24E5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3" w:type="dxa"/>
                  <w:vMerge w:val="restart"/>
                  <w:tcBorders>
                    <w:tl2br w:val="nil"/>
                    <w:tr2bl w:val="nil"/>
                  </w:tcBorders>
                  <w:noWrap w:val="0"/>
                  <w:vAlign w:val="center"/>
                </w:tcPr>
                <w:p w14:paraId="0848F4A8">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储运工程</w:t>
                  </w:r>
                </w:p>
              </w:tc>
              <w:tc>
                <w:tcPr>
                  <w:tcW w:w="1018" w:type="dxa"/>
                  <w:tcBorders>
                    <w:tl2br w:val="nil"/>
                    <w:tr2bl w:val="nil"/>
                  </w:tcBorders>
                  <w:noWrap w:val="0"/>
                  <w:vAlign w:val="center"/>
                </w:tcPr>
                <w:p w14:paraId="68916DEE">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灰渣暂存间</w:t>
                  </w:r>
                </w:p>
              </w:tc>
              <w:tc>
                <w:tcPr>
                  <w:tcW w:w="6514" w:type="dxa"/>
                  <w:gridSpan w:val="3"/>
                  <w:tcBorders>
                    <w:tl2br w:val="nil"/>
                    <w:tr2bl w:val="nil"/>
                  </w:tcBorders>
                  <w:noWrap w:val="0"/>
                  <w:vAlign w:val="center"/>
                </w:tcPr>
                <w:p w14:paraId="13FE0FE4">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建筑面积</w:t>
                  </w:r>
                  <w:r>
                    <w:rPr>
                      <w:rFonts w:hint="eastAsia" w:cs="Times New Roman"/>
                      <w:b w:val="0"/>
                      <w:bCs w:val="0"/>
                      <w:color w:val="auto"/>
                      <w:sz w:val="21"/>
                      <w:szCs w:val="21"/>
                      <w:highlight w:val="none"/>
                      <w:vertAlign w:val="baseline"/>
                      <w:lang w:val="en-US" w:eastAsia="zh-CN"/>
                    </w:rPr>
                    <w:t>15</w:t>
                  </w:r>
                  <w:r>
                    <w:rPr>
                      <w:rFonts w:hint="eastAsia" w:cs="Times New Roman"/>
                      <w:color w:val="auto"/>
                      <w:sz w:val="21"/>
                      <w:szCs w:val="21"/>
                      <w:highlight w:val="none"/>
                      <w:lang w:val="en-US" w:eastAsia="zh-CN"/>
                    </w:rPr>
                    <w:t>m</w:t>
                  </w:r>
                  <w:r>
                    <w:rPr>
                      <w:rFonts w:hint="eastAsia" w:cs="Times New Roman"/>
                      <w:color w:val="auto"/>
                      <w:sz w:val="21"/>
                      <w:szCs w:val="21"/>
                      <w:highlight w:val="none"/>
                      <w:vertAlign w:val="superscript"/>
                      <w:lang w:val="en-US" w:eastAsia="zh-CN"/>
                    </w:rPr>
                    <w:t>2</w:t>
                  </w:r>
                  <w:r>
                    <w:rPr>
                      <w:rFonts w:hint="eastAsia" w:cs="Times New Roman"/>
                      <w:color w:val="auto"/>
                      <w:sz w:val="21"/>
                      <w:szCs w:val="21"/>
                      <w:highlight w:val="none"/>
                      <w:vertAlign w:val="baseline"/>
                      <w:lang w:val="en-US" w:eastAsia="zh-CN"/>
                    </w:rPr>
                    <w:t>，锅炉房西北角处，与</w:t>
                  </w:r>
                  <w:r>
                    <w:rPr>
                      <w:rFonts w:hint="eastAsia" w:cs="Times New Roman"/>
                      <w:color w:val="auto"/>
                      <w:sz w:val="21"/>
                      <w:szCs w:val="21"/>
                      <w:highlight w:val="none"/>
                      <w:lang w:val="en-US" w:eastAsia="zh-CN"/>
                    </w:rPr>
                    <w:t>燃料贮存间相邻</w:t>
                  </w:r>
                  <w:r>
                    <w:rPr>
                      <w:rFonts w:hint="eastAsia" w:cs="Times New Roman"/>
                      <w:color w:val="auto"/>
                      <w:sz w:val="21"/>
                      <w:szCs w:val="21"/>
                      <w:highlight w:val="none"/>
                      <w:vertAlign w:val="baseline"/>
                      <w:lang w:val="en-US" w:eastAsia="zh-CN"/>
                    </w:rPr>
                    <w:t>，锅炉灰渣及其他一般固体废物临时暂存场所。</w:t>
                  </w:r>
                </w:p>
              </w:tc>
              <w:tc>
                <w:tcPr>
                  <w:tcW w:w="955" w:type="dxa"/>
                  <w:tcBorders>
                    <w:tl2br w:val="nil"/>
                    <w:tr2bl w:val="nil"/>
                  </w:tcBorders>
                  <w:noWrap w:val="0"/>
                  <w:vAlign w:val="center"/>
                </w:tcPr>
                <w:p w14:paraId="3C6838BA">
                  <w:pPr>
                    <w:adjustRightInd w:val="0"/>
                    <w:snapToGrid w:val="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新建</w:t>
                  </w:r>
                </w:p>
              </w:tc>
            </w:tr>
            <w:tr w14:paraId="282BD2B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3" w:type="dxa"/>
                  <w:vMerge w:val="continue"/>
                  <w:tcBorders>
                    <w:tl2br w:val="nil"/>
                    <w:tr2bl w:val="nil"/>
                  </w:tcBorders>
                  <w:noWrap w:val="0"/>
                  <w:vAlign w:val="center"/>
                </w:tcPr>
                <w:p w14:paraId="37F059A8">
                  <w:pPr>
                    <w:jc w:val="center"/>
                    <w:rPr>
                      <w:rFonts w:hint="default" w:ascii="Times New Roman" w:hAnsi="Times New Roman" w:cs="Times New Roman"/>
                      <w:color w:val="auto"/>
                      <w:sz w:val="21"/>
                      <w:szCs w:val="21"/>
                      <w:highlight w:val="none"/>
                    </w:rPr>
                  </w:pPr>
                </w:p>
              </w:tc>
              <w:tc>
                <w:tcPr>
                  <w:tcW w:w="1018" w:type="dxa"/>
                  <w:tcBorders>
                    <w:tl2br w:val="nil"/>
                    <w:tr2bl w:val="nil"/>
                  </w:tcBorders>
                  <w:noWrap w:val="0"/>
                  <w:vAlign w:val="center"/>
                </w:tcPr>
                <w:p w14:paraId="25A6A52A">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燃料贮存间</w:t>
                  </w:r>
                </w:p>
              </w:tc>
              <w:tc>
                <w:tcPr>
                  <w:tcW w:w="6514" w:type="dxa"/>
                  <w:gridSpan w:val="3"/>
                  <w:tcBorders>
                    <w:tl2br w:val="nil"/>
                    <w:tr2bl w:val="nil"/>
                  </w:tcBorders>
                  <w:noWrap w:val="0"/>
                  <w:vAlign w:val="center"/>
                </w:tcPr>
                <w:p w14:paraId="1F190566">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建筑面积15m</w:t>
                  </w:r>
                  <w:r>
                    <w:rPr>
                      <w:rFonts w:hint="eastAsia" w:cs="Times New Roman"/>
                      <w:color w:val="auto"/>
                      <w:sz w:val="21"/>
                      <w:szCs w:val="21"/>
                      <w:highlight w:val="none"/>
                      <w:vertAlign w:val="superscript"/>
                      <w:lang w:val="en-US" w:eastAsia="zh-CN"/>
                    </w:rPr>
                    <w:t>2</w:t>
                  </w:r>
                  <w:r>
                    <w:rPr>
                      <w:rFonts w:hint="eastAsia" w:cs="Times New Roman"/>
                      <w:color w:val="auto"/>
                      <w:sz w:val="21"/>
                      <w:szCs w:val="21"/>
                      <w:highlight w:val="none"/>
                      <w:vertAlign w:val="baseline"/>
                      <w:lang w:val="en-US" w:eastAsia="zh-CN"/>
                    </w:rPr>
                    <w:t>，锅炉房西北角处，与灰渣暂存间相</w:t>
                  </w:r>
                  <w:r>
                    <w:rPr>
                      <w:rFonts w:hint="eastAsia" w:cs="Times New Roman"/>
                      <w:color w:val="auto"/>
                      <w:sz w:val="21"/>
                      <w:szCs w:val="21"/>
                      <w:highlight w:val="none"/>
                      <w:lang w:val="en-US" w:eastAsia="zh-CN"/>
                    </w:rPr>
                    <w:t>邻</w:t>
                  </w:r>
                  <w:r>
                    <w:rPr>
                      <w:rFonts w:hint="eastAsia" w:cs="Times New Roman"/>
                      <w:color w:val="auto"/>
                      <w:sz w:val="21"/>
                      <w:szCs w:val="21"/>
                      <w:highlight w:val="none"/>
                      <w:vertAlign w:val="baseline"/>
                      <w:lang w:val="en-US" w:eastAsia="zh-CN"/>
                    </w:rPr>
                    <w:t>，锅炉生物质成型颗粒燃料贮存场所。</w:t>
                  </w:r>
                </w:p>
              </w:tc>
              <w:tc>
                <w:tcPr>
                  <w:tcW w:w="955" w:type="dxa"/>
                  <w:tcBorders>
                    <w:tl2br w:val="nil"/>
                    <w:tr2bl w:val="nil"/>
                  </w:tcBorders>
                  <w:noWrap w:val="0"/>
                  <w:vAlign w:val="center"/>
                </w:tcPr>
                <w:p w14:paraId="6CBB081D">
                  <w:pPr>
                    <w:adjustRightInd w:val="0"/>
                    <w:snapToGrid w:val="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新建</w:t>
                  </w:r>
                </w:p>
              </w:tc>
            </w:tr>
            <w:tr w14:paraId="447AED6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43" w:type="dxa"/>
                  <w:vMerge w:val="restart"/>
                  <w:tcBorders>
                    <w:tl2br w:val="nil"/>
                    <w:tr2bl w:val="nil"/>
                  </w:tcBorders>
                  <w:noWrap w:val="0"/>
                  <w:vAlign w:val="center"/>
                </w:tcPr>
                <w:p w14:paraId="29ADA2CF">
                  <w:pPr>
                    <w:jc w:val="center"/>
                    <w:rPr>
                      <w:rFonts w:hint="default" w:ascii="Times New Roman" w:hAnsi="Times New Roman" w:cs="Times New Roman"/>
                      <w:color w:val="FF0000"/>
                      <w:sz w:val="21"/>
                      <w:szCs w:val="21"/>
                      <w:highlight w:val="none"/>
                    </w:rPr>
                  </w:pPr>
                  <w:r>
                    <w:rPr>
                      <w:rFonts w:hint="default" w:ascii="Times New Roman" w:hAnsi="Times New Roman" w:cs="Times New Roman"/>
                      <w:color w:val="auto"/>
                      <w:sz w:val="21"/>
                      <w:szCs w:val="21"/>
                      <w:highlight w:val="none"/>
                    </w:rPr>
                    <w:t>公用工程</w:t>
                  </w:r>
                </w:p>
              </w:tc>
              <w:tc>
                <w:tcPr>
                  <w:tcW w:w="1018" w:type="dxa"/>
                  <w:tcBorders>
                    <w:tl2br w:val="nil"/>
                    <w:tr2bl w:val="nil"/>
                  </w:tcBorders>
                  <w:noWrap w:val="0"/>
                  <w:vAlign w:val="center"/>
                </w:tcPr>
                <w:p w14:paraId="079FACF4">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供水</w:t>
                  </w:r>
                </w:p>
              </w:tc>
              <w:tc>
                <w:tcPr>
                  <w:tcW w:w="6514" w:type="dxa"/>
                  <w:gridSpan w:val="3"/>
                  <w:tcBorders>
                    <w:tl2br w:val="nil"/>
                    <w:tr2bl w:val="nil"/>
                  </w:tcBorders>
                  <w:noWrap w:val="0"/>
                  <w:vAlign w:val="center"/>
                </w:tcPr>
                <w:p w14:paraId="36CB9015">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供水来源于市政供水管网提供，用于生活用水、锅炉用水。</w:t>
                  </w:r>
                </w:p>
              </w:tc>
              <w:tc>
                <w:tcPr>
                  <w:tcW w:w="955" w:type="dxa"/>
                  <w:tcBorders>
                    <w:tl2br w:val="nil"/>
                    <w:tr2bl w:val="nil"/>
                  </w:tcBorders>
                  <w:noWrap w:val="0"/>
                  <w:vAlign w:val="center"/>
                </w:tcPr>
                <w:p w14:paraId="4BFCC9F4">
                  <w:pPr>
                    <w:adjustRightInd w:val="0"/>
                    <w:snapToGrid w:val="0"/>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依托</w:t>
                  </w:r>
                </w:p>
              </w:tc>
            </w:tr>
            <w:tr w14:paraId="710F42C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3" w:type="dxa"/>
                  <w:vMerge w:val="continue"/>
                  <w:tcBorders>
                    <w:tl2br w:val="nil"/>
                    <w:tr2bl w:val="nil"/>
                  </w:tcBorders>
                  <w:noWrap w:val="0"/>
                  <w:vAlign w:val="center"/>
                </w:tcPr>
                <w:p w14:paraId="7FC17C55">
                  <w:pPr>
                    <w:jc w:val="center"/>
                    <w:rPr>
                      <w:rFonts w:hint="default" w:ascii="Times New Roman" w:hAnsi="Times New Roman" w:cs="Times New Roman"/>
                      <w:color w:val="FF0000"/>
                      <w:sz w:val="21"/>
                      <w:szCs w:val="21"/>
                      <w:highlight w:val="none"/>
                    </w:rPr>
                  </w:pPr>
                </w:p>
              </w:tc>
              <w:tc>
                <w:tcPr>
                  <w:tcW w:w="1018" w:type="dxa"/>
                  <w:tcBorders>
                    <w:tl2br w:val="nil"/>
                    <w:tr2bl w:val="nil"/>
                  </w:tcBorders>
                  <w:noWrap w:val="0"/>
                  <w:vAlign w:val="center"/>
                </w:tcPr>
                <w:p w14:paraId="19A42945">
                  <w:pPr>
                    <w:jc w:val="center"/>
                    <w:rPr>
                      <w:rFonts w:hint="default" w:ascii="Times New Roman" w:hAnsi="Times New Roman" w:cs="Times New Roman"/>
                      <w:color w:val="FF0000"/>
                      <w:sz w:val="21"/>
                      <w:szCs w:val="21"/>
                      <w:highlight w:val="none"/>
                    </w:rPr>
                  </w:pPr>
                  <w:r>
                    <w:rPr>
                      <w:rFonts w:hint="default" w:ascii="Times New Roman" w:hAnsi="Times New Roman" w:cs="Times New Roman"/>
                      <w:color w:val="auto"/>
                      <w:sz w:val="21"/>
                      <w:szCs w:val="21"/>
                      <w:highlight w:val="none"/>
                    </w:rPr>
                    <w:t>排水</w:t>
                  </w:r>
                </w:p>
              </w:tc>
              <w:tc>
                <w:tcPr>
                  <w:tcW w:w="6514" w:type="dxa"/>
                  <w:gridSpan w:val="3"/>
                  <w:tcBorders>
                    <w:tl2br w:val="nil"/>
                    <w:tr2bl w:val="nil"/>
                  </w:tcBorders>
                  <w:noWrap w:val="0"/>
                  <w:vAlign w:val="center"/>
                </w:tcPr>
                <w:p w14:paraId="1C8F9F26">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主要废水为生活污水、锅炉排污水及软化处理废水。</w:t>
                  </w:r>
                </w:p>
                <w:p w14:paraId="28BAE1C3">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锅炉排污水及软化处理废水：锅炉排污水及软化处理废水</w:t>
                  </w:r>
                  <w:r>
                    <w:rPr>
                      <w:rFonts w:hint="eastAsia" w:cs="Times New Roman"/>
                      <w:color w:val="auto"/>
                      <w:sz w:val="21"/>
                      <w:szCs w:val="21"/>
                      <w:highlight w:val="none"/>
                      <w:lang w:val="en-US" w:eastAsia="zh-CN"/>
                    </w:rPr>
                    <w:t>少量</w:t>
                  </w:r>
                  <w:r>
                    <w:rPr>
                      <w:rFonts w:hint="eastAsia" w:ascii="Times New Roman" w:hAnsi="Times New Roman" w:eastAsia="宋体" w:cs="Times New Roman"/>
                      <w:color w:val="auto"/>
                      <w:sz w:val="21"/>
                      <w:szCs w:val="21"/>
                      <w:highlight w:val="none"/>
                      <w:lang w:val="en-US" w:eastAsia="zh-CN"/>
                    </w:rPr>
                    <w:t>用于灰渣转运、储存进行洒水抑尘</w:t>
                  </w:r>
                  <w:r>
                    <w:rPr>
                      <w:rFonts w:hint="eastAsia" w:ascii="Times New Roman" w:hAnsi="Times New Roman" w:cs="Times New Roman"/>
                      <w:color w:val="auto"/>
                      <w:sz w:val="21"/>
                      <w:szCs w:val="21"/>
                      <w:highlight w:val="none"/>
                      <w:lang w:val="en-US" w:eastAsia="zh-CN"/>
                    </w:rPr>
                    <w:t>。</w:t>
                  </w:r>
                </w:p>
                <w:p w14:paraId="77E9D2C4">
                  <w:pPr>
                    <w:pStyle w:val="16"/>
                    <w:keepNext w:val="0"/>
                    <w:keepLines w:val="0"/>
                    <w:pageBreakBefore w:val="0"/>
                    <w:widowControl w:val="0"/>
                    <w:kinsoku/>
                    <w:wordWrap/>
                    <w:overflowPunct/>
                    <w:topLinePunct w:val="0"/>
                    <w:autoSpaceDE/>
                    <w:autoSpaceDN/>
                    <w:bidi w:val="0"/>
                    <w:adjustRightInd/>
                    <w:snapToGrid/>
                    <w:ind w:left="0" w:leftChars="0" w:firstLine="420" w:firstLineChars="200"/>
                    <w:jc w:val="both"/>
                    <w:textAlignment w:val="auto"/>
                    <w:rPr>
                      <w:rFonts w:hint="default"/>
                      <w:lang w:val="en-US" w:eastAsia="zh-CN"/>
                    </w:rPr>
                  </w:pPr>
                  <w:r>
                    <w:rPr>
                      <w:rFonts w:hint="eastAsia"/>
                      <w:color w:val="auto"/>
                      <w:sz w:val="21"/>
                      <w:szCs w:val="21"/>
                      <w:highlight w:val="none"/>
                      <w:lang w:val="en-US" w:eastAsia="zh-CN"/>
                    </w:rPr>
                    <w:t>综合废水：生活污水、锅炉排污水及</w:t>
                  </w:r>
                  <w:r>
                    <w:rPr>
                      <w:rFonts w:hint="eastAsia" w:ascii="Times New Roman" w:hAnsi="Times New Roman" w:eastAsia="宋体" w:cs="Times New Roman"/>
                      <w:color w:val="auto"/>
                      <w:sz w:val="21"/>
                      <w:szCs w:val="21"/>
                      <w:highlight w:val="none"/>
                      <w:lang w:val="en-US" w:eastAsia="zh-CN"/>
                    </w:rPr>
                    <w:t>软化处理废水排入厂区化粪池，化粪池出水水质符合</w:t>
                  </w:r>
                  <w:r>
                    <w:rPr>
                      <w:rFonts w:hint="default" w:ascii="Times New Roman" w:hAnsi="Times New Roman" w:eastAsia="宋体" w:cs="Times New Roman"/>
                      <w:color w:val="auto"/>
                      <w:sz w:val="21"/>
                      <w:szCs w:val="21"/>
                      <w:highlight w:val="none"/>
                      <w:lang w:val="en-US" w:eastAsia="zh-CN"/>
                    </w:rPr>
                    <w:t>《污水综合排放标准》（GB8978-1996）表4中三级标准</w:t>
                  </w:r>
                  <w:r>
                    <w:rPr>
                      <w:rFonts w:hint="eastAsia" w:ascii="Times New Roman" w:hAnsi="Times New Roman" w:eastAsia="宋体" w:cs="Times New Roman"/>
                      <w:color w:val="auto"/>
                      <w:sz w:val="21"/>
                      <w:szCs w:val="21"/>
                      <w:highlight w:val="none"/>
                      <w:lang w:val="en-US" w:eastAsia="zh-CN"/>
                    </w:rPr>
                    <w:t>，</w:t>
                  </w:r>
                  <w:r>
                    <w:rPr>
                      <w:rFonts w:hint="eastAsia"/>
                      <w:color w:val="auto"/>
                      <w:sz w:val="21"/>
                      <w:szCs w:val="21"/>
                      <w:highlight w:val="none"/>
                      <w:lang w:val="en-US" w:eastAsia="zh-CN"/>
                    </w:rPr>
                    <w:t>通过10吨</w:t>
                  </w:r>
                  <w:r>
                    <w:rPr>
                      <w:rFonts w:hint="default" w:ascii="Times New Roman" w:hAnsi="Times New Roman" w:eastAsia="宋体" w:cs="Times New Roman"/>
                      <w:bCs/>
                      <w:color w:val="auto"/>
                      <w:sz w:val="21"/>
                      <w:szCs w:val="21"/>
                      <w:lang w:val="en-US" w:eastAsia="zh-CN"/>
                    </w:rPr>
                    <w:t>吸污车收</w:t>
                  </w:r>
                  <w:r>
                    <w:rPr>
                      <w:rFonts w:hint="default" w:ascii="Times New Roman" w:hAnsi="Times New Roman" w:eastAsia="宋体" w:cs="Times New Roman"/>
                      <w:bCs/>
                      <w:sz w:val="21"/>
                      <w:szCs w:val="21"/>
                      <w:lang w:val="en-US" w:eastAsia="zh-CN"/>
                    </w:rPr>
                    <w:t>集后，运至</w:t>
                  </w:r>
                  <w:r>
                    <w:rPr>
                      <w:rFonts w:hint="default" w:ascii="Times New Roman" w:hAnsi="Times New Roman" w:eastAsia="宋体" w:cs="Times New Roman"/>
                      <w:bCs/>
                      <w:sz w:val="21"/>
                      <w:szCs w:val="21"/>
                    </w:rPr>
                    <w:t>饶河县西林子乡</w:t>
                  </w:r>
                  <w:r>
                    <w:rPr>
                      <w:rFonts w:hint="default" w:ascii="Times New Roman" w:hAnsi="Times New Roman" w:eastAsia="宋体" w:cs="Times New Roman"/>
                      <w:bCs/>
                      <w:sz w:val="21"/>
                      <w:szCs w:val="21"/>
                      <w:lang w:val="en-US" w:eastAsia="zh-CN"/>
                    </w:rPr>
                    <w:t>污水处理站，污水处理站出水水质达到《城镇污水处理厂污染物排放标准》（GB18918-2002）及修改单中一级A标准，</w:t>
                  </w:r>
                  <w:r>
                    <w:rPr>
                      <w:rFonts w:hint="default" w:ascii="Times New Roman" w:hAnsi="Times New Roman" w:cs="Times New Roman"/>
                      <w:bCs/>
                      <w:sz w:val="21"/>
                      <w:szCs w:val="21"/>
                      <w:lang w:val="en-US" w:eastAsia="zh-CN"/>
                    </w:rPr>
                    <w:t>排入小安河</w:t>
                  </w:r>
                  <w:r>
                    <w:rPr>
                      <w:rFonts w:hint="eastAsia" w:cs="Times New Roman"/>
                      <w:bCs/>
                      <w:sz w:val="21"/>
                      <w:szCs w:val="21"/>
                      <w:lang w:val="en-US" w:eastAsia="zh-CN"/>
                    </w:rPr>
                    <w:t>。</w:t>
                  </w:r>
                </w:p>
              </w:tc>
              <w:tc>
                <w:tcPr>
                  <w:tcW w:w="955" w:type="dxa"/>
                  <w:tcBorders>
                    <w:tl2br w:val="nil"/>
                    <w:tr2bl w:val="nil"/>
                  </w:tcBorders>
                  <w:noWrap w:val="0"/>
                  <w:vAlign w:val="center"/>
                </w:tcPr>
                <w:p w14:paraId="5CE92C80">
                  <w:pPr>
                    <w:adjustRightInd w:val="0"/>
                    <w:snapToGrid w:val="0"/>
                    <w:jc w:val="center"/>
                    <w:rPr>
                      <w:rFonts w:hint="default" w:ascii="Times New Roman" w:hAnsi="Times New Roman" w:cs="Times New Roman"/>
                      <w:color w:val="FF0000"/>
                      <w:sz w:val="21"/>
                      <w:szCs w:val="21"/>
                      <w:highlight w:val="none"/>
                    </w:rPr>
                  </w:pPr>
                  <w:r>
                    <w:rPr>
                      <w:rFonts w:hint="eastAsia" w:cs="Times New Roman"/>
                      <w:color w:val="auto"/>
                      <w:sz w:val="21"/>
                      <w:szCs w:val="21"/>
                      <w:highlight w:val="none"/>
                      <w:lang w:val="en-US" w:eastAsia="zh-CN"/>
                    </w:rPr>
                    <w:t>依托</w:t>
                  </w:r>
                </w:p>
              </w:tc>
            </w:tr>
            <w:tr w14:paraId="46FCFF8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3" w:type="dxa"/>
                  <w:vMerge w:val="continue"/>
                  <w:tcBorders>
                    <w:tl2br w:val="nil"/>
                    <w:tr2bl w:val="nil"/>
                  </w:tcBorders>
                  <w:noWrap w:val="0"/>
                  <w:vAlign w:val="center"/>
                </w:tcPr>
                <w:p w14:paraId="0934EDB6">
                  <w:pPr>
                    <w:jc w:val="center"/>
                    <w:rPr>
                      <w:rFonts w:hint="default" w:ascii="Times New Roman" w:hAnsi="Times New Roman" w:cs="Times New Roman"/>
                      <w:color w:val="FF0000"/>
                      <w:sz w:val="21"/>
                      <w:szCs w:val="21"/>
                      <w:highlight w:val="none"/>
                    </w:rPr>
                  </w:pPr>
                </w:p>
              </w:tc>
              <w:tc>
                <w:tcPr>
                  <w:tcW w:w="1018" w:type="dxa"/>
                  <w:tcBorders>
                    <w:tl2br w:val="nil"/>
                    <w:tr2bl w:val="nil"/>
                  </w:tcBorders>
                  <w:noWrap w:val="0"/>
                  <w:vAlign w:val="center"/>
                </w:tcPr>
                <w:p w14:paraId="0A14C723">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供电</w:t>
                  </w:r>
                </w:p>
              </w:tc>
              <w:tc>
                <w:tcPr>
                  <w:tcW w:w="6514" w:type="dxa"/>
                  <w:gridSpan w:val="3"/>
                  <w:tcBorders>
                    <w:tl2br w:val="nil"/>
                    <w:tr2bl w:val="nil"/>
                  </w:tcBorders>
                  <w:noWrap w:val="0"/>
                  <w:vAlign w:val="center"/>
                </w:tcPr>
                <w:p w14:paraId="53ED866A">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项目用电由</w:t>
                  </w:r>
                  <w:r>
                    <w:rPr>
                      <w:rFonts w:hint="eastAsia" w:cs="Times New Roman"/>
                      <w:color w:val="auto"/>
                      <w:sz w:val="21"/>
                      <w:szCs w:val="21"/>
                      <w:highlight w:val="none"/>
                      <w:lang w:val="en-US" w:eastAsia="zh-CN"/>
                    </w:rPr>
                    <w:t>市政</w:t>
                  </w:r>
                  <w:r>
                    <w:rPr>
                      <w:rFonts w:hint="default" w:ascii="Times New Roman" w:hAnsi="Times New Roman" w:cs="Times New Roman"/>
                      <w:color w:val="auto"/>
                      <w:sz w:val="21"/>
                      <w:szCs w:val="21"/>
                      <w:highlight w:val="none"/>
                    </w:rPr>
                    <w:t>电网供给。</w:t>
                  </w:r>
                </w:p>
              </w:tc>
              <w:tc>
                <w:tcPr>
                  <w:tcW w:w="955" w:type="dxa"/>
                  <w:tcBorders>
                    <w:tl2br w:val="nil"/>
                    <w:tr2bl w:val="nil"/>
                  </w:tcBorders>
                  <w:noWrap w:val="0"/>
                  <w:vAlign w:val="center"/>
                </w:tcPr>
                <w:p w14:paraId="1FA47B24">
                  <w:pPr>
                    <w:adjustRightInd w:val="0"/>
                    <w:snapToGrid w:val="0"/>
                    <w:jc w:val="center"/>
                    <w:rPr>
                      <w:rFonts w:hint="default" w:cs="Times New Roman"/>
                      <w:color w:val="auto"/>
                      <w:sz w:val="21"/>
                      <w:szCs w:val="21"/>
                      <w:highlight w:val="none"/>
                      <w:lang w:val="en-US" w:eastAsia="zh-CN"/>
                    </w:rPr>
                  </w:pPr>
                  <w:r>
                    <w:rPr>
                      <w:rFonts w:hint="default" w:cs="Times New Roman"/>
                      <w:color w:val="auto"/>
                      <w:sz w:val="21"/>
                      <w:szCs w:val="21"/>
                      <w:highlight w:val="none"/>
                      <w:lang w:val="en-US" w:eastAsia="zh-CN"/>
                    </w:rPr>
                    <w:t>依托</w:t>
                  </w:r>
                </w:p>
              </w:tc>
            </w:tr>
            <w:tr w14:paraId="7F8FD94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3" w:type="dxa"/>
                  <w:vMerge w:val="continue"/>
                  <w:tcBorders>
                    <w:tl2br w:val="nil"/>
                    <w:tr2bl w:val="nil"/>
                  </w:tcBorders>
                  <w:noWrap w:val="0"/>
                  <w:vAlign w:val="center"/>
                </w:tcPr>
                <w:p w14:paraId="351C9EB9">
                  <w:pPr>
                    <w:jc w:val="center"/>
                    <w:rPr>
                      <w:rFonts w:hint="default" w:ascii="Times New Roman" w:hAnsi="Times New Roman" w:cs="Times New Roman"/>
                      <w:color w:val="FF0000"/>
                      <w:sz w:val="21"/>
                      <w:szCs w:val="21"/>
                      <w:highlight w:val="none"/>
                    </w:rPr>
                  </w:pPr>
                </w:p>
              </w:tc>
              <w:tc>
                <w:tcPr>
                  <w:tcW w:w="1018" w:type="dxa"/>
                  <w:tcBorders>
                    <w:tl2br w:val="nil"/>
                    <w:tr2bl w:val="nil"/>
                  </w:tcBorders>
                  <w:noWrap w:val="0"/>
                  <w:vAlign w:val="center"/>
                </w:tcPr>
                <w:p w14:paraId="1DF40B34">
                  <w:pPr>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供</w:t>
                  </w:r>
                  <w:r>
                    <w:rPr>
                      <w:rFonts w:hint="eastAsia" w:cs="Times New Roman"/>
                      <w:color w:val="auto"/>
                      <w:sz w:val="21"/>
                      <w:szCs w:val="21"/>
                      <w:highlight w:val="none"/>
                      <w:lang w:val="en-US" w:eastAsia="zh-CN"/>
                    </w:rPr>
                    <w:t>热</w:t>
                  </w:r>
                </w:p>
              </w:tc>
              <w:tc>
                <w:tcPr>
                  <w:tcW w:w="6514" w:type="dxa"/>
                  <w:gridSpan w:val="3"/>
                  <w:tcBorders>
                    <w:tl2br w:val="nil"/>
                    <w:tr2bl w:val="nil"/>
                  </w:tcBorders>
                  <w:noWrap w:val="0"/>
                  <w:vAlign w:val="center"/>
                </w:tcPr>
                <w:p w14:paraId="40E9D673">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vertAlign w:val="baseline"/>
                      <w:lang w:val="en-US" w:eastAsia="zh-CN"/>
                    </w:rPr>
                    <w:t>11栋住宅楼和9栋别墅的供热面积约30000</w:t>
                  </w:r>
                  <w:r>
                    <w:rPr>
                      <w:rFonts w:hint="eastAsia" w:cs="Times New Roman"/>
                      <w:color w:val="auto"/>
                      <w:sz w:val="21"/>
                      <w:szCs w:val="21"/>
                      <w:vertAlign w:val="baseline"/>
                      <w:lang w:val="en-US" w:eastAsia="zh-CN"/>
                    </w:rPr>
                    <w:t>m</w:t>
                  </w:r>
                  <w:r>
                    <w:rPr>
                      <w:rFonts w:hint="eastAsia"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锅炉年</w:t>
                  </w:r>
                  <w:r>
                    <w:rPr>
                      <w:rFonts w:hint="eastAsia" w:ascii="Times New Roman" w:hAnsi="Times New Roman" w:eastAsia="宋体" w:cs="Times New Roman"/>
                      <w:color w:val="auto"/>
                      <w:sz w:val="21"/>
                      <w:szCs w:val="21"/>
                      <w:highlight w:val="none"/>
                      <w:lang w:val="en-US" w:eastAsia="zh-CN"/>
                    </w:rPr>
                    <w:t>运行时间</w:t>
                  </w:r>
                  <w:r>
                    <w:rPr>
                      <w:rFonts w:hint="eastAsia" w:cs="Times New Roman"/>
                      <w:color w:val="auto"/>
                      <w:sz w:val="21"/>
                      <w:szCs w:val="21"/>
                      <w:highlight w:val="none"/>
                      <w:lang w:val="en-US" w:eastAsia="zh-CN"/>
                    </w:rPr>
                    <w:t>213</w:t>
                  </w:r>
                  <w:r>
                    <w:rPr>
                      <w:rFonts w:hint="eastAsia" w:ascii="Times New Roman" w:hAnsi="Times New Roman" w:eastAsia="宋体" w:cs="Times New Roman"/>
                      <w:color w:val="auto"/>
                      <w:sz w:val="21"/>
                      <w:szCs w:val="21"/>
                      <w:highlight w:val="none"/>
                      <w:lang w:val="en-US" w:eastAsia="zh-CN"/>
                    </w:rPr>
                    <w:t>天（</w:t>
                  </w:r>
                  <w:r>
                    <w:rPr>
                      <w:rFonts w:hint="eastAsia" w:cs="Times New Roman"/>
                      <w:color w:val="auto"/>
                      <w:sz w:val="21"/>
                      <w:szCs w:val="21"/>
                      <w:highlight w:val="none"/>
                      <w:lang w:val="en-US" w:eastAsia="zh-CN"/>
                    </w:rPr>
                    <w:t>10月1日</w:t>
                  </w:r>
                  <w:r>
                    <w:rPr>
                      <w:rFonts w:hint="eastAsia" w:ascii="Times New Roman" w:hAnsi="Times New Roman" w:eastAsia="宋体" w:cs="Times New Roman"/>
                      <w:color w:val="auto"/>
                      <w:sz w:val="21"/>
                      <w:szCs w:val="21"/>
                      <w:highlight w:val="none"/>
                      <w:lang w:val="en-US" w:eastAsia="zh-CN"/>
                    </w:rPr>
                    <w:t>至次年4月</w:t>
                  </w:r>
                  <w:r>
                    <w:rPr>
                      <w:rFonts w:hint="eastAsia" w:cs="Times New Roman"/>
                      <w:color w:val="auto"/>
                      <w:sz w:val="21"/>
                      <w:szCs w:val="21"/>
                      <w:highlight w:val="none"/>
                      <w:lang w:val="en-US" w:eastAsia="zh-CN"/>
                    </w:rPr>
                    <w:t>30日</w:t>
                  </w:r>
                  <w:r>
                    <w:rPr>
                      <w:rFonts w:hint="eastAsia"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平均日运行18小时。</w:t>
                  </w:r>
                </w:p>
              </w:tc>
              <w:tc>
                <w:tcPr>
                  <w:tcW w:w="955" w:type="dxa"/>
                  <w:tcBorders>
                    <w:tl2br w:val="nil"/>
                    <w:tr2bl w:val="nil"/>
                  </w:tcBorders>
                  <w:noWrap w:val="0"/>
                  <w:vAlign w:val="center"/>
                </w:tcPr>
                <w:p w14:paraId="15EA48C6">
                  <w:pPr>
                    <w:adjustRightInd w:val="0"/>
                    <w:snapToGrid w:val="0"/>
                    <w:jc w:val="center"/>
                    <w:rPr>
                      <w:rFonts w:hint="default" w:cs="Times New Roman"/>
                      <w:color w:val="auto"/>
                      <w:sz w:val="21"/>
                      <w:szCs w:val="21"/>
                      <w:highlight w:val="none"/>
                      <w:lang w:val="en-US" w:eastAsia="zh-CN"/>
                    </w:rPr>
                  </w:pPr>
                  <w:r>
                    <w:rPr>
                      <w:rFonts w:hint="default" w:cs="Times New Roman"/>
                      <w:color w:val="auto"/>
                      <w:sz w:val="21"/>
                      <w:szCs w:val="21"/>
                      <w:highlight w:val="none"/>
                      <w:lang w:val="en-US" w:eastAsia="zh-CN"/>
                    </w:rPr>
                    <w:t>依托</w:t>
                  </w:r>
                </w:p>
              </w:tc>
            </w:tr>
            <w:tr w14:paraId="2816036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443" w:type="dxa"/>
                  <w:vMerge w:val="continue"/>
                  <w:tcBorders>
                    <w:tl2br w:val="nil"/>
                    <w:tr2bl w:val="nil"/>
                  </w:tcBorders>
                  <w:noWrap w:val="0"/>
                  <w:vAlign w:val="center"/>
                </w:tcPr>
                <w:p w14:paraId="3A56677E">
                  <w:pPr>
                    <w:jc w:val="center"/>
                    <w:rPr>
                      <w:rFonts w:hint="default" w:ascii="Times New Roman" w:hAnsi="Times New Roman" w:cs="Times New Roman"/>
                      <w:color w:val="FF0000"/>
                      <w:sz w:val="21"/>
                      <w:szCs w:val="21"/>
                      <w:highlight w:val="none"/>
                    </w:rPr>
                  </w:pPr>
                </w:p>
              </w:tc>
              <w:tc>
                <w:tcPr>
                  <w:tcW w:w="1018" w:type="dxa"/>
                  <w:tcBorders>
                    <w:tl2br w:val="nil"/>
                    <w:tr2bl w:val="nil"/>
                  </w:tcBorders>
                  <w:noWrap w:val="0"/>
                  <w:vAlign w:val="center"/>
                </w:tcPr>
                <w:p w14:paraId="20C2C00D">
                  <w:pPr>
                    <w:jc w:val="center"/>
                    <w:rPr>
                      <w:rFonts w:hint="default" w:ascii="Times New Roman" w:hAnsi="Times New Roman" w:eastAsia="宋体" w:cs="Times New Roman"/>
                      <w:color w:val="FF0000"/>
                      <w:sz w:val="21"/>
                      <w:szCs w:val="21"/>
                      <w:highlight w:val="none"/>
                      <w:lang w:val="en-US" w:eastAsia="zh-CN"/>
                    </w:rPr>
                  </w:pPr>
                  <w:r>
                    <w:rPr>
                      <w:rFonts w:hint="eastAsia" w:cs="Times New Roman"/>
                      <w:color w:val="auto"/>
                      <w:sz w:val="21"/>
                      <w:szCs w:val="21"/>
                      <w:highlight w:val="none"/>
                      <w:lang w:val="en-US" w:eastAsia="zh-CN"/>
                    </w:rPr>
                    <w:t>供热管网</w:t>
                  </w:r>
                </w:p>
              </w:tc>
              <w:tc>
                <w:tcPr>
                  <w:tcW w:w="6514" w:type="dxa"/>
                  <w:gridSpan w:val="3"/>
                  <w:tcBorders>
                    <w:tl2br w:val="nil"/>
                    <w:tr2bl w:val="nil"/>
                  </w:tcBorders>
                  <w:noWrap w:val="0"/>
                  <w:vAlign w:val="center"/>
                </w:tcPr>
                <w:p w14:paraId="54914A72">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cs="Times New Roman"/>
                      <w:color w:val="auto"/>
                      <w:sz w:val="21"/>
                      <w:szCs w:val="21"/>
                      <w:highlight w:val="none"/>
                      <w:lang w:val="en-US" w:eastAsia="zh-CN"/>
                    </w:rPr>
                    <w:t>新建采暖供回水主干管道</w:t>
                  </w:r>
                  <w:r>
                    <w:rPr>
                      <w:rFonts w:hint="eastAsia" w:cs="Times New Roman"/>
                      <w:color w:val="auto"/>
                      <w:kern w:val="0"/>
                      <w:highlight w:val="none"/>
                      <w:lang w:val="en-US" w:eastAsia="zh-CN"/>
                    </w:rPr>
                    <w:t>由厂区锅炉房北侧引出，沿着锅炉房东侧向厂区南侧引出厂区，供热管线从南侧厂界外向东侧、向南道接入现有供热主干管，沿着赫真路、满洲路、龙江路至住宅楼及别墅区。</w:t>
                  </w:r>
                </w:p>
              </w:tc>
              <w:tc>
                <w:tcPr>
                  <w:tcW w:w="955" w:type="dxa"/>
                  <w:tcBorders>
                    <w:tl2br w:val="nil"/>
                    <w:tr2bl w:val="nil"/>
                  </w:tcBorders>
                  <w:noWrap w:val="0"/>
                  <w:vAlign w:val="center"/>
                </w:tcPr>
                <w:p w14:paraId="76F42F1B">
                  <w:pPr>
                    <w:adjustRightInd w:val="0"/>
                    <w:snapToGrid w:val="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新建/依托</w:t>
                  </w:r>
                </w:p>
              </w:tc>
            </w:tr>
            <w:tr w14:paraId="046901A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3" w:type="dxa"/>
                  <w:vMerge w:val="restart"/>
                  <w:tcBorders>
                    <w:tl2br w:val="nil"/>
                    <w:tr2bl w:val="nil"/>
                  </w:tcBorders>
                  <w:noWrap w:val="0"/>
                  <w:vAlign w:val="center"/>
                </w:tcPr>
                <w:p w14:paraId="0625E483">
                  <w:pPr>
                    <w:jc w:val="center"/>
                    <w:rPr>
                      <w:rFonts w:hint="default" w:ascii="Times New Roman" w:hAnsi="Times New Roman" w:cs="Times New Roman"/>
                      <w:color w:val="FF0000"/>
                      <w:sz w:val="21"/>
                      <w:szCs w:val="21"/>
                      <w:highlight w:val="none"/>
                    </w:rPr>
                  </w:pPr>
                  <w:r>
                    <w:rPr>
                      <w:rFonts w:hint="default" w:ascii="Times New Roman" w:hAnsi="Times New Roman" w:cs="Times New Roman"/>
                      <w:color w:val="auto"/>
                      <w:sz w:val="21"/>
                      <w:szCs w:val="21"/>
                      <w:highlight w:val="none"/>
                    </w:rPr>
                    <w:t>环保工程</w:t>
                  </w:r>
                </w:p>
              </w:tc>
              <w:tc>
                <w:tcPr>
                  <w:tcW w:w="1018" w:type="dxa"/>
                  <w:tcBorders>
                    <w:tl2br w:val="nil"/>
                    <w:tr2bl w:val="nil"/>
                  </w:tcBorders>
                  <w:noWrap w:val="0"/>
                  <w:vAlign w:val="center"/>
                </w:tcPr>
                <w:p w14:paraId="51F48E0E">
                  <w:pPr>
                    <w:jc w:val="center"/>
                    <w:rPr>
                      <w:rFonts w:hint="default" w:ascii="Times New Roman" w:hAnsi="Times New Roman" w:cs="Times New Roman"/>
                      <w:color w:val="FF0000"/>
                      <w:sz w:val="21"/>
                      <w:szCs w:val="21"/>
                      <w:highlight w:val="none"/>
                    </w:rPr>
                  </w:pPr>
                  <w:r>
                    <w:rPr>
                      <w:rFonts w:hint="default" w:ascii="Times New Roman" w:hAnsi="Times New Roman" w:cs="Times New Roman"/>
                      <w:color w:val="auto"/>
                      <w:sz w:val="21"/>
                      <w:szCs w:val="21"/>
                      <w:highlight w:val="none"/>
                    </w:rPr>
                    <w:t>废气</w:t>
                  </w:r>
                </w:p>
              </w:tc>
              <w:tc>
                <w:tcPr>
                  <w:tcW w:w="6514" w:type="dxa"/>
                  <w:gridSpan w:val="3"/>
                  <w:tcBorders>
                    <w:tl2br w:val="nil"/>
                    <w:tr2bl w:val="nil"/>
                  </w:tcBorders>
                  <w:noWrap w:val="0"/>
                  <w:vAlign w:val="center"/>
                </w:tcPr>
                <w:p w14:paraId="401CEAB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1.锅炉烟气：锅炉烟气</w:t>
                  </w:r>
                  <w:r>
                    <w:rPr>
                      <w:rFonts w:hint="eastAsia" w:ascii="Times New Roman" w:hAnsi="Times New Roman" w:cs="Times New Roman"/>
                      <w:color w:val="auto"/>
                      <w:sz w:val="21"/>
                      <w:szCs w:val="21"/>
                      <w:highlight w:val="none"/>
                      <w:lang w:val="en-US" w:eastAsia="zh-CN"/>
                    </w:rPr>
                    <w:t>通过“旋风多管陶瓷除尘器+布袋除尘器”处理后经35m高烟囱（DA001）有组织排放，</w:t>
                  </w:r>
                  <w:r>
                    <w:rPr>
                      <w:rFonts w:hint="default" w:ascii="Times New Roman" w:hAnsi="Times New Roman" w:eastAsia="宋体" w:cs="Times New Roman"/>
                      <w:color w:val="auto"/>
                      <w:kern w:val="2"/>
                      <w:sz w:val="21"/>
                      <w:szCs w:val="21"/>
                      <w:highlight w:val="none"/>
                      <w:u w:val="none"/>
                      <w:lang w:val="en-US" w:eastAsia="zh-CN" w:bidi="ar-SA"/>
                    </w:rPr>
                    <w:t>颗粒物、二氧化硫、氮氧化物、</w:t>
                  </w:r>
                  <w:r>
                    <w:rPr>
                      <w:rFonts w:hint="eastAsia" w:ascii="Times New Roman" w:hAnsi="Times New Roman" w:eastAsia="宋体" w:cs="Times New Roman"/>
                      <w:color w:val="auto"/>
                      <w:kern w:val="2"/>
                      <w:sz w:val="21"/>
                      <w:szCs w:val="21"/>
                      <w:highlight w:val="none"/>
                      <w:u w:val="none"/>
                      <w:lang w:val="en-US" w:eastAsia="zh-CN" w:bidi="ar-SA"/>
                    </w:rPr>
                    <w:t>汞及其化合物、</w:t>
                  </w:r>
                  <w:r>
                    <w:rPr>
                      <w:rFonts w:hint="default" w:ascii="Times New Roman" w:hAnsi="Times New Roman" w:eastAsia="宋体" w:cs="Times New Roman"/>
                      <w:color w:val="auto"/>
                      <w:kern w:val="2"/>
                      <w:sz w:val="21"/>
                      <w:szCs w:val="21"/>
                      <w:highlight w:val="none"/>
                      <w:u w:val="none"/>
                      <w:lang w:val="en-US" w:eastAsia="zh-CN" w:bidi="ar-SA"/>
                    </w:rPr>
                    <w:t>烟气黑度符合</w:t>
                  </w:r>
                  <w:r>
                    <w:rPr>
                      <w:rFonts w:hint="eastAsia" w:ascii="Times New Roman" w:hAnsi="Times New Roman" w:eastAsia="宋体" w:cs="Times New Roman"/>
                      <w:color w:val="auto"/>
                      <w:kern w:val="2"/>
                      <w:sz w:val="21"/>
                      <w:szCs w:val="21"/>
                      <w:highlight w:val="none"/>
                      <w:u w:val="none"/>
                      <w:lang w:val="en-US" w:eastAsia="zh-CN" w:bidi="ar-SA"/>
                    </w:rPr>
                    <w:t>《锅炉大气污染物排放标准》（GB13271-2014）表3中燃煤锅炉大气污染物特别排放限值</w:t>
                  </w:r>
                  <w:r>
                    <w:rPr>
                      <w:rFonts w:hint="default" w:ascii="Times New Roman" w:hAnsi="Times New Roman" w:eastAsia="宋体" w:cs="Times New Roman"/>
                      <w:color w:val="auto"/>
                      <w:kern w:val="2"/>
                      <w:sz w:val="21"/>
                      <w:szCs w:val="21"/>
                      <w:highlight w:val="none"/>
                      <w:u w:val="none"/>
                      <w:lang w:val="en-US" w:eastAsia="zh-CN" w:bidi="ar-SA"/>
                    </w:rPr>
                    <w:t>。</w:t>
                  </w:r>
                </w:p>
                <w:p w14:paraId="074D88B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2.灰渣暂存间颗粒物：灰渣暂存间采取密闭储存、洒水降尘等措施，可有效降低无组织粉尘排放，采取</w:t>
                  </w:r>
                  <w:r>
                    <w:rPr>
                      <w:rFonts w:hint="default" w:ascii="Times New Roman" w:hAnsi="Times New Roman" w:eastAsia="宋体" w:cs="Times New Roman"/>
                      <w:color w:val="auto"/>
                      <w:kern w:val="2"/>
                      <w:sz w:val="21"/>
                      <w:szCs w:val="21"/>
                      <w:highlight w:val="none"/>
                      <w:u w:val="none"/>
                      <w:lang w:val="en-US" w:eastAsia="zh-CN" w:bidi="ar-SA"/>
                    </w:rPr>
                    <w:t>上述废气治理措施处理后，无组织排放的颗粒物符合《大气污染物综合排放标准》（GB162</w:t>
                  </w:r>
                  <w:r>
                    <w:rPr>
                      <w:rFonts w:hint="default" w:ascii="Times New Roman" w:hAnsi="Times New Roman" w:eastAsia="宋体" w:cs="Times New Roman"/>
                      <w:color w:val="auto"/>
                      <w:sz w:val="21"/>
                      <w:szCs w:val="21"/>
                      <w:highlight w:val="none"/>
                    </w:rPr>
                    <w:t>97-1996）表2中颗粒物无组织排放监控浓度限值。</w:t>
                  </w:r>
                </w:p>
              </w:tc>
              <w:tc>
                <w:tcPr>
                  <w:tcW w:w="955" w:type="dxa"/>
                  <w:tcBorders>
                    <w:tl2br w:val="nil"/>
                    <w:tr2bl w:val="nil"/>
                  </w:tcBorders>
                  <w:noWrap w:val="0"/>
                  <w:vAlign w:val="center"/>
                </w:tcPr>
                <w:p w14:paraId="4B77CA7D">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新建</w:t>
                  </w:r>
                </w:p>
              </w:tc>
            </w:tr>
            <w:tr w14:paraId="033320C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3" w:type="dxa"/>
                  <w:vMerge w:val="continue"/>
                  <w:tcBorders>
                    <w:tl2br w:val="nil"/>
                    <w:tr2bl w:val="nil"/>
                  </w:tcBorders>
                  <w:noWrap w:val="0"/>
                  <w:vAlign w:val="center"/>
                </w:tcPr>
                <w:p w14:paraId="106E9589">
                  <w:pPr>
                    <w:jc w:val="center"/>
                    <w:rPr>
                      <w:rFonts w:hint="default" w:ascii="Times New Roman" w:hAnsi="Times New Roman" w:cs="Times New Roman"/>
                      <w:color w:val="FF0000"/>
                      <w:sz w:val="21"/>
                      <w:szCs w:val="21"/>
                      <w:highlight w:val="none"/>
                    </w:rPr>
                  </w:pPr>
                </w:p>
              </w:tc>
              <w:tc>
                <w:tcPr>
                  <w:tcW w:w="1018" w:type="dxa"/>
                  <w:tcBorders>
                    <w:tl2br w:val="nil"/>
                    <w:tr2bl w:val="nil"/>
                  </w:tcBorders>
                  <w:noWrap w:val="0"/>
                  <w:vAlign w:val="center"/>
                </w:tcPr>
                <w:p w14:paraId="52D62446">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w:t>
                  </w:r>
                </w:p>
              </w:tc>
              <w:tc>
                <w:tcPr>
                  <w:tcW w:w="6514" w:type="dxa"/>
                  <w:gridSpan w:val="3"/>
                  <w:tcBorders>
                    <w:tl2br w:val="nil"/>
                    <w:tr2bl w:val="nil"/>
                  </w:tcBorders>
                  <w:noWrap w:val="0"/>
                  <w:vAlign w:val="center"/>
                </w:tcPr>
                <w:p w14:paraId="5C115DE4">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主要废水为生活污水、锅炉排污水及软化处理废水。</w:t>
                  </w:r>
                </w:p>
                <w:p w14:paraId="2538D92B">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锅炉排污水及软化处理废水：锅炉排污水及软化处理废水少量用于灰渣转运、储存进行洒水抑尘</w:t>
                  </w:r>
                  <w:r>
                    <w:rPr>
                      <w:rFonts w:hint="eastAsia" w:ascii="Times New Roman" w:hAnsi="Times New Roman" w:cs="Times New Roman"/>
                      <w:color w:val="auto"/>
                      <w:sz w:val="21"/>
                      <w:szCs w:val="21"/>
                      <w:highlight w:val="none"/>
                      <w:lang w:val="en-US" w:eastAsia="zh-CN"/>
                    </w:rPr>
                    <w:t>。</w:t>
                  </w:r>
                </w:p>
                <w:p w14:paraId="00DF3A58">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cs="Times New Roman"/>
                      <w:color w:val="auto"/>
                      <w:kern w:val="0"/>
                      <w:sz w:val="21"/>
                      <w:szCs w:val="21"/>
                      <w:highlight w:val="yellow"/>
                      <w:lang w:val="en-US" w:eastAsia="zh-CN"/>
                    </w:rPr>
                  </w:pPr>
                  <w:r>
                    <w:rPr>
                      <w:rFonts w:hint="eastAsia"/>
                      <w:color w:val="auto"/>
                      <w:sz w:val="21"/>
                      <w:szCs w:val="21"/>
                      <w:highlight w:val="none"/>
                      <w:lang w:val="en-US" w:eastAsia="zh-CN"/>
                    </w:rPr>
                    <w:t>综合废水：生活污水、锅炉排污水及</w:t>
                  </w:r>
                  <w:r>
                    <w:rPr>
                      <w:rFonts w:hint="eastAsia" w:ascii="Times New Roman" w:hAnsi="Times New Roman" w:eastAsia="宋体" w:cs="Times New Roman"/>
                      <w:color w:val="auto"/>
                      <w:sz w:val="21"/>
                      <w:szCs w:val="21"/>
                      <w:highlight w:val="none"/>
                      <w:lang w:val="en-US" w:eastAsia="zh-CN"/>
                    </w:rPr>
                    <w:t>软化处理废水排入厂区化粪池，化粪池出水水质符合</w:t>
                  </w:r>
                  <w:r>
                    <w:rPr>
                      <w:rFonts w:hint="default" w:ascii="Times New Roman" w:hAnsi="Times New Roman" w:eastAsia="宋体" w:cs="Times New Roman"/>
                      <w:color w:val="auto"/>
                      <w:sz w:val="21"/>
                      <w:szCs w:val="21"/>
                      <w:highlight w:val="none"/>
                      <w:lang w:val="en-US" w:eastAsia="zh-CN"/>
                    </w:rPr>
                    <w:t>《污水综合排放标准》（GB8978-1996）表4中三级标准</w:t>
                  </w:r>
                  <w:r>
                    <w:rPr>
                      <w:rFonts w:hint="eastAsia" w:ascii="Times New Roman" w:hAnsi="Times New Roman" w:eastAsia="宋体" w:cs="Times New Roman"/>
                      <w:color w:val="auto"/>
                      <w:sz w:val="21"/>
                      <w:szCs w:val="21"/>
                      <w:highlight w:val="none"/>
                      <w:lang w:val="en-US" w:eastAsia="zh-CN"/>
                    </w:rPr>
                    <w:t>，</w:t>
                  </w:r>
                  <w:r>
                    <w:rPr>
                      <w:rFonts w:hint="eastAsia"/>
                      <w:color w:val="auto"/>
                      <w:sz w:val="21"/>
                      <w:szCs w:val="21"/>
                      <w:highlight w:val="none"/>
                      <w:lang w:val="en-US" w:eastAsia="zh-CN"/>
                    </w:rPr>
                    <w:t>通过10吨</w:t>
                  </w:r>
                  <w:r>
                    <w:rPr>
                      <w:rFonts w:hint="default" w:ascii="Times New Roman" w:hAnsi="Times New Roman" w:eastAsia="宋体" w:cs="Times New Roman"/>
                      <w:bCs/>
                      <w:color w:val="auto"/>
                      <w:sz w:val="21"/>
                      <w:szCs w:val="21"/>
                      <w:lang w:val="en-US" w:eastAsia="zh-CN"/>
                    </w:rPr>
                    <w:t>吸污车收</w:t>
                  </w:r>
                  <w:r>
                    <w:rPr>
                      <w:rFonts w:hint="default" w:ascii="Times New Roman" w:hAnsi="Times New Roman" w:eastAsia="宋体" w:cs="Times New Roman"/>
                      <w:bCs/>
                      <w:sz w:val="21"/>
                      <w:szCs w:val="21"/>
                      <w:lang w:val="en-US" w:eastAsia="zh-CN"/>
                    </w:rPr>
                    <w:t>集后，运至</w:t>
                  </w:r>
                  <w:r>
                    <w:rPr>
                      <w:rFonts w:hint="default" w:ascii="Times New Roman" w:hAnsi="Times New Roman" w:eastAsia="宋体" w:cs="Times New Roman"/>
                      <w:bCs/>
                      <w:sz w:val="21"/>
                      <w:szCs w:val="21"/>
                    </w:rPr>
                    <w:t>饶河县西林子乡</w:t>
                  </w:r>
                  <w:r>
                    <w:rPr>
                      <w:rFonts w:hint="default" w:ascii="Times New Roman" w:hAnsi="Times New Roman" w:eastAsia="宋体" w:cs="Times New Roman"/>
                      <w:bCs/>
                      <w:sz w:val="21"/>
                      <w:szCs w:val="21"/>
                      <w:lang w:val="en-US" w:eastAsia="zh-CN"/>
                    </w:rPr>
                    <w:t>污水处理站，污水处理站出水水质达到《城镇污水处理厂污染物排放标准》（GB18918-2002）及修改单中一级A标准，</w:t>
                  </w:r>
                  <w:r>
                    <w:rPr>
                      <w:rFonts w:hint="default" w:ascii="Times New Roman" w:hAnsi="Times New Roman" w:cs="Times New Roman"/>
                      <w:bCs/>
                      <w:sz w:val="21"/>
                      <w:szCs w:val="21"/>
                      <w:lang w:val="en-US" w:eastAsia="zh-CN"/>
                    </w:rPr>
                    <w:t>排入小安河</w:t>
                  </w:r>
                  <w:r>
                    <w:rPr>
                      <w:rFonts w:hint="eastAsia" w:cs="Times New Roman"/>
                      <w:bCs/>
                      <w:sz w:val="21"/>
                      <w:szCs w:val="21"/>
                      <w:lang w:val="en-US" w:eastAsia="zh-CN"/>
                    </w:rPr>
                    <w:t>。</w:t>
                  </w:r>
                </w:p>
              </w:tc>
              <w:tc>
                <w:tcPr>
                  <w:tcW w:w="955" w:type="dxa"/>
                  <w:tcBorders>
                    <w:tl2br w:val="nil"/>
                    <w:tr2bl w:val="nil"/>
                  </w:tcBorders>
                  <w:noWrap w:val="0"/>
                  <w:vAlign w:val="center"/>
                </w:tcPr>
                <w:p w14:paraId="29FFA15F">
                  <w:pPr>
                    <w:adjustRightInd w:val="0"/>
                    <w:snapToGrid w:val="0"/>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新建</w:t>
                  </w:r>
                </w:p>
              </w:tc>
            </w:tr>
            <w:tr w14:paraId="4F25DB4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3" w:type="dxa"/>
                  <w:vMerge w:val="continue"/>
                  <w:tcBorders>
                    <w:tl2br w:val="nil"/>
                    <w:tr2bl w:val="nil"/>
                  </w:tcBorders>
                  <w:noWrap w:val="0"/>
                  <w:vAlign w:val="center"/>
                </w:tcPr>
                <w:p w14:paraId="22F3FBA9">
                  <w:pPr>
                    <w:jc w:val="center"/>
                    <w:rPr>
                      <w:rFonts w:hint="default" w:ascii="Times New Roman" w:hAnsi="Times New Roman" w:cs="Times New Roman"/>
                      <w:color w:val="FF0000"/>
                      <w:sz w:val="21"/>
                      <w:szCs w:val="21"/>
                      <w:highlight w:val="none"/>
                    </w:rPr>
                  </w:pPr>
                </w:p>
              </w:tc>
              <w:tc>
                <w:tcPr>
                  <w:tcW w:w="1018" w:type="dxa"/>
                  <w:tcBorders>
                    <w:tl2br w:val="nil"/>
                    <w:tr2bl w:val="nil"/>
                  </w:tcBorders>
                  <w:noWrap w:val="0"/>
                  <w:vAlign w:val="center"/>
                </w:tcPr>
                <w:p w14:paraId="518E6C5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噪声</w:t>
                  </w:r>
                </w:p>
              </w:tc>
              <w:tc>
                <w:tcPr>
                  <w:tcW w:w="6514" w:type="dxa"/>
                  <w:gridSpan w:val="3"/>
                  <w:tcBorders>
                    <w:tl2br w:val="nil"/>
                    <w:tr2bl w:val="nil"/>
                  </w:tcBorders>
                  <w:noWrap w:val="0"/>
                  <w:vAlign w:val="center"/>
                </w:tcPr>
                <w:p w14:paraId="171911C5">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Times New Roman" w:hAnsi="Times New Roman"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项目采用低噪声环保设备、采取减振、降噪、隔声等措施治理噪声，经上述措施治理后，厂界噪声可满足《工业企业厂界环境噪声排放标准》（GB12348-2008）表1中2类标准的要求。</w:t>
                  </w:r>
                </w:p>
              </w:tc>
              <w:tc>
                <w:tcPr>
                  <w:tcW w:w="955" w:type="dxa"/>
                  <w:tcBorders>
                    <w:tl2br w:val="nil"/>
                    <w:tr2bl w:val="nil"/>
                  </w:tcBorders>
                  <w:noWrap w:val="0"/>
                  <w:vAlign w:val="center"/>
                </w:tcPr>
                <w:p w14:paraId="7D152AFE">
                  <w:pPr>
                    <w:adjustRightInd w:val="0"/>
                    <w:snapToGrid w:val="0"/>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新建</w:t>
                  </w:r>
                </w:p>
              </w:tc>
            </w:tr>
            <w:tr w14:paraId="7B39682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3" w:type="dxa"/>
                  <w:vMerge w:val="continue"/>
                  <w:tcBorders>
                    <w:tl2br w:val="nil"/>
                    <w:tr2bl w:val="nil"/>
                  </w:tcBorders>
                  <w:noWrap w:val="0"/>
                  <w:vAlign w:val="center"/>
                </w:tcPr>
                <w:p w14:paraId="28A0A369">
                  <w:pPr>
                    <w:jc w:val="center"/>
                    <w:rPr>
                      <w:rFonts w:hint="default" w:ascii="Times New Roman" w:hAnsi="Times New Roman" w:cs="Times New Roman"/>
                      <w:color w:val="FF0000"/>
                      <w:sz w:val="21"/>
                      <w:szCs w:val="21"/>
                      <w:highlight w:val="none"/>
                    </w:rPr>
                  </w:pPr>
                </w:p>
              </w:tc>
              <w:tc>
                <w:tcPr>
                  <w:tcW w:w="1018" w:type="dxa"/>
                  <w:tcBorders>
                    <w:tl2br w:val="nil"/>
                    <w:tr2bl w:val="nil"/>
                  </w:tcBorders>
                  <w:noWrap w:val="0"/>
                  <w:vAlign w:val="center"/>
                </w:tcPr>
                <w:p w14:paraId="64C7E949">
                  <w:pPr>
                    <w:jc w:val="center"/>
                    <w:rPr>
                      <w:rFonts w:hint="default" w:ascii="Times New Roman" w:hAnsi="Times New Roman" w:cs="Times New Roman"/>
                      <w:color w:val="FF0000"/>
                      <w:sz w:val="21"/>
                      <w:szCs w:val="21"/>
                      <w:highlight w:val="none"/>
                    </w:rPr>
                  </w:pPr>
                  <w:r>
                    <w:rPr>
                      <w:rFonts w:hint="default" w:ascii="Times New Roman" w:hAnsi="Times New Roman" w:cs="Times New Roman"/>
                      <w:color w:val="auto"/>
                      <w:sz w:val="21"/>
                      <w:szCs w:val="21"/>
                      <w:highlight w:val="none"/>
                    </w:rPr>
                    <w:t>固体废物</w:t>
                  </w:r>
                </w:p>
              </w:tc>
              <w:tc>
                <w:tcPr>
                  <w:tcW w:w="6514" w:type="dxa"/>
                  <w:gridSpan w:val="3"/>
                  <w:tcBorders>
                    <w:tl2br w:val="nil"/>
                    <w:tr2bl w:val="nil"/>
                  </w:tcBorders>
                  <w:noWrap w:val="0"/>
                  <w:vAlign w:val="center"/>
                </w:tcPr>
                <w:p w14:paraId="5A6DF692">
                  <w:pPr>
                    <w:ind w:firstLine="420" w:firstLineChars="200"/>
                    <w:jc w:val="left"/>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1.生活垃圾：生活垃圾经垃圾桶分类收集后，由环卫部门同一清运处理。</w:t>
                  </w:r>
                </w:p>
                <w:p w14:paraId="4C204692">
                  <w:pPr>
                    <w:ind w:firstLine="420" w:firstLineChars="200"/>
                    <w:jc w:val="left"/>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2.锅炉灰渣：锅炉灰渣</w:t>
                  </w:r>
                  <w:r>
                    <w:rPr>
                      <w:rFonts w:hint="default" w:ascii="Times New Roman" w:hAnsi="Times New Roman" w:eastAsia="宋体" w:cs="Times New Roman"/>
                      <w:color w:val="auto"/>
                      <w:kern w:val="2"/>
                      <w:sz w:val="21"/>
                      <w:szCs w:val="21"/>
                      <w:highlight w:val="none"/>
                      <w:lang w:val="en-US" w:eastAsia="zh-CN" w:bidi="ar"/>
                    </w:rPr>
                    <w:t>统一收集</w:t>
                  </w:r>
                  <w:r>
                    <w:rPr>
                      <w:rFonts w:hint="eastAsia" w:ascii="Times New Roman" w:hAnsi="Times New Roman" w:eastAsia="宋体" w:cs="Times New Roman"/>
                      <w:color w:val="auto"/>
                      <w:kern w:val="2"/>
                      <w:sz w:val="21"/>
                      <w:szCs w:val="21"/>
                      <w:highlight w:val="none"/>
                      <w:lang w:val="en-US" w:eastAsia="zh-CN" w:bidi="ar"/>
                    </w:rPr>
                    <w:t>袋装储存于</w:t>
                  </w:r>
                  <w:r>
                    <w:rPr>
                      <w:rFonts w:hint="eastAsia" w:cs="Times New Roman"/>
                      <w:color w:val="auto"/>
                      <w:kern w:val="2"/>
                      <w:sz w:val="21"/>
                      <w:szCs w:val="21"/>
                      <w:highlight w:val="none"/>
                      <w:lang w:val="en-US" w:eastAsia="zh-CN" w:bidi="ar"/>
                    </w:rPr>
                    <w:t>灰渣暂存间</w:t>
                  </w:r>
                  <w:r>
                    <w:rPr>
                      <w:rFonts w:hint="eastAsia" w:cs="Times New Roman"/>
                      <w:color w:val="auto"/>
                      <w:sz w:val="21"/>
                      <w:szCs w:val="21"/>
                      <w:highlight w:val="none"/>
                      <w:vertAlign w:val="baseline"/>
                      <w:lang w:val="en-US" w:eastAsia="zh-CN"/>
                    </w:rPr>
                    <w:t>，定期外售企业进行综合利用。</w:t>
                  </w:r>
                </w:p>
                <w:p w14:paraId="03E74A89">
                  <w:pPr>
                    <w:ind w:firstLine="420" w:firstLineChars="200"/>
                    <w:jc w:val="left"/>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3.废弃除尘布袋：废弃除尘布袋暂存于</w:t>
                  </w:r>
                  <w:r>
                    <w:rPr>
                      <w:rFonts w:hint="default" w:ascii="Times New Roman" w:hAnsi="Times New Roman" w:cs="Times New Roman"/>
                      <w:color w:val="auto"/>
                      <w:sz w:val="21"/>
                      <w:szCs w:val="21"/>
                      <w:highlight w:val="none"/>
                      <w:lang w:val="en-US" w:eastAsia="zh-CN"/>
                    </w:rPr>
                    <w:t>灰渣</w:t>
                  </w:r>
                  <w:r>
                    <w:rPr>
                      <w:rFonts w:hint="eastAsia" w:cs="Times New Roman"/>
                      <w:color w:val="auto"/>
                      <w:sz w:val="21"/>
                      <w:szCs w:val="21"/>
                      <w:highlight w:val="none"/>
                      <w:lang w:val="en-US" w:eastAsia="zh-CN"/>
                    </w:rPr>
                    <w:t>暂存间</w:t>
                  </w:r>
                  <w:r>
                    <w:rPr>
                      <w:rFonts w:hint="eastAsia" w:ascii="Times New Roman" w:hAnsi="Times New Roman" w:cs="Times New Roman"/>
                      <w:color w:val="auto"/>
                      <w:sz w:val="21"/>
                      <w:szCs w:val="21"/>
                      <w:highlight w:val="none"/>
                      <w:lang w:val="en-US" w:eastAsia="zh-CN" w:bidi="ar"/>
                    </w:rPr>
                    <w:t>指</w:t>
                  </w:r>
                  <w:r>
                    <w:rPr>
                      <w:rFonts w:hint="eastAsia" w:ascii="Times New Roman" w:hAnsi="Times New Roman" w:eastAsia="宋体" w:cs="Times New Roman"/>
                      <w:color w:val="auto"/>
                      <w:sz w:val="21"/>
                      <w:szCs w:val="21"/>
                      <w:highlight w:val="none"/>
                      <w:lang w:val="en-US" w:eastAsia="zh-CN" w:bidi="ar"/>
                    </w:rPr>
                    <w:t>定区域临时存放，定期委托具备处理能力单位回收处置。</w:t>
                  </w:r>
                </w:p>
                <w:p w14:paraId="68E8FCF1">
                  <w:pPr>
                    <w:ind w:firstLine="420" w:firstLineChars="200"/>
                    <w:jc w:val="left"/>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4.废弃包装物：外购燃料产生的废弃包装袋暂存于</w:t>
                  </w:r>
                  <w:r>
                    <w:rPr>
                      <w:rFonts w:hint="eastAsia" w:cs="Times New Roman"/>
                      <w:color w:val="auto"/>
                      <w:sz w:val="21"/>
                      <w:szCs w:val="21"/>
                      <w:highlight w:val="none"/>
                      <w:lang w:val="en-US" w:eastAsia="zh-CN"/>
                    </w:rPr>
                    <w:t>燃料贮存间</w:t>
                  </w:r>
                  <w:r>
                    <w:rPr>
                      <w:rFonts w:hint="eastAsia" w:ascii="Times New Roman" w:hAnsi="Times New Roman" w:cs="Times New Roman"/>
                      <w:color w:val="auto"/>
                      <w:sz w:val="21"/>
                      <w:szCs w:val="21"/>
                      <w:highlight w:val="none"/>
                      <w:lang w:val="en-US" w:eastAsia="zh-CN" w:bidi="ar"/>
                    </w:rPr>
                    <w:t>指</w:t>
                  </w:r>
                  <w:r>
                    <w:rPr>
                      <w:rFonts w:hint="eastAsia" w:ascii="Times New Roman" w:hAnsi="Times New Roman" w:eastAsia="宋体" w:cs="Times New Roman"/>
                      <w:color w:val="auto"/>
                      <w:sz w:val="21"/>
                      <w:szCs w:val="21"/>
                      <w:highlight w:val="none"/>
                      <w:lang w:val="en-US" w:eastAsia="zh-CN" w:bidi="ar"/>
                    </w:rPr>
                    <w:t>定区域临时存放，</w:t>
                  </w:r>
                  <w:r>
                    <w:rPr>
                      <w:rFonts w:hint="eastAsia" w:cs="Times New Roman"/>
                      <w:color w:val="auto"/>
                      <w:kern w:val="0"/>
                      <w:sz w:val="21"/>
                      <w:szCs w:val="21"/>
                      <w:highlight w:val="none"/>
                      <w:lang w:val="en-US" w:eastAsia="zh-CN" w:bidi="ar-SA"/>
                    </w:rPr>
                    <w:t>收集后统一进行外售。</w:t>
                  </w:r>
                </w:p>
                <w:p w14:paraId="3C701490">
                  <w:pPr>
                    <w:ind w:firstLine="420" w:firstLineChars="200"/>
                    <w:jc w:val="left"/>
                    <w:rPr>
                      <w:rFonts w:hint="default" w:ascii="Times New Roman" w:hAnsi="Times New Roman" w:eastAsia="宋体" w:cs="Times New Roman"/>
                      <w:color w:val="FF0000"/>
                      <w:kern w:val="0"/>
                      <w:sz w:val="21"/>
                      <w:szCs w:val="21"/>
                      <w:highlight w:val="none"/>
                      <w:lang w:val="en-US" w:eastAsia="zh-CN" w:bidi="ar-SA"/>
                    </w:rPr>
                  </w:pPr>
                  <w:r>
                    <w:rPr>
                      <w:rFonts w:hint="eastAsia" w:cs="Times New Roman"/>
                      <w:color w:val="auto"/>
                      <w:kern w:val="0"/>
                      <w:sz w:val="21"/>
                      <w:szCs w:val="21"/>
                      <w:highlight w:val="none"/>
                      <w:lang w:val="en-US" w:eastAsia="zh-CN" w:bidi="ar-SA"/>
                    </w:rPr>
                    <w:t>5.废弃离子交换树脂</w:t>
                  </w:r>
                  <w:r>
                    <w:rPr>
                      <w:rFonts w:hint="eastAsia" w:ascii="Times New Roman" w:hAnsi="Times New Roman" w:eastAsia="宋体" w:cs="Times New Roman"/>
                      <w:color w:val="auto"/>
                      <w:kern w:val="0"/>
                      <w:sz w:val="21"/>
                      <w:szCs w:val="21"/>
                      <w:highlight w:val="none"/>
                      <w:lang w:val="en-US" w:eastAsia="zh-CN" w:bidi="ar-SA"/>
                    </w:rPr>
                    <w:t>：废弃离子交换树脂每3年进行一次更换，不在厂区内暂存，</w:t>
                  </w:r>
                  <w:r>
                    <w:rPr>
                      <w:rFonts w:hint="eastAsia" w:cs="Times New Roman"/>
                      <w:color w:val="auto"/>
                      <w:kern w:val="0"/>
                      <w:sz w:val="21"/>
                      <w:szCs w:val="21"/>
                      <w:highlight w:val="none"/>
                      <w:lang w:val="en-US" w:eastAsia="zh-CN" w:bidi="ar-SA"/>
                    </w:rPr>
                    <w:t>更换后由厂家</w:t>
                  </w:r>
                  <w:r>
                    <w:rPr>
                      <w:rFonts w:hint="eastAsia" w:ascii="Times New Roman" w:hAnsi="Times New Roman" w:eastAsia="宋体" w:cs="Times New Roman"/>
                      <w:color w:val="auto"/>
                      <w:sz w:val="21"/>
                      <w:szCs w:val="21"/>
                      <w:highlight w:val="none"/>
                      <w:lang w:val="en-US" w:eastAsia="zh-CN" w:bidi="ar"/>
                    </w:rPr>
                    <w:t>回收处置。</w:t>
                  </w:r>
                </w:p>
              </w:tc>
              <w:tc>
                <w:tcPr>
                  <w:tcW w:w="955" w:type="dxa"/>
                  <w:tcBorders>
                    <w:tl2br w:val="nil"/>
                    <w:tr2bl w:val="nil"/>
                  </w:tcBorders>
                  <w:noWrap w:val="0"/>
                  <w:vAlign w:val="center"/>
                </w:tcPr>
                <w:p w14:paraId="544B6157">
                  <w:pPr>
                    <w:adjustRightInd w:val="0"/>
                    <w:snapToGrid w:val="0"/>
                    <w:jc w:val="center"/>
                    <w:rPr>
                      <w:rFonts w:hint="default" w:ascii="Times New Roman" w:hAnsi="Times New Roman" w:eastAsia="宋体" w:cs="Times New Roman"/>
                      <w:color w:val="FF0000"/>
                      <w:sz w:val="21"/>
                      <w:szCs w:val="21"/>
                      <w:highlight w:val="none"/>
                      <w:lang w:val="en-US" w:eastAsia="zh-CN"/>
                    </w:rPr>
                  </w:pPr>
                  <w:r>
                    <w:rPr>
                      <w:rFonts w:hint="eastAsia" w:cs="Times New Roman"/>
                      <w:color w:val="auto"/>
                      <w:sz w:val="21"/>
                      <w:szCs w:val="21"/>
                      <w:highlight w:val="none"/>
                      <w:lang w:val="en-US" w:eastAsia="zh-CN"/>
                    </w:rPr>
                    <w:t>新建</w:t>
                  </w:r>
                </w:p>
              </w:tc>
            </w:tr>
            <w:tr w14:paraId="5A32C64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3" w:type="dxa"/>
                  <w:tcBorders>
                    <w:tl2br w:val="nil"/>
                    <w:tr2bl w:val="nil"/>
                  </w:tcBorders>
                  <w:noWrap w:val="0"/>
                  <w:vAlign w:val="center"/>
                </w:tcPr>
                <w:p w14:paraId="5A2CE8D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依托工程</w:t>
                  </w:r>
                </w:p>
              </w:tc>
              <w:tc>
                <w:tcPr>
                  <w:tcW w:w="1018" w:type="dxa"/>
                  <w:tcBorders>
                    <w:tl2br w:val="nil"/>
                    <w:tr2bl w:val="nil"/>
                  </w:tcBorders>
                  <w:noWrap w:val="0"/>
                  <w:vAlign w:val="center"/>
                </w:tcPr>
                <w:p w14:paraId="6BE12954">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饶河县西林子乡污水处理站</w:t>
                  </w:r>
                </w:p>
              </w:tc>
              <w:tc>
                <w:tcPr>
                  <w:tcW w:w="6514" w:type="dxa"/>
                  <w:gridSpan w:val="3"/>
                  <w:tcBorders>
                    <w:tl2br w:val="nil"/>
                    <w:tr2bl w:val="nil"/>
                  </w:tcBorders>
                  <w:noWrap w:val="0"/>
                  <w:vAlign w:val="center"/>
                </w:tcPr>
                <w:p w14:paraId="007C9D45">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cs="Times New Roman"/>
                      <w:color w:val="auto"/>
                      <w:kern w:val="0"/>
                      <w:sz w:val="21"/>
                      <w:szCs w:val="21"/>
                      <w:highlight w:val="none"/>
                      <w:lang w:val="en-US" w:eastAsia="zh-CN" w:bidi="ar-SA"/>
                    </w:rPr>
                  </w:pPr>
                  <w:r>
                    <w:rPr>
                      <w:rFonts w:hint="default" w:ascii="Times New Roman" w:hAnsi="Times New Roman" w:eastAsia="宋体" w:cs="Times New Roman"/>
                      <w:bCs/>
                      <w:sz w:val="21"/>
                      <w:szCs w:val="21"/>
                      <w:lang w:val="en-US" w:eastAsia="zh-CN"/>
                    </w:rPr>
                    <w:t>饶河县西林子乡污水处理站位于西林子村的南部，桥东街南侧，小安河北侧</w:t>
                  </w:r>
                  <w:r>
                    <w:rPr>
                      <w:rFonts w:hint="eastAsia" w:ascii="Times New Roman" w:hAnsi="Times New Roman" w:eastAsia="宋体" w:cs="Times New Roman"/>
                      <w:bCs/>
                      <w:sz w:val="21"/>
                      <w:szCs w:val="21"/>
                      <w:lang w:val="en-US" w:eastAsia="zh-CN"/>
                    </w:rPr>
                    <w:t>，该污水处理站负责</w:t>
                  </w:r>
                  <w:r>
                    <w:rPr>
                      <w:rFonts w:hint="default" w:ascii="Times New Roman" w:hAnsi="Times New Roman" w:eastAsia="宋体" w:cs="Times New Roman"/>
                      <w:bCs/>
                      <w:sz w:val="21"/>
                      <w:szCs w:val="21"/>
                      <w:lang w:val="en-US" w:eastAsia="zh-CN"/>
                    </w:rPr>
                    <w:t>四排赫哲族乡四排赫哲族村</w:t>
                  </w:r>
                  <w:r>
                    <w:rPr>
                      <w:rFonts w:hint="eastAsia" w:ascii="Times New Roman" w:hAnsi="Times New Roman" w:eastAsia="宋体" w:cs="Times New Roman"/>
                      <w:bCs/>
                      <w:sz w:val="21"/>
                      <w:szCs w:val="21"/>
                      <w:lang w:val="en-US" w:eastAsia="zh-CN"/>
                    </w:rPr>
                    <w:t>等11个村屯的全部污水。</w:t>
                  </w:r>
                  <w:r>
                    <w:rPr>
                      <w:rFonts w:hint="default" w:ascii="Times New Roman" w:hAnsi="Times New Roman" w:eastAsia="宋体" w:cs="Times New Roman"/>
                      <w:bCs/>
                      <w:sz w:val="21"/>
                      <w:szCs w:val="21"/>
                      <w:lang w:val="en-US" w:eastAsia="zh-CN"/>
                    </w:rPr>
                    <w:t>设计</w:t>
                  </w:r>
                  <w:r>
                    <w:rPr>
                      <w:rFonts w:hint="default" w:ascii="Times New Roman" w:hAnsi="Times New Roman" w:eastAsia="宋体" w:cs="Times New Roman"/>
                      <w:bCs/>
                      <w:sz w:val="21"/>
                      <w:szCs w:val="21"/>
                    </w:rPr>
                    <w:t>污水处理</w:t>
                  </w:r>
                  <w:r>
                    <w:rPr>
                      <w:rFonts w:hint="default" w:ascii="Times New Roman" w:hAnsi="Times New Roman" w:eastAsia="宋体" w:cs="Times New Roman"/>
                      <w:bCs/>
                      <w:sz w:val="21"/>
                      <w:szCs w:val="21"/>
                      <w:lang w:val="en-US" w:eastAsia="zh-CN"/>
                    </w:rPr>
                    <w:t>能力</w:t>
                  </w:r>
                  <w:r>
                    <w:rPr>
                      <w:rFonts w:hint="default" w:ascii="Times New Roman" w:hAnsi="Times New Roman" w:eastAsia="宋体" w:cs="Times New Roman"/>
                      <w:bCs/>
                      <w:sz w:val="21"/>
                      <w:szCs w:val="21"/>
                    </w:rPr>
                    <w:t>为150</w:t>
                  </w:r>
                  <w:r>
                    <w:rPr>
                      <w:rFonts w:hint="default" w:ascii="Times New Roman" w:hAnsi="Times New Roman" w:eastAsia="宋体" w:cs="Times New Roman"/>
                      <w:bCs/>
                      <w:sz w:val="21"/>
                      <w:szCs w:val="21"/>
                      <w:lang w:val="en-US" w:eastAsia="zh-CN"/>
                    </w:rPr>
                    <w:t>m</w:t>
                  </w:r>
                  <w:r>
                    <w:rPr>
                      <w:rFonts w:hint="default" w:ascii="Times New Roman" w:hAnsi="Times New Roman" w:eastAsia="宋体" w:cs="Times New Roman"/>
                      <w:bCs/>
                      <w:sz w:val="21"/>
                      <w:szCs w:val="21"/>
                      <w:vertAlign w:val="superscript"/>
                      <w:lang w:val="en-US" w:eastAsia="zh-CN"/>
                    </w:rPr>
                    <w:t>3</w:t>
                  </w:r>
                  <w:r>
                    <w:rPr>
                      <w:rFonts w:hint="default" w:ascii="Times New Roman" w:hAnsi="Times New Roman" w:eastAsia="宋体" w:cs="Times New Roman"/>
                      <w:bCs/>
                      <w:sz w:val="21"/>
                      <w:szCs w:val="21"/>
                      <w:vertAlign w:val="baseline"/>
                      <w:lang w:val="en-US" w:eastAsia="zh-CN"/>
                    </w:rPr>
                    <w:t>/d</w:t>
                  </w:r>
                  <w:r>
                    <w:rPr>
                      <w:rFonts w:hint="default" w:ascii="Times New Roman" w:hAnsi="Times New Roman" w:eastAsia="宋体" w:cs="Times New Roman"/>
                      <w:bCs/>
                      <w:sz w:val="21"/>
                      <w:szCs w:val="21"/>
                      <w:lang w:val="en-US" w:eastAsia="zh-CN"/>
                    </w:rPr>
                    <w:t>，实际污水处理</w:t>
                  </w:r>
                  <w:r>
                    <w:rPr>
                      <w:rFonts w:hint="default" w:ascii="Times New Roman" w:hAnsi="Times New Roman" w:cs="Times New Roman"/>
                      <w:bCs/>
                      <w:sz w:val="21"/>
                      <w:szCs w:val="21"/>
                      <w:lang w:val="en-US" w:eastAsia="zh-CN"/>
                    </w:rPr>
                    <w:t>量120m</w:t>
                  </w:r>
                  <w:r>
                    <w:rPr>
                      <w:rFonts w:hint="default" w:ascii="Times New Roman" w:hAnsi="Times New Roman" w:cs="Times New Roman"/>
                      <w:bCs/>
                      <w:sz w:val="21"/>
                      <w:szCs w:val="21"/>
                      <w:vertAlign w:val="superscript"/>
                      <w:lang w:val="en-US" w:eastAsia="zh-CN"/>
                    </w:rPr>
                    <w:t>3</w:t>
                  </w:r>
                  <w:r>
                    <w:rPr>
                      <w:rFonts w:hint="default" w:ascii="Times New Roman" w:hAnsi="Times New Roman" w:cs="Times New Roman"/>
                      <w:bCs/>
                      <w:sz w:val="21"/>
                      <w:szCs w:val="21"/>
                      <w:lang w:val="en-US" w:eastAsia="zh-CN"/>
                    </w:rPr>
                    <w:t>/d</w:t>
                  </w:r>
                  <w:r>
                    <w:rPr>
                      <w:rFonts w:hint="eastAsia" w:ascii="Times New Roman" w:hAnsi="Times New Roman" w:cs="Times New Roman"/>
                      <w:bCs/>
                      <w:sz w:val="21"/>
                      <w:szCs w:val="21"/>
                      <w:lang w:val="en-US" w:eastAsia="zh-CN"/>
                    </w:rPr>
                    <w:t>；</w:t>
                  </w:r>
                  <w:r>
                    <w:rPr>
                      <w:rFonts w:hint="default" w:ascii="Times New Roman" w:hAnsi="Times New Roman" w:eastAsia="宋体" w:cs="Times New Roman"/>
                      <w:bCs/>
                      <w:sz w:val="21"/>
                      <w:szCs w:val="21"/>
                      <w:lang w:val="en-US" w:eastAsia="zh-CN"/>
                    </w:rPr>
                    <w:t>采用“预处理+EBIS+深度处理+消毒”工艺，</w:t>
                  </w:r>
                  <w:r>
                    <w:rPr>
                      <w:rFonts w:hint="eastAsia" w:ascii="Times New Roman" w:hAnsi="Times New Roman" w:cs="Times New Roman"/>
                      <w:bCs/>
                      <w:sz w:val="21"/>
                      <w:szCs w:val="21"/>
                      <w:lang w:val="en-US" w:eastAsia="zh-CN"/>
                    </w:rPr>
                    <w:t>污水处理站进水水质指标分别为COD350mg/L、BOD</w:t>
                  </w:r>
                  <w:r>
                    <w:rPr>
                      <w:rFonts w:hint="eastAsia" w:ascii="Times New Roman" w:hAnsi="Times New Roman" w:cs="Times New Roman"/>
                      <w:bCs/>
                      <w:sz w:val="21"/>
                      <w:szCs w:val="21"/>
                      <w:vertAlign w:val="subscript"/>
                      <w:lang w:val="en-US" w:eastAsia="zh-CN"/>
                    </w:rPr>
                    <w:t>5</w:t>
                  </w:r>
                  <w:r>
                    <w:rPr>
                      <w:rFonts w:hint="eastAsia" w:ascii="Times New Roman" w:hAnsi="Times New Roman" w:cs="Times New Roman"/>
                      <w:bCs/>
                      <w:sz w:val="21"/>
                      <w:szCs w:val="21"/>
                      <w:lang w:val="en-US" w:eastAsia="zh-CN"/>
                    </w:rPr>
                    <w:t>200mg/L、</w:t>
                  </w:r>
                  <w:r>
                    <w:rPr>
                      <w:rFonts w:hint="default" w:ascii="Times New Roman" w:hAnsi="Times New Roman" w:eastAsia="宋体" w:cs="Times New Roman"/>
                      <w:bCs/>
                      <w:sz w:val="21"/>
                      <w:szCs w:val="21"/>
                      <w:lang w:val="en-US" w:eastAsia="zh-CN"/>
                    </w:rPr>
                    <w:t>NH</w:t>
                  </w:r>
                  <w:r>
                    <w:rPr>
                      <w:rFonts w:hint="default" w:ascii="Times New Roman" w:hAnsi="Times New Roman" w:eastAsia="宋体" w:cs="Times New Roman"/>
                      <w:bCs/>
                      <w:sz w:val="21"/>
                      <w:szCs w:val="21"/>
                      <w:vertAlign w:val="subscript"/>
                      <w:lang w:val="en-US" w:eastAsia="zh-CN"/>
                    </w:rPr>
                    <w:t>3</w:t>
                  </w:r>
                  <w:r>
                    <w:rPr>
                      <w:rFonts w:hint="default" w:ascii="Times New Roman" w:hAnsi="Times New Roman" w:eastAsia="宋体" w:cs="Times New Roman"/>
                      <w:bCs/>
                      <w:sz w:val="21"/>
                      <w:szCs w:val="21"/>
                      <w:lang w:val="en-US" w:eastAsia="zh-CN"/>
                    </w:rPr>
                    <w:t>-N</w:t>
                  </w:r>
                  <w:r>
                    <w:rPr>
                      <w:rFonts w:hint="eastAsia" w:ascii="Times New Roman" w:hAnsi="Times New Roman" w:eastAsia="宋体" w:cs="Times New Roman"/>
                      <w:bCs/>
                      <w:sz w:val="21"/>
                      <w:szCs w:val="21"/>
                      <w:lang w:val="en-US" w:eastAsia="zh-CN"/>
                    </w:rPr>
                    <w:t>35mg/L</w:t>
                  </w:r>
                  <w:r>
                    <w:rPr>
                      <w:rFonts w:hint="eastAsia" w:ascii="Times New Roman" w:hAnsi="Times New Roman" w:cs="Times New Roman"/>
                      <w:bCs/>
                      <w:sz w:val="21"/>
                      <w:szCs w:val="21"/>
                      <w:lang w:val="en-US" w:eastAsia="zh-CN"/>
                    </w:rPr>
                    <w:t>、SS200mg/L、TN45mg/L、TP4.5mg/L，</w:t>
                  </w:r>
                  <w:r>
                    <w:rPr>
                      <w:rFonts w:hint="default" w:ascii="Times New Roman" w:hAnsi="Times New Roman" w:eastAsia="宋体" w:cs="Times New Roman"/>
                      <w:bCs/>
                      <w:sz w:val="21"/>
                      <w:szCs w:val="21"/>
                      <w:lang w:val="en-US" w:eastAsia="zh-CN"/>
                    </w:rPr>
                    <w:t>污水处理站出水水质达到《城镇污水处理厂污染物排放标准》（GB18918-2002）及修改单中一级A标准，</w:t>
                  </w:r>
                  <w:r>
                    <w:rPr>
                      <w:rFonts w:hint="default" w:ascii="Times New Roman" w:hAnsi="Times New Roman" w:cs="Times New Roman"/>
                      <w:bCs/>
                      <w:sz w:val="21"/>
                      <w:szCs w:val="21"/>
                      <w:lang w:val="en-US" w:eastAsia="zh-CN"/>
                    </w:rPr>
                    <w:t>排入小安河。</w:t>
                  </w:r>
                </w:p>
              </w:tc>
              <w:tc>
                <w:tcPr>
                  <w:tcW w:w="955" w:type="dxa"/>
                  <w:tcBorders>
                    <w:tl2br w:val="nil"/>
                    <w:tr2bl w:val="nil"/>
                  </w:tcBorders>
                  <w:noWrap w:val="0"/>
                  <w:vAlign w:val="center"/>
                </w:tcPr>
                <w:p w14:paraId="4450F6AE">
                  <w:pPr>
                    <w:adjustRightInd w:val="0"/>
                    <w:snapToGrid w:val="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依托</w:t>
                  </w:r>
                </w:p>
              </w:tc>
            </w:tr>
          </w:tbl>
          <w:p w14:paraId="54BAD0C6">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表2</w:t>
            </w:r>
            <w:r>
              <w:rPr>
                <w:rFonts w:hint="eastAsia" w:ascii="Times New Roman" w:hAnsi="Times New Roman" w:eastAsia="宋体" w:cs="Times New Roman"/>
                <w:b/>
                <w:bCs/>
                <w:color w:val="auto"/>
                <w:sz w:val="21"/>
                <w:szCs w:val="21"/>
                <w:highlight w:val="none"/>
                <w:lang w:val="en-US" w:eastAsia="zh-CN"/>
              </w:rPr>
              <w:t>-2</w:t>
            </w:r>
            <w:r>
              <w:rPr>
                <w:rFonts w:hint="default" w:ascii="Times New Roman" w:hAnsi="Times New Roman" w:eastAsia="宋体" w:cs="Times New Roman"/>
                <w:b/>
                <w:bCs/>
                <w:color w:val="auto"/>
                <w:sz w:val="21"/>
                <w:szCs w:val="21"/>
                <w:highlight w:val="none"/>
              </w:rPr>
              <w:t xml:space="preserve"> </w:t>
            </w:r>
            <w:r>
              <w:rPr>
                <w:rFonts w:hint="eastAsia" w:cs="Times New Roman"/>
                <w:b/>
                <w:bCs/>
                <w:color w:val="auto"/>
                <w:sz w:val="21"/>
                <w:szCs w:val="21"/>
                <w:highlight w:val="none"/>
                <w:lang w:val="en-US" w:eastAsia="zh-CN"/>
              </w:rPr>
              <w:t xml:space="preserve"> 项目</w:t>
            </w:r>
            <w:r>
              <w:rPr>
                <w:rFonts w:hint="eastAsia" w:ascii="Times New Roman" w:hAnsi="Times New Roman" w:eastAsia="宋体" w:cs="Times New Roman"/>
                <w:b/>
                <w:bCs/>
                <w:color w:val="auto"/>
                <w:sz w:val="21"/>
                <w:szCs w:val="21"/>
                <w:highlight w:val="none"/>
                <w:lang w:val="en-US" w:eastAsia="zh-CN"/>
              </w:rPr>
              <w:t>建筑组成表</w:t>
            </w:r>
          </w:p>
          <w:tbl>
            <w:tblPr>
              <w:tblStyle w:val="21"/>
              <w:tblW w:w="8930"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930"/>
              <w:gridCol w:w="1346"/>
              <w:gridCol w:w="1245"/>
              <w:gridCol w:w="2859"/>
              <w:gridCol w:w="832"/>
            </w:tblGrid>
            <w:tr w14:paraId="1D21AA7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l2br w:val="nil"/>
                    <w:tr2bl w:val="nil"/>
                  </w:tcBorders>
                  <w:vAlign w:val="center"/>
                </w:tcPr>
                <w:p w14:paraId="0F80B5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序号</w:t>
                  </w:r>
                </w:p>
              </w:tc>
              <w:tc>
                <w:tcPr>
                  <w:tcW w:w="1930" w:type="dxa"/>
                  <w:tcBorders>
                    <w:tl2br w:val="nil"/>
                    <w:tr2bl w:val="nil"/>
                  </w:tcBorders>
                  <w:vAlign w:val="center"/>
                </w:tcPr>
                <w:p w14:paraId="39FF02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建筑名称</w:t>
                  </w:r>
                </w:p>
              </w:tc>
              <w:tc>
                <w:tcPr>
                  <w:tcW w:w="1346" w:type="dxa"/>
                  <w:tcBorders>
                    <w:tl2br w:val="nil"/>
                    <w:tr2bl w:val="nil"/>
                  </w:tcBorders>
                  <w:vAlign w:val="center"/>
                </w:tcPr>
                <w:p w14:paraId="065BBC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占地面积</w:t>
                  </w:r>
                </w:p>
              </w:tc>
              <w:tc>
                <w:tcPr>
                  <w:tcW w:w="1245" w:type="dxa"/>
                  <w:tcBorders>
                    <w:tl2br w:val="nil"/>
                    <w:tr2bl w:val="nil"/>
                  </w:tcBorders>
                  <w:vAlign w:val="center"/>
                </w:tcPr>
                <w:p w14:paraId="416AC3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建筑面积</w:t>
                  </w:r>
                </w:p>
              </w:tc>
              <w:tc>
                <w:tcPr>
                  <w:tcW w:w="2859" w:type="dxa"/>
                  <w:tcBorders>
                    <w:tl2br w:val="nil"/>
                    <w:tr2bl w:val="nil"/>
                  </w:tcBorders>
                  <w:vAlign w:val="center"/>
                </w:tcPr>
                <w:p w14:paraId="4E5FC2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功能布置</w:t>
                  </w:r>
                </w:p>
              </w:tc>
              <w:tc>
                <w:tcPr>
                  <w:tcW w:w="832" w:type="dxa"/>
                  <w:tcBorders>
                    <w:tl2br w:val="nil"/>
                    <w:tr2bl w:val="nil"/>
                  </w:tcBorders>
                  <w:vAlign w:val="center"/>
                </w:tcPr>
                <w:p w14:paraId="16EA18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备注</w:t>
                  </w:r>
                </w:p>
              </w:tc>
            </w:tr>
            <w:tr w14:paraId="4C5222C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18" w:type="dxa"/>
                  <w:tcBorders>
                    <w:tl2br w:val="nil"/>
                    <w:tr2bl w:val="nil"/>
                  </w:tcBorders>
                  <w:vAlign w:val="center"/>
                </w:tcPr>
                <w:p w14:paraId="6CEED4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930" w:type="dxa"/>
                  <w:tcBorders>
                    <w:tl2br w:val="nil"/>
                    <w:tr2bl w:val="nil"/>
                  </w:tcBorders>
                  <w:vAlign w:val="center"/>
                </w:tcPr>
                <w:p w14:paraId="7ED6AE67">
                  <w:pPr>
                    <w:adjustRightInd w:val="0"/>
                    <w:snapToGrid w:val="0"/>
                    <w:jc w:val="center"/>
                    <w:rPr>
                      <w:rFonts w:hint="default" w:cs="Times New Roman"/>
                      <w:b w:val="0"/>
                      <w:color w:val="auto"/>
                      <w:kern w:val="2"/>
                      <w:sz w:val="21"/>
                      <w:szCs w:val="21"/>
                      <w:highlight w:val="none"/>
                      <w:lang w:val="en-US" w:eastAsia="zh-CN" w:bidi="ar-SA"/>
                    </w:rPr>
                  </w:pPr>
                  <w:r>
                    <w:rPr>
                      <w:rFonts w:hint="eastAsia" w:cs="Times New Roman"/>
                      <w:b w:val="0"/>
                      <w:color w:val="auto"/>
                      <w:kern w:val="2"/>
                      <w:sz w:val="21"/>
                      <w:szCs w:val="21"/>
                      <w:highlight w:val="none"/>
                      <w:lang w:val="en-US" w:eastAsia="zh-CN" w:bidi="ar-SA"/>
                    </w:rPr>
                    <w:t>锅炉房</w:t>
                  </w:r>
                </w:p>
              </w:tc>
              <w:tc>
                <w:tcPr>
                  <w:tcW w:w="1346" w:type="dxa"/>
                  <w:tcBorders>
                    <w:tl2br w:val="nil"/>
                    <w:tr2bl w:val="nil"/>
                  </w:tcBorders>
                  <w:vAlign w:val="center"/>
                </w:tcPr>
                <w:p w14:paraId="4CC87E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color w:val="auto"/>
                      <w:sz w:val="21"/>
                      <w:szCs w:val="21"/>
                      <w:highlight w:val="none"/>
                      <w:lang w:val="en-US" w:eastAsia="zh-CN"/>
                    </w:rPr>
                    <w:t>1187.8</w:t>
                  </w:r>
                  <w:r>
                    <w:rPr>
                      <w:rFonts w:hint="eastAsia" w:cs="Times New Roman"/>
                      <w:b w:val="0"/>
                      <w:bCs w:val="0"/>
                      <w:color w:val="auto"/>
                      <w:sz w:val="21"/>
                      <w:szCs w:val="21"/>
                      <w:highlight w:val="none"/>
                      <w:vertAlign w:val="baseline"/>
                      <w:lang w:val="en-US" w:eastAsia="zh-CN"/>
                    </w:rPr>
                    <w:t>m</w:t>
                  </w:r>
                  <w:r>
                    <w:rPr>
                      <w:rFonts w:hint="eastAsia" w:cs="Times New Roman"/>
                      <w:b w:val="0"/>
                      <w:bCs w:val="0"/>
                      <w:color w:val="auto"/>
                      <w:sz w:val="21"/>
                      <w:szCs w:val="21"/>
                      <w:highlight w:val="none"/>
                      <w:vertAlign w:val="superscript"/>
                      <w:lang w:val="en-US" w:eastAsia="zh-CN"/>
                    </w:rPr>
                    <w:t>2</w:t>
                  </w:r>
                </w:p>
              </w:tc>
              <w:tc>
                <w:tcPr>
                  <w:tcW w:w="1245" w:type="dxa"/>
                  <w:tcBorders>
                    <w:tl2br w:val="nil"/>
                    <w:tr2bl w:val="nil"/>
                  </w:tcBorders>
                  <w:vAlign w:val="center"/>
                </w:tcPr>
                <w:p w14:paraId="0999B0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color w:val="auto"/>
                      <w:sz w:val="21"/>
                      <w:szCs w:val="21"/>
                      <w:highlight w:val="none"/>
                      <w:lang w:val="en-US" w:eastAsia="zh-CN"/>
                    </w:rPr>
                    <w:t>1187.8</w:t>
                  </w:r>
                  <w:r>
                    <w:rPr>
                      <w:rFonts w:hint="eastAsia" w:cs="Times New Roman"/>
                      <w:b w:val="0"/>
                      <w:bCs w:val="0"/>
                      <w:color w:val="auto"/>
                      <w:sz w:val="21"/>
                      <w:szCs w:val="21"/>
                      <w:highlight w:val="none"/>
                      <w:vertAlign w:val="baseline"/>
                      <w:lang w:val="en-US" w:eastAsia="zh-CN"/>
                    </w:rPr>
                    <w:t>m</w:t>
                  </w:r>
                  <w:r>
                    <w:rPr>
                      <w:rFonts w:hint="eastAsia" w:cs="Times New Roman"/>
                      <w:b w:val="0"/>
                      <w:bCs w:val="0"/>
                      <w:color w:val="auto"/>
                      <w:sz w:val="21"/>
                      <w:szCs w:val="21"/>
                      <w:highlight w:val="none"/>
                      <w:vertAlign w:val="superscript"/>
                      <w:lang w:val="en-US" w:eastAsia="zh-CN"/>
                    </w:rPr>
                    <w:t>2</w:t>
                  </w:r>
                </w:p>
              </w:tc>
              <w:tc>
                <w:tcPr>
                  <w:tcW w:w="2859" w:type="dxa"/>
                  <w:tcBorders>
                    <w:tl2br w:val="nil"/>
                    <w:tr2bl w:val="nil"/>
                  </w:tcBorders>
                  <w:vAlign w:val="center"/>
                </w:tcPr>
                <w:p w14:paraId="641358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锅炉间、除尘间、水处理间等</w:t>
                  </w:r>
                </w:p>
              </w:tc>
              <w:tc>
                <w:tcPr>
                  <w:tcW w:w="832" w:type="dxa"/>
                  <w:tcBorders>
                    <w:tl2br w:val="nil"/>
                    <w:tr2bl w:val="nil"/>
                  </w:tcBorders>
                  <w:vAlign w:val="center"/>
                </w:tcPr>
                <w:p w14:paraId="3E0C7F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新建</w:t>
                  </w:r>
                </w:p>
              </w:tc>
            </w:tr>
            <w:tr w14:paraId="27C90F6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718" w:type="dxa"/>
                  <w:tcBorders>
                    <w:tl2br w:val="nil"/>
                    <w:tr2bl w:val="nil"/>
                  </w:tcBorders>
                  <w:vAlign w:val="center"/>
                </w:tcPr>
                <w:p w14:paraId="4B3BCA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2</w:t>
                  </w:r>
                </w:p>
              </w:tc>
              <w:tc>
                <w:tcPr>
                  <w:tcW w:w="1930" w:type="dxa"/>
                  <w:tcBorders>
                    <w:tl2br w:val="nil"/>
                    <w:tr2bl w:val="nil"/>
                  </w:tcBorders>
                  <w:vAlign w:val="center"/>
                </w:tcPr>
                <w:p w14:paraId="278A57F7">
                  <w:pPr>
                    <w:adjustRightInd w:val="0"/>
                    <w:snapToGrid w:val="0"/>
                    <w:jc w:val="center"/>
                    <w:rPr>
                      <w:rFonts w:hint="default" w:cs="Times New Roman"/>
                      <w:b w:val="0"/>
                      <w:color w:val="auto"/>
                      <w:kern w:val="2"/>
                      <w:sz w:val="21"/>
                      <w:szCs w:val="21"/>
                      <w:highlight w:val="none"/>
                      <w:lang w:val="en-US" w:eastAsia="zh-CN" w:bidi="ar-SA"/>
                    </w:rPr>
                  </w:pPr>
                  <w:r>
                    <w:rPr>
                      <w:rFonts w:hint="eastAsia" w:cs="Times New Roman"/>
                      <w:b w:val="0"/>
                      <w:color w:val="auto"/>
                      <w:kern w:val="2"/>
                      <w:sz w:val="21"/>
                      <w:szCs w:val="21"/>
                      <w:highlight w:val="none"/>
                      <w:lang w:val="en-US" w:eastAsia="zh-CN" w:bidi="ar-SA"/>
                    </w:rPr>
                    <w:t>综合用房</w:t>
                  </w:r>
                </w:p>
              </w:tc>
              <w:tc>
                <w:tcPr>
                  <w:tcW w:w="1346" w:type="dxa"/>
                  <w:tcBorders>
                    <w:tl2br w:val="nil"/>
                    <w:tr2bl w:val="nil"/>
                  </w:tcBorders>
                  <w:vAlign w:val="center"/>
                </w:tcPr>
                <w:p w14:paraId="328EFB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1"/>
                      <w:szCs w:val="21"/>
                      <w:highlight w:val="yellow"/>
                      <w:vertAlign w:val="baseline"/>
                      <w:lang w:val="en-US" w:eastAsia="zh-CN"/>
                    </w:rPr>
                  </w:pPr>
                  <w:r>
                    <w:rPr>
                      <w:rFonts w:hint="eastAsia" w:cs="Times New Roman"/>
                      <w:color w:val="auto"/>
                      <w:sz w:val="21"/>
                      <w:szCs w:val="21"/>
                      <w:highlight w:val="none"/>
                      <w:lang w:val="en-US" w:eastAsia="zh-CN"/>
                    </w:rPr>
                    <w:t>164.46</w:t>
                  </w:r>
                  <w:r>
                    <w:rPr>
                      <w:rFonts w:hint="eastAsia" w:cs="Times New Roman"/>
                      <w:b w:val="0"/>
                      <w:bCs w:val="0"/>
                      <w:color w:val="auto"/>
                      <w:sz w:val="21"/>
                      <w:szCs w:val="21"/>
                      <w:highlight w:val="none"/>
                      <w:vertAlign w:val="baseline"/>
                      <w:lang w:val="en-US" w:eastAsia="zh-CN"/>
                    </w:rPr>
                    <w:t>m</w:t>
                  </w:r>
                  <w:r>
                    <w:rPr>
                      <w:rFonts w:hint="eastAsia" w:cs="Times New Roman"/>
                      <w:b w:val="0"/>
                      <w:bCs w:val="0"/>
                      <w:color w:val="auto"/>
                      <w:sz w:val="21"/>
                      <w:szCs w:val="21"/>
                      <w:highlight w:val="none"/>
                      <w:vertAlign w:val="superscript"/>
                      <w:lang w:val="en-US" w:eastAsia="zh-CN"/>
                    </w:rPr>
                    <w:t>2</w:t>
                  </w:r>
                </w:p>
              </w:tc>
              <w:tc>
                <w:tcPr>
                  <w:tcW w:w="1245" w:type="dxa"/>
                  <w:tcBorders>
                    <w:tl2br w:val="nil"/>
                    <w:tr2bl w:val="nil"/>
                  </w:tcBorders>
                  <w:vAlign w:val="center"/>
                </w:tcPr>
                <w:p w14:paraId="70F497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21"/>
                      <w:szCs w:val="21"/>
                      <w:highlight w:val="yellow"/>
                      <w:vertAlign w:val="baseline"/>
                      <w:lang w:val="en-US" w:eastAsia="zh-CN"/>
                    </w:rPr>
                  </w:pPr>
                  <w:r>
                    <w:rPr>
                      <w:rFonts w:hint="eastAsia" w:cs="Times New Roman"/>
                      <w:color w:val="auto"/>
                      <w:sz w:val="21"/>
                      <w:szCs w:val="21"/>
                      <w:highlight w:val="none"/>
                      <w:lang w:val="en-US" w:eastAsia="zh-CN"/>
                    </w:rPr>
                    <w:t>164.46</w:t>
                  </w:r>
                  <w:r>
                    <w:rPr>
                      <w:rFonts w:hint="eastAsia" w:cs="Times New Roman"/>
                      <w:b w:val="0"/>
                      <w:bCs w:val="0"/>
                      <w:color w:val="auto"/>
                      <w:sz w:val="21"/>
                      <w:szCs w:val="21"/>
                      <w:highlight w:val="none"/>
                      <w:vertAlign w:val="baseline"/>
                      <w:lang w:val="en-US" w:eastAsia="zh-CN"/>
                    </w:rPr>
                    <w:t>m</w:t>
                  </w:r>
                  <w:r>
                    <w:rPr>
                      <w:rFonts w:hint="eastAsia" w:cs="Times New Roman"/>
                      <w:b w:val="0"/>
                      <w:bCs w:val="0"/>
                      <w:color w:val="auto"/>
                      <w:sz w:val="21"/>
                      <w:szCs w:val="21"/>
                      <w:highlight w:val="none"/>
                      <w:vertAlign w:val="superscript"/>
                      <w:lang w:val="en-US" w:eastAsia="zh-CN"/>
                    </w:rPr>
                    <w:t>2</w:t>
                  </w:r>
                </w:p>
              </w:tc>
              <w:tc>
                <w:tcPr>
                  <w:tcW w:w="2859" w:type="dxa"/>
                  <w:tcBorders>
                    <w:tl2br w:val="nil"/>
                    <w:tr2bl w:val="nil"/>
                  </w:tcBorders>
                  <w:vAlign w:val="center"/>
                </w:tcPr>
                <w:p w14:paraId="654D73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办公区、职工休息区</w:t>
                  </w:r>
                </w:p>
              </w:tc>
              <w:tc>
                <w:tcPr>
                  <w:tcW w:w="832" w:type="dxa"/>
                  <w:tcBorders>
                    <w:tl2br w:val="nil"/>
                    <w:tr2bl w:val="nil"/>
                  </w:tcBorders>
                  <w:vAlign w:val="center"/>
                </w:tcPr>
                <w:p w14:paraId="37B861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现有</w:t>
                  </w:r>
                </w:p>
              </w:tc>
            </w:tr>
            <w:tr w14:paraId="5903FA1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648" w:type="dxa"/>
                  <w:gridSpan w:val="2"/>
                  <w:tcBorders>
                    <w:tl2br w:val="nil"/>
                    <w:tr2bl w:val="nil"/>
                  </w:tcBorders>
                  <w:vAlign w:val="center"/>
                </w:tcPr>
                <w:p w14:paraId="2EFDDE36">
                  <w:pPr>
                    <w:adjustRightInd w:val="0"/>
                    <w:snapToGrid w:val="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合计</w:t>
                  </w:r>
                </w:p>
              </w:tc>
              <w:tc>
                <w:tcPr>
                  <w:tcW w:w="1346" w:type="dxa"/>
                  <w:tcBorders>
                    <w:tl2br w:val="nil"/>
                    <w:tr2bl w:val="nil"/>
                  </w:tcBorders>
                  <w:vAlign w:val="center"/>
                </w:tcPr>
                <w:p w14:paraId="0E4D73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1352.26m</w:t>
                  </w:r>
                  <w:r>
                    <w:rPr>
                      <w:rFonts w:hint="eastAsia" w:cs="Times New Roman"/>
                      <w:b w:val="0"/>
                      <w:bCs w:val="0"/>
                      <w:color w:val="auto"/>
                      <w:sz w:val="21"/>
                      <w:szCs w:val="21"/>
                      <w:highlight w:val="none"/>
                      <w:vertAlign w:val="superscript"/>
                      <w:lang w:val="en-US" w:eastAsia="zh-CN"/>
                    </w:rPr>
                    <w:t>2</w:t>
                  </w:r>
                </w:p>
              </w:tc>
              <w:tc>
                <w:tcPr>
                  <w:tcW w:w="1245" w:type="dxa"/>
                  <w:tcBorders>
                    <w:tl2br w:val="nil"/>
                    <w:tr2bl w:val="nil"/>
                  </w:tcBorders>
                  <w:vAlign w:val="center"/>
                </w:tcPr>
                <w:p w14:paraId="4B2008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1352.26m</w:t>
                  </w:r>
                  <w:r>
                    <w:rPr>
                      <w:rFonts w:hint="eastAsia" w:cs="Times New Roman"/>
                      <w:b w:val="0"/>
                      <w:bCs w:val="0"/>
                      <w:color w:val="auto"/>
                      <w:sz w:val="21"/>
                      <w:szCs w:val="21"/>
                      <w:highlight w:val="none"/>
                      <w:vertAlign w:val="superscript"/>
                      <w:lang w:val="en-US" w:eastAsia="zh-CN"/>
                    </w:rPr>
                    <w:t>2</w:t>
                  </w:r>
                </w:p>
              </w:tc>
              <w:tc>
                <w:tcPr>
                  <w:tcW w:w="2859" w:type="dxa"/>
                  <w:tcBorders>
                    <w:tl2br w:val="nil"/>
                    <w:tr2bl w:val="nil"/>
                  </w:tcBorders>
                  <w:vAlign w:val="center"/>
                </w:tcPr>
                <w:p w14:paraId="661EDD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32" w:type="dxa"/>
                  <w:tcBorders>
                    <w:tl2br w:val="nil"/>
                    <w:tr2bl w:val="nil"/>
                  </w:tcBorders>
                  <w:vAlign w:val="center"/>
                </w:tcPr>
                <w:p w14:paraId="14BCF6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w:t>
                  </w:r>
                </w:p>
              </w:tc>
            </w:tr>
          </w:tbl>
          <w:p w14:paraId="3CAFF9D9">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default" w:ascii="宋体" w:hAnsi="宋体" w:eastAsia="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二、主要</w:t>
            </w:r>
            <w:r>
              <w:rPr>
                <w:rFonts w:hint="eastAsia" w:ascii="宋体" w:hAnsi="宋体" w:cs="宋体"/>
                <w:b/>
                <w:bCs/>
                <w:color w:val="auto"/>
                <w:kern w:val="0"/>
                <w:sz w:val="24"/>
                <w:szCs w:val="24"/>
                <w:highlight w:val="none"/>
              </w:rPr>
              <w:t>原辅材料</w:t>
            </w:r>
          </w:p>
          <w:p w14:paraId="062E643B">
            <w:pPr>
              <w:pStyle w:val="43"/>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val="0"/>
                <w:bCs w:val="0"/>
                <w:color w:val="auto"/>
                <w:sz w:val="24"/>
                <w:szCs w:val="24"/>
                <w:highlight w:val="none"/>
                <w:lang w:val="en-US" w:eastAsia="zh-CN"/>
              </w:rPr>
            </w:pPr>
            <w:r>
              <w:rPr>
                <w:rFonts w:hint="eastAsia"/>
                <w:b/>
                <w:bCs/>
                <w:color w:val="auto"/>
                <w:sz w:val="24"/>
                <w:szCs w:val="24"/>
                <w:highlight w:val="none"/>
                <w:lang w:val="en-US" w:eastAsia="zh-CN"/>
              </w:rPr>
              <w:t>生物质成型燃料消耗量计算：</w:t>
            </w:r>
            <w:r>
              <w:rPr>
                <w:rFonts w:hint="eastAsia"/>
                <w:b w:val="0"/>
                <w:bCs w:val="0"/>
                <w:color w:val="auto"/>
                <w:sz w:val="24"/>
                <w:szCs w:val="24"/>
                <w:highlight w:val="none"/>
                <w:lang w:val="en-US" w:eastAsia="zh-CN"/>
              </w:rPr>
              <w:t>项目设置2台</w:t>
            </w:r>
            <w:r>
              <w:rPr>
                <w:rFonts w:hint="default" w:ascii="Times New Roman" w:hAnsi="Times New Roman" w:cs="Times New Roman"/>
                <w:b w:val="0"/>
                <w:bCs w:val="0"/>
                <w:color w:val="auto"/>
                <w:sz w:val="24"/>
                <w:szCs w:val="24"/>
                <w:highlight w:val="none"/>
                <w:lang w:val="en-US" w:eastAsia="zh-CN"/>
              </w:rPr>
              <w:t>5.6MW生物质</w:t>
            </w:r>
            <w:r>
              <w:rPr>
                <w:rFonts w:hint="eastAsia" w:ascii="Times New Roman" w:hAnsi="Times New Roman" w:cs="Times New Roman"/>
                <w:b w:val="0"/>
                <w:bCs w:val="0"/>
                <w:color w:val="auto"/>
                <w:sz w:val="24"/>
                <w:szCs w:val="24"/>
                <w:highlight w:val="none"/>
                <w:lang w:val="en-US" w:eastAsia="zh-CN"/>
              </w:rPr>
              <w:t>承压</w:t>
            </w:r>
            <w:r>
              <w:rPr>
                <w:rFonts w:hint="default" w:ascii="Times New Roman" w:hAnsi="Times New Roman" w:cs="Times New Roman"/>
                <w:b w:val="0"/>
                <w:bCs w:val="0"/>
                <w:color w:val="auto"/>
                <w:sz w:val="24"/>
                <w:szCs w:val="24"/>
                <w:highlight w:val="none"/>
                <w:lang w:val="en-US" w:eastAsia="zh-CN"/>
              </w:rPr>
              <w:t>热水锅炉，</w:t>
            </w:r>
            <w:r>
              <w:rPr>
                <w:rFonts w:hint="eastAsia" w:ascii="Times New Roman" w:hAnsi="Times New Roman" w:cs="Times New Roman"/>
                <w:b w:val="0"/>
                <w:bCs w:val="0"/>
                <w:color w:val="auto"/>
                <w:sz w:val="24"/>
                <w:szCs w:val="24"/>
                <w:highlight w:val="none"/>
                <w:lang w:val="en-US" w:eastAsia="zh-CN"/>
              </w:rPr>
              <w:t>1用1备，实际运行为1台，</w:t>
            </w:r>
            <w:r>
              <w:rPr>
                <w:rFonts w:hint="eastAsia"/>
                <w:b w:val="0"/>
                <w:bCs w:val="0"/>
                <w:color w:val="auto"/>
                <w:sz w:val="24"/>
                <w:szCs w:val="24"/>
                <w:highlight w:val="none"/>
                <w:lang w:val="en-US" w:eastAsia="zh-CN"/>
              </w:rPr>
              <w:t>按满负荷运行状态计算，</w:t>
            </w:r>
            <w:r>
              <w:rPr>
                <w:rFonts w:hint="default" w:ascii="Times New Roman" w:hAnsi="Times New Roman" w:cs="Times New Roman" w:eastAsiaTheme="minorEastAsia"/>
                <w:color w:val="auto"/>
                <w:sz w:val="24"/>
                <w:highlight w:val="none"/>
                <w:lang w:val="en-US" w:eastAsia="zh-CN"/>
              </w:rPr>
              <w:t>0.7</w:t>
            </w:r>
            <w:r>
              <w:rPr>
                <w:rFonts w:hint="default" w:ascii="Times New Roman" w:hAnsi="Times New Roman" w:cs="Times New Roman"/>
                <w:color w:val="auto"/>
                <w:sz w:val="24"/>
                <w:highlight w:val="none"/>
                <w:lang w:val="en-US" w:eastAsia="zh-CN"/>
              </w:rPr>
              <w:t>MW</w:t>
            </w:r>
            <w:r>
              <w:rPr>
                <w:rFonts w:hint="default" w:ascii="Times New Roman" w:hAnsi="Times New Roman" w:cs="Times New Roman" w:eastAsiaTheme="minorEastAsia"/>
                <w:color w:val="auto"/>
                <w:sz w:val="24"/>
                <w:highlight w:val="none"/>
              </w:rPr>
              <w:t>相当于</w:t>
            </w:r>
            <w:r>
              <w:rPr>
                <w:rFonts w:hint="default" w:ascii="Times New Roman" w:hAnsi="Times New Roman" w:cs="Times New Roman" w:eastAsiaTheme="minorEastAsia"/>
                <w:color w:val="auto"/>
                <w:sz w:val="24"/>
                <w:highlight w:val="none"/>
                <w:lang w:val="en-US" w:eastAsia="zh-CN"/>
              </w:rPr>
              <w:t>每小时可提供</w:t>
            </w:r>
            <w:r>
              <w:rPr>
                <w:rFonts w:hint="default" w:ascii="Times New Roman" w:hAnsi="Times New Roman" w:cs="Times New Roman" w:eastAsiaTheme="minorEastAsia"/>
                <w:color w:val="auto"/>
                <w:sz w:val="24"/>
                <w:highlight w:val="none"/>
              </w:rPr>
              <w:t>60万大卡，</w:t>
            </w:r>
            <w:r>
              <w:rPr>
                <w:rFonts w:hint="default" w:ascii="Times New Roman" w:hAnsi="Times New Roman" w:cs="Times New Roman"/>
                <w:b w:val="0"/>
                <w:bCs w:val="0"/>
                <w:color w:val="auto"/>
                <w:sz w:val="24"/>
                <w:szCs w:val="24"/>
                <w:highlight w:val="none"/>
                <w:lang w:val="en-US" w:eastAsia="zh-CN"/>
              </w:rPr>
              <w:t>则5.6MW相当于每小时可提供480万大卡，锅炉年运行</w:t>
            </w:r>
            <w:r>
              <w:rPr>
                <w:rFonts w:hint="eastAsia" w:ascii="Times New Roman" w:hAnsi="Times New Roman" w:cs="Times New Roman"/>
                <w:b w:val="0"/>
                <w:bCs w:val="0"/>
                <w:color w:val="auto"/>
                <w:sz w:val="24"/>
                <w:szCs w:val="24"/>
                <w:highlight w:val="none"/>
                <w:lang w:val="en-US" w:eastAsia="zh-CN"/>
              </w:rPr>
              <w:t>3834</w:t>
            </w:r>
            <w:r>
              <w:rPr>
                <w:rFonts w:hint="default" w:ascii="Times New Roman" w:hAnsi="Times New Roman" w:cs="Times New Roman"/>
                <w:b w:val="0"/>
                <w:bCs w:val="0"/>
                <w:color w:val="auto"/>
                <w:sz w:val="24"/>
                <w:szCs w:val="24"/>
                <w:highlight w:val="none"/>
                <w:lang w:val="en-US" w:eastAsia="zh-CN"/>
              </w:rPr>
              <w:t>h（</w:t>
            </w:r>
            <w:r>
              <w:rPr>
                <w:rFonts w:hint="eastAsia" w:ascii="Times New Roman" w:hAnsi="Times New Roman" w:cs="Times New Roman"/>
                <w:b w:val="0"/>
                <w:bCs w:val="0"/>
                <w:color w:val="auto"/>
                <w:sz w:val="24"/>
                <w:szCs w:val="24"/>
                <w:highlight w:val="none"/>
                <w:lang w:val="en-US" w:eastAsia="zh-CN"/>
              </w:rPr>
              <w:t>213</w:t>
            </w:r>
            <w:r>
              <w:rPr>
                <w:rFonts w:hint="default" w:ascii="Times New Roman" w:hAnsi="Times New Roman" w:cs="Times New Roman"/>
                <w:b w:val="0"/>
                <w:bCs w:val="0"/>
                <w:color w:val="auto"/>
                <w:sz w:val="24"/>
                <w:szCs w:val="24"/>
                <w:highlight w:val="none"/>
                <w:lang w:val="en-US" w:eastAsia="zh-CN"/>
              </w:rPr>
              <w:t>d，</w:t>
            </w:r>
            <w:r>
              <w:rPr>
                <w:rFonts w:hint="eastAsia" w:ascii="Times New Roman" w:hAnsi="Times New Roman" w:cs="Times New Roman"/>
                <w:b w:val="0"/>
                <w:bCs w:val="0"/>
                <w:color w:val="auto"/>
                <w:sz w:val="24"/>
                <w:szCs w:val="24"/>
                <w:highlight w:val="none"/>
                <w:lang w:val="en-US" w:eastAsia="zh-CN"/>
              </w:rPr>
              <w:t>18</w:t>
            </w:r>
            <w:r>
              <w:rPr>
                <w:rFonts w:hint="default" w:ascii="Times New Roman" w:hAnsi="Times New Roman" w:cs="Times New Roman"/>
                <w:b w:val="0"/>
                <w:bCs w:val="0"/>
                <w:color w:val="auto"/>
                <w:sz w:val="24"/>
                <w:szCs w:val="24"/>
                <w:highlight w:val="none"/>
                <w:lang w:val="en-US" w:eastAsia="zh-CN"/>
              </w:rPr>
              <w:t>h/d），锅炉热效率按8</w:t>
            </w:r>
            <w:r>
              <w:rPr>
                <w:rFonts w:hint="eastAsia" w:ascii="Times New Roman" w:hAnsi="Times New Roman" w:cs="Times New Roman"/>
                <w:b w:val="0"/>
                <w:bCs w:val="0"/>
                <w:color w:val="auto"/>
                <w:sz w:val="24"/>
                <w:szCs w:val="24"/>
                <w:highlight w:val="none"/>
                <w:lang w:val="en-US" w:eastAsia="zh-CN"/>
              </w:rPr>
              <w:t>3</w:t>
            </w:r>
            <w:r>
              <w:rPr>
                <w:rFonts w:hint="default" w:ascii="Times New Roman" w:hAnsi="Times New Roman" w:cs="Times New Roman"/>
                <w:b w:val="0"/>
                <w:bCs w:val="0"/>
                <w:color w:val="auto"/>
                <w:sz w:val="24"/>
                <w:szCs w:val="24"/>
                <w:highlight w:val="none"/>
                <w:lang w:val="en-US" w:eastAsia="zh-CN"/>
              </w:rPr>
              <w:t>%计，</w:t>
            </w:r>
            <w:r>
              <w:rPr>
                <w:rFonts w:hint="eastAsia" w:cs="Times New Roman"/>
                <w:color w:val="auto"/>
                <w:sz w:val="24"/>
                <w:szCs w:val="24"/>
                <w:highlight w:val="none"/>
                <w:lang w:val="en-US" w:eastAsia="zh-CN"/>
              </w:rPr>
              <w:t>根据生物质燃料组分分析（附件3）可知，生物质燃料收到基低位发热量为3565kcal/kg，则生物质成型燃料消耗量为1662kg/h，6219t/a。</w:t>
            </w:r>
          </w:p>
          <w:p w14:paraId="213EDF4D">
            <w:pPr>
              <w:pStyle w:val="4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b/>
                <w:bCs/>
                <w:color w:val="auto"/>
                <w:sz w:val="21"/>
                <w:szCs w:val="21"/>
                <w:highlight w:val="none"/>
                <w:lang w:val="en-US" w:eastAsia="zh-CN"/>
              </w:rPr>
            </w:pPr>
            <w:r>
              <w:rPr>
                <w:rFonts w:hint="eastAsia"/>
                <w:b/>
                <w:bCs/>
                <w:color w:val="auto"/>
                <w:sz w:val="21"/>
                <w:szCs w:val="21"/>
                <w:highlight w:val="none"/>
                <w:lang w:val="en-US" w:eastAsia="zh-CN"/>
              </w:rPr>
              <w:t>表2-3  原辅料一览表</w:t>
            </w:r>
          </w:p>
          <w:tbl>
            <w:tblPr>
              <w:tblStyle w:val="21"/>
              <w:tblW w:w="5000" w:type="pct"/>
              <w:tblInd w:w="5"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533"/>
              <w:gridCol w:w="925"/>
              <w:gridCol w:w="642"/>
              <w:gridCol w:w="1700"/>
              <w:gridCol w:w="1142"/>
              <w:gridCol w:w="1341"/>
              <w:gridCol w:w="929"/>
            </w:tblGrid>
            <w:tr w14:paraId="39EFBBD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0" w:type="pct"/>
                  <w:tcBorders>
                    <w:tl2br w:val="nil"/>
                    <w:tr2bl w:val="nil"/>
                  </w:tcBorders>
                  <w:noWrap w:val="0"/>
                  <w:vAlign w:val="center"/>
                </w:tcPr>
                <w:p w14:paraId="09254BCB">
                  <w:pPr>
                    <w:spacing w:line="240" w:lineRule="auto"/>
                    <w:contextualSpacing/>
                    <w:jc w:val="center"/>
                    <w:rPr>
                      <w:rFonts w:hint="default"/>
                      <w:b/>
                      <w:bCs/>
                      <w:color w:val="auto"/>
                      <w:sz w:val="21"/>
                      <w:szCs w:val="21"/>
                      <w:highlight w:val="none"/>
                      <w:vertAlign w:val="baseline"/>
                      <w:lang w:val="en-US" w:eastAsia="zh-CN"/>
                    </w:rPr>
                  </w:pPr>
                  <w:r>
                    <w:rPr>
                      <w:b/>
                      <w:bCs/>
                      <w:color w:val="auto"/>
                      <w:kern w:val="0"/>
                      <w:sz w:val="21"/>
                      <w:szCs w:val="21"/>
                      <w:highlight w:val="none"/>
                    </w:rPr>
                    <w:t>序号</w:t>
                  </w:r>
                </w:p>
              </w:tc>
              <w:tc>
                <w:tcPr>
                  <w:tcW w:w="858" w:type="pct"/>
                  <w:tcBorders>
                    <w:tl2br w:val="nil"/>
                    <w:tr2bl w:val="nil"/>
                  </w:tcBorders>
                  <w:noWrap w:val="0"/>
                  <w:vAlign w:val="center"/>
                </w:tcPr>
                <w:p w14:paraId="0653404D">
                  <w:pPr>
                    <w:spacing w:line="240" w:lineRule="auto"/>
                    <w:contextualSpacing/>
                    <w:jc w:val="center"/>
                    <w:rPr>
                      <w:rFonts w:hint="default"/>
                      <w:b/>
                      <w:bCs/>
                      <w:color w:val="auto"/>
                      <w:sz w:val="21"/>
                      <w:szCs w:val="21"/>
                      <w:highlight w:val="none"/>
                      <w:vertAlign w:val="baseline"/>
                      <w:lang w:val="en-US" w:eastAsia="zh-CN"/>
                    </w:rPr>
                  </w:pPr>
                  <w:r>
                    <w:rPr>
                      <w:b/>
                      <w:bCs/>
                      <w:color w:val="auto"/>
                      <w:kern w:val="0"/>
                      <w:sz w:val="21"/>
                      <w:szCs w:val="21"/>
                      <w:highlight w:val="none"/>
                    </w:rPr>
                    <w:t>名称</w:t>
                  </w:r>
                </w:p>
              </w:tc>
              <w:tc>
                <w:tcPr>
                  <w:tcW w:w="518" w:type="pct"/>
                  <w:tcBorders>
                    <w:tl2br w:val="nil"/>
                    <w:tr2bl w:val="nil"/>
                  </w:tcBorders>
                  <w:noWrap w:val="0"/>
                  <w:vAlign w:val="center"/>
                </w:tcPr>
                <w:p w14:paraId="1BFA4773">
                  <w:pPr>
                    <w:spacing w:line="240" w:lineRule="auto"/>
                    <w:contextualSpacing/>
                    <w:jc w:val="center"/>
                    <w:rPr>
                      <w:rFonts w:hint="default"/>
                      <w:b/>
                      <w:bCs/>
                      <w:color w:val="auto"/>
                      <w:sz w:val="21"/>
                      <w:szCs w:val="21"/>
                      <w:highlight w:val="none"/>
                      <w:vertAlign w:val="baseline"/>
                      <w:lang w:val="en-US" w:eastAsia="zh-CN"/>
                    </w:rPr>
                  </w:pPr>
                  <w:r>
                    <w:rPr>
                      <w:b/>
                      <w:bCs/>
                      <w:color w:val="auto"/>
                      <w:kern w:val="0"/>
                      <w:sz w:val="21"/>
                      <w:szCs w:val="21"/>
                      <w:highlight w:val="none"/>
                    </w:rPr>
                    <w:t>数量</w:t>
                  </w:r>
                </w:p>
              </w:tc>
              <w:tc>
                <w:tcPr>
                  <w:tcW w:w="359" w:type="pct"/>
                  <w:tcBorders>
                    <w:tl2br w:val="nil"/>
                    <w:tr2bl w:val="nil"/>
                  </w:tcBorders>
                  <w:noWrap w:val="0"/>
                  <w:vAlign w:val="center"/>
                </w:tcPr>
                <w:p w14:paraId="17223E2C">
                  <w:pPr>
                    <w:spacing w:line="240" w:lineRule="auto"/>
                    <w:contextualSpacing/>
                    <w:jc w:val="center"/>
                    <w:rPr>
                      <w:rFonts w:hint="default"/>
                      <w:b/>
                      <w:bCs/>
                      <w:color w:val="auto"/>
                      <w:sz w:val="21"/>
                      <w:szCs w:val="21"/>
                      <w:highlight w:val="none"/>
                      <w:vertAlign w:val="baseline"/>
                      <w:lang w:val="en-US" w:eastAsia="zh-CN"/>
                    </w:rPr>
                  </w:pPr>
                  <w:r>
                    <w:rPr>
                      <w:b/>
                      <w:bCs/>
                      <w:color w:val="auto"/>
                      <w:kern w:val="0"/>
                      <w:sz w:val="21"/>
                      <w:szCs w:val="21"/>
                      <w:highlight w:val="none"/>
                    </w:rPr>
                    <w:t>单位</w:t>
                  </w:r>
                </w:p>
              </w:tc>
              <w:tc>
                <w:tcPr>
                  <w:tcW w:w="952" w:type="pct"/>
                  <w:tcBorders>
                    <w:tl2br w:val="nil"/>
                    <w:tr2bl w:val="nil"/>
                  </w:tcBorders>
                  <w:noWrap w:val="0"/>
                  <w:vAlign w:val="center"/>
                </w:tcPr>
                <w:p w14:paraId="1AE00726">
                  <w:pPr>
                    <w:spacing w:line="240" w:lineRule="auto"/>
                    <w:contextualSpacing/>
                    <w:jc w:val="center"/>
                    <w:rPr>
                      <w:rFonts w:hint="default"/>
                      <w:b/>
                      <w:bCs/>
                      <w:color w:val="auto"/>
                      <w:sz w:val="21"/>
                      <w:szCs w:val="21"/>
                      <w:highlight w:val="none"/>
                      <w:vertAlign w:val="baseline"/>
                      <w:lang w:val="en-US" w:eastAsia="zh-CN"/>
                    </w:rPr>
                  </w:pPr>
                  <w:r>
                    <w:rPr>
                      <w:rFonts w:hint="eastAsia"/>
                      <w:b/>
                      <w:bCs/>
                      <w:color w:val="auto"/>
                      <w:kern w:val="0"/>
                      <w:sz w:val="21"/>
                      <w:szCs w:val="21"/>
                      <w:highlight w:val="none"/>
                      <w:lang w:val="en-US" w:eastAsia="zh-CN"/>
                    </w:rPr>
                    <w:t>厂区最大储存量</w:t>
                  </w:r>
                </w:p>
              </w:tc>
              <w:tc>
                <w:tcPr>
                  <w:tcW w:w="639" w:type="pct"/>
                  <w:tcBorders>
                    <w:tl2br w:val="nil"/>
                    <w:tr2bl w:val="nil"/>
                  </w:tcBorders>
                  <w:noWrap w:val="0"/>
                  <w:vAlign w:val="center"/>
                </w:tcPr>
                <w:p w14:paraId="5F26E839">
                  <w:pPr>
                    <w:spacing w:line="240" w:lineRule="auto"/>
                    <w:contextualSpacing/>
                    <w:jc w:val="center"/>
                    <w:rPr>
                      <w:rFonts w:hint="default"/>
                      <w:b/>
                      <w:bCs/>
                      <w:color w:val="auto"/>
                      <w:sz w:val="21"/>
                      <w:szCs w:val="21"/>
                      <w:highlight w:val="none"/>
                      <w:vertAlign w:val="baseline"/>
                      <w:lang w:val="en-US" w:eastAsia="zh-CN"/>
                    </w:rPr>
                  </w:pPr>
                  <w:r>
                    <w:rPr>
                      <w:rFonts w:hint="eastAsia"/>
                      <w:b/>
                      <w:bCs/>
                      <w:color w:val="auto"/>
                      <w:kern w:val="0"/>
                      <w:sz w:val="21"/>
                      <w:szCs w:val="21"/>
                      <w:highlight w:val="none"/>
                      <w:lang w:val="en-US" w:eastAsia="zh-CN"/>
                    </w:rPr>
                    <w:t>储存方式</w:t>
                  </w:r>
                </w:p>
              </w:tc>
              <w:tc>
                <w:tcPr>
                  <w:tcW w:w="751" w:type="pct"/>
                  <w:tcBorders>
                    <w:tl2br w:val="nil"/>
                    <w:tr2bl w:val="nil"/>
                  </w:tcBorders>
                  <w:noWrap w:val="0"/>
                  <w:vAlign w:val="center"/>
                </w:tcPr>
                <w:p w14:paraId="4A5FF138">
                  <w:pPr>
                    <w:spacing w:line="240" w:lineRule="auto"/>
                    <w:contextualSpacing/>
                    <w:jc w:val="center"/>
                    <w:rPr>
                      <w:rFonts w:hint="default"/>
                      <w:b/>
                      <w:bCs/>
                      <w:color w:val="auto"/>
                      <w:kern w:val="0"/>
                      <w:sz w:val="21"/>
                      <w:szCs w:val="21"/>
                      <w:highlight w:val="none"/>
                      <w:lang w:val="en-US" w:eastAsia="zh-CN"/>
                    </w:rPr>
                  </w:pPr>
                  <w:r>
                    <w:rPr>
                      <w:rFonts w:hint="eastAsia"/>
                      <w:b/>
                      <w:bCs/>
                      <w:color w:val="auto"/>
                      <w:sz w:val="21"/>
                      <w:szCs w:val="21"/>
                      <w:highlight w:val="none"/>
                      <w:vertAlign w:val="baseline"/>
                      <w:lang w:val="en-US" w:eastAsia="zh-CN"/>
                    </w:rPr>
                    <w:t>储存位置</w:t>
                  </w:r>
                </w:p>
              </w:tc>
              <w:tc>
                <w:tcPr>
                  <w:tcW w:w="520" w:type="pct"/>
                  <w:tcBorders>
                    <w:tl2br w:val="nil"/>
                    <w:tr2bl w:val="nil"/>
                  </w:tcBorders>
                  <w:noWrap w:val="0"/>
                  <w:vAlign w:val="center"/>
                </w:tcPr>
                <w:p w14:paraId="1BBA00DA">
                  <w:pPr>
                    <w:spacing w:line="240" w:lineRule="auto"/>
                    <w:contextualSpacing/>
                    <w:jc w:val="center"/>
                    <w:rPr>
                      <w:rFonts w:hint="default"/>
                      <w:b/>
                      <w:bCs/>
                      <w:color w:val="auto"/>
                      <w:kern w:val="0"/>
                      <w:sz w:val="21"/>
                      <w:szCs w:val="21"/>
                      <w:highlight w:val="none"/>
                      <w:lang w:val="en-US" w:eastAsia="zh-CN"/>
                    </w:rPr>
                  </w:pPr>
                  <w:r>
                    <w:rPr>
                      <w:rFonts w:hint="eastAsia"/>
                      <w:b/>
                      <w:bCs/>
                      <w:color w:val="auto"/>
                      <w:kern w:val="0"/>
                      <w:sz w:val="21"/>
                      <w:szCs w:val="21"/>
                      <w:highlight w:val="none"/>
                      <w:lang w:val="en-US" w:eastAsia="zh-CN"/>
                    </w:rPr>
                    <w:t>来源</w:t>
                  </w:r>
                </w:p>
              </w:tc>
            </w:tr>
            <w:tr w14:paraId="3B3CAE5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0" w:type="pct"/>
                  <w:tcBorders>
                    <w:tl2br w:val="nil"/>
                    <w:tr2bl w:val="nil"/>
                  </w:tcBorders>
                  <w:noWrap w:val="0"/>
                  <w:vAlign w:val="center"/>
                </w:tcPr>
                <w:p w14:paraId="7DC7CC0B">
                  <w:pPr>
                    <w:adjustRightInd w:val="0"/>
                    <w:snapToGrid w:val="0"/>
                    <w:spacing w:line="240" w:lineRule="auto"/>
                    <w:jc w:val="center"/>
                    <w:rPr>
                      <w:rFonts w:hint="default"/>
                      <w:color w:val="auto"/>
                      <w:sz w:val="21"/>
                      <w:szCs w:val="21"/>
                      <w:highlight w:val="none"/>
                      <w:vertAlign w:val="baseline"/>
                      <w:lang w:val="en-US" w:eastAsia="zh-CN"/>
                    </w:rPr>
                  </w:pPr>
                  <w:r>
                    <w:rPr>
                      <w:rFonts w:hint="eastAsia" w:ascii="Times New Roman" w:hAnsi="Times New Roman" w:eastAsia="宋体" w:cs="Times New Roman"/>
                      <w:color w:val="auto"/>
                      <w:kern w:val="2"/>
                      <w:sz w:val="21"/>
                      <w:szCs w:val="21"/>
                      <w:highlight w:val="none"/>
                      <w:lang w:val="en-US" w:eastAsia="zh-CN" w:bidi="ar-SA"/>
                    </w:rPr>
                    <w:t>1</w:t>
                  </w:r>
                </w:p>
              </w:tc>
              <w:tc>
                <w:tcPr>
                  <w:tcW w:w="858" w:type="pct"/>
                  <w:tcBorders>
                    <w:tl2br w:val="nil"/>
                    <w:tr2bl w:val="nil"/>
                  </w:tcBorders>
                  <w:noWrap w:val="0"/>
                  <w:vAlign w:val="center"/>
                </w:tcPr>
                <w:p w14:paraId="05B0B9D7">
                  <w:pPr>
                    <w:adjustRightInd w:val="0"/>
                    <w:snapToGrid w:val="0"/>
                    <w:spacing w:line="240" w:lineRule="auto"/>
                    <w:jc w:val="center"/>
                    <w:rPr>
                      <w:rFonts w:hint="default"/>
                      <w:color w:val="auto"/>
                      <w:sz w:val="21"/>
                      <w:szCs w:val="21"/>
                      <w:highlight w:val="none"/>
                      <w:vertAlign w:val="baseline"/>
                      <w:lang w:val="en-US" w:eastAsia="zh-CN"/>
                    </w:rPr>
                  </w:pPr>
                  <w:r>
                    <w:rPr>
                      <w:rFonts w:hint="eastAsia" w:cs="Times New Roman"/>
                      <w:color w:val="auto"/>
                      <w:kern w:val="2"/>
                      <w:sz w:val="21"/>
                      <w:szCs w:val="21"/>
                      <w:highlight w:val="none"/>
                      <w:lang w:val="en-US" w:eastAsia="zh-CN" w:bidi="ar-SA"/>
                    </w:rPr>
                    <w:t>生物质成型燃料</w:t>
                  </w:r>
                </w:p>
              </w:tc>
              <w:tc>
                <w:tcPr>
                  <w:tcW w:w="518" w:type="pct"/>
                  <w:tcBorders>
                    <w:tl2br w:val="nil"/>
                    <w:tr2bl w:val="nil"/>
                  </w:tcBorders>
                  <w:noWrap w:val="0"/>
                  <w:vAlign w:val="center"/>
                </w:tcPr>
                <w:p w14:paraId="3DEA48CE">
                  <w:pPr>
                    <w:adjustRightInd w:val="0"/>
                    <w:snapToGrid w:val="0"/>
                    <w:spacing w:line="240" w:lineRule="auto"/>
                    <w:jc w:val="center"/>
                    <w:rPr>
                      <w:rFonts w:hint="default"/>
                      <w:color w:val="auto"/>
                      <w:sz w:val="21"/>
                      <w:szCs w:val="21"/>
                      <w:highlight w:val="none"/>
                      <w:vertAlign w:val="baseline"/>
                      <w:lang w:val="en-US" w:eastAsia="zh-CN"/>
                    </w:rPr>
                  </w:pPr>
                  <w:r>
                    <w:rPr>
                      <w:rFonts w:hint="eastAsia" w:ascii="Times New Roman" w:hAnsi="Times New Roman" w:eastAsia="宋体" w:cs="Times New Roman"/>
                      <w:color w:val="auto"/>
                      <w:kern w:val="2"/>
                      <w:sz w:val="21"/>
                      <w:szCs w:val="21"/>
                      <w:highlight w:val="none"/>
                      <w:lang w:val="en-US" w:eastAsia="zh-CN" w:bidi="ar-SA"/>
                    </w:rPr>
                    <w:t>6219</w:t>
                  </w:r>
                </w:p>
              </w:tc>
              <w:tc>
                <w:tcPr>
                  <w:tcW w:w="359" w:type="pct"/>
                  <w:tcBorders>
                    <w:tl2br w:val="nil"/>
                    <w:tr2bl w:val="nil"/>
                  </w:tcBorders>
                  <w:noWrap w:val="0"/>
                  <w:vAlign w:val="center"/>
                </w:tcPr>
                <w:p w14:paraId="1EB211B8">
                  <w:pPr>
                    <w:adjustRightInd w:val="0"/>
                    <w:snapToGrid w:val="0"/>
                    <w:spacing w:line="240" w:lineRule="auto"/>
                    <w:jc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t/a</w:t>
                  </w:r>
                </w:p>
              </w:tc>
              <w:tc>
                <w:tcPr>
                  <w:tcW w:w="952" w:type="pct"/>
                  <w:tcBorders>
                    <w:tl2br w:val="nil"/>
                    <w:tr2bl w:val="nil"/>
                  </w:tcBorders>
                  <w:noWrap w:val="0"/>
                  <w:vAlign w:val="center"/>
                </w:tcPr>
                <w:p w14:paraId="24CBE531">
                  <w:pPr>
                    <w:adjustRightInd w:val="0"/>
                    <w:snapToGrid w:val="0"/>
                    <w:spacing w:line="240" w:lineRule="auto"/>
                    <w:jc w:val="center"/>
                    <w:rPr>
                      <w:rFonts w:hint="default"/>
                      <w:color w:val="auto"/>
                      <w:sz w:val="21"/>
                      <w:szCs w:val="21"/>
                      <w:highlight w:val="none"/>
                      <w:vertAlign w:val="baseline"/>
                      <w:lang w:val="en-US" w:eastAsia="zh-CN"/>
                    </w:rPr>
                  </w:pPr>
                  <w:r>
                    <w:rPr>
                      <w:rFonts w:hint="eastAsia" w:cs="Times New Roman"/>
                      <w:color w:val="auto"/>
                      <w:kern w:val="2"/>
                      <w:sz w:val="21"/>
                      <w:szCs w:val="21"/>
                      <w:highlight w:val="none"/>
                      <w:lang w:val="en-US" w:eastAsia="zh-CN" w:bidi="ar-SA"/>
                    </w:rPr>
                    <w:t>500t</w:t>
                  </w:r>
                </w:p>
              </w:tc>
              <w:tc>
                <w:tcPr>
                  <w:tcW w:w="639" w:type="pct"/>
                  <w:tcBorders>
                    <w:tl2br w:val="nil"/>
                    <w:tr2bl w:val="nil"/>
                  </w:tcBorders>
                  <w:noWrap w:val="0"/>
                  <w:vAlign w:val="center"/>
                </w:tcPr>
                <w:p w14:paraId="54024C73">
                  <w:pPr>
                    <w:adjustRightInd w:val="0"/>
                    <w:snapToGrid w:val="0"/>
                    <w:spacing w:line="240" w:lineRule="auto"/>
                    <w:jc w:val="center"/>
                    <w:rPr>
                      <w:rFonts w:hint="default"/>
                      <w:color w:val="auto"/>
                      <w:sz w:val="21"/>
                      <w:szCs w:val="21"/>
                      <w:highlight w:val="none"/>
                      <w:lang w:val="en-US" w:eastAsia="zh-CN"/>
                    </w:rPr>
                  </w:pPr>
                  <w:r>
                    <w:rPr>
                      <w:rFonts w:hint="eastAsia" w:cs="Times New Roman"/>
                      <w:color w:val="auto"/>
                      <w:kern w:val="2"/>
                      <w:sz w:val="21"/>
                      <w:szCs w:val="21"/>
                      <w:highlight w:val="none"/>
                      <w:lang w:val="en-US" w:eastAsia="zh-CN" w:bidi="ar-SA"/>
                    </w:rPr>
                    <w:t>袋装储存</w:t>
                  </w:r>
                </w:p>
              </w:tc>
              <w:tc>
                <w:tcPr>
                  <w:tcW w:w="751" w:type="pct"/>
                  <w:tcBorders>
                    <w:tl2br w:val="nil"/>
                    <w:tr2bl w:val="nil"/>
                  </w:tcBorders>
                  <w:noWrap w:val="0"/>
                  <w:vAlign w:val="center"/>
                </w:tcPr>
                <w:p w14:paraId="12B21BBE">
                  <w:pPr>
                    <w:adjustRightInd w:val="0"/>
                    <w:snapToGrid w:val="0"/>
                    <w:spacing w:line="240" w:lineRule="auto"/>
                    <w:jc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燃料贮存间</w:t>
                  </w:r>
                </w:p>
              </w:tc>
              <w:tc>
                <w:tcPr>
                  <w:tcW w:w="520" w:type="pct"/>
                  <w:tcBorders>
                    <w:tl2br w:val="nil"/>
                    <w:tr2bl w:val="nil"/>
                  </w:tcBorders>
                  <w:noWrap w:val="0"/>
                  <w:vAlign w:val="center"/>
                </w:tcPr>
                <w:p w14:paraId="5D1BBB79">
                  <w:pPr>
                    <w:adjustRightInd w:val="0"/>
                    <w:snapToGrid w:val="0"/>
                    <w:spacing w:line="240" w:lineRule="auto"/>
                    <w:jc w:val="center"/>
                    <w:rPr>
                      <w:rFonts w:hint="default"/>
                      <w:color w:val="auto"/>
                      <w:sz w:val="21"/>
                      <w:szCs w:val="21"/>
                      <w:highlight w:val="none"/>
                      <w:vertAlign w:val="baseline"/>
                      <w:lang w:val="en-US" w:eastAsia="zh-CN"/>
                    </w:rPr>
                  </w:pPr>
                  <w:r>
                    <w:rPr>
                      <w:rFonts w:hint="eastAsia" w:cs="Times New Roman"/>
                      <w:color w:val="auto"/>
                      <w:kern w:val="2"/>
                      <w:sz w:val="21"/>
                      <w:szCs w:val="21"/>
                      <w:highlight w:val="none"/>
                      <w:lang w:val="en-US" w:eastAsia="zh-CN" w:bidi="ar-SA"/>
                    </w:rPr>
                    <w:t>外购</w:t>
                  </w:r>
                </w:p>
              </w:tc>
            </w:tr>
            <w:tr w14:paraId="19AA847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0" w:type="pct"/>
                  <w:tcBorders>
                    <w:tl2br w:val="nil"/>
                    <w:tr2bl w:val="nil"/>
                  </w:tcBorders>
                  <w:noWrap w:val="0"/>
                  <w:vAlign w:val="center"/>
                </w:tcPr>
                <w:p w14:paraId="6FEA613E">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w:t>
                  </w:r>
                </w:p>
              </w:tc>
              <w:tc>
                <w:tcPr>
                  <w:tcW w:w="858" w:type="pct"/>
                  <w:tcBorders>
                    <w:tl2br w:val="nil"/>
                    <w:tr2bl w:val="nil"/>
                  </w:tcBorders>
                  <w:noWrap w:val="0"/>
                  <w:vAlign w:val="center"/>
                </w:tcPr>
                <w:p w14:paraId="4A8E9F7E">
                  <w:pPr>
                    <w:adjustRightInd w:val="0"/>
                    <w:snapToGrid w:val="0"/>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新鲜水</w:t>
                  </w:r>
                </w:p>
              </w:tc>
              <w:tc>
                <w:tcPr>
                  <w:tcW w:w="518" w:type="pct"/>
                  <w:tcBorders>
                    <w:tl2br w:val="nil"/>
                    <w:tr2bl w:val="nil"/>
                  </w:tcBorders>
                  <w:noWrap w:val="0"/>
                  <w:vAlign w:val="center"/>
                </w:tcPr>
                <w:p w14:paraId="41B311A5">
                  <w:pPr>
                    <w:adjustRightInd w:val="0"/>
                    <w:snapToGrid w:val="0"/>
                    <w:spacing w:line="240" w:lineRule="auto"/>
                    <w:jc w:val="center"/>
                    <w:rPr>
                      <w:rFonts w:hint="default"/>
                      <w:color w:val="auto"/>
                      <w:highlight w:val="none"/>
                      <w:lang w:val="en-US" w:eastAsia="zh-CN"/>
                    </w:rPr>
                  </w:pPr>
                  <w:r>
                    <w:rPr>
                      <w:rFonts w:hint="eastAsia"/>
                      <w:color w:val="auto"/>
                      <w:highlight w:val="none"/>
                      <w:lang w:val="en-US" w:eastAsia="zh-CN"/>
                    </w:rPr>
                    <w:t>4000</w:t>
                  </w:r>
                </w:p>
              </w:tc>
              <w:tc>
                <w:tcPr>
                  <w:tcW w:w="359" w:type="pct"/>
                  <w:tcBorders>
                    <w:tl2br w:val="nil"/>
                    <w:tr2bl w:val="nil"/>
                  </w:tcBorders>
                  <w:noWrap w:val="0"/>
                  <w:vAlign w:val="center"/>
                </w:tcPr>
                <w:p w14:paraId="28039C04">
                  <w:pPr>
                    <w:adjustRightInd w:val="0"/>
                    <w:snapToGrid w:val="0"/>
                    <w:spacing w:line="240" w:lineRule="auto"/>
                    <w:jc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t/a</w:t>
                  </w:r>
                </w:p>
              </w:tc>
              <w:tc>
                <w:tcPr>
                  <w:tcW w:w="952" w:type="pct"/>
                  <w:tcBorders>
                    <w:tl2br w:val="nil"/>
                    <w:tr2bl w:val="nil"/>
                  </w:tcBorders>
                  <w:noWrap w:val="0"/>
                  <w:vAlign w:val="center"/>
                </w:tcPr>
                <w:p w14:paraId="1BDC0B41">
                  <w:pPr>
                    <w:adjustRightInd w:val="0"/>
                    <w:snapToGrid w:val="0"/>
                    <w:spacing w:line="240" w:lineRule="auto"/>
                    <w:jc w:val="center"/>
                    <w:rPr>
                      <w:rFonts w:hint="eastAsia" w:cs="Times New Roman"/>
                      <w:color w:val="auto"/>
                      <w:kern w:val="2"/>
                      <w:sz w:val="21"/>
                      <w:szCs w:val="21"/>
                      <w:highlight w:val="none"/>
                      <w:lang w:val="en-US" w:eastAsia="zh-CN" w:bidi="ar-SA"/>
                    </w:rPr>
                  </w:pPr>
                  <w:r>
                    <w:rPr>
                      <w:rFonts w:hint="eastAsia"/>
                      <w:color w:val="auto"/>
                      <w:sz w:val="21"/>
                      <w:szCs w:val="21"/>
                      <w:highlight w:val="none"/>
                      <w:vertAlign w:val="baseline"/>
                      <w:lang w:val="en-US" w:eastAsia="zh-CN"/>
                    </w:rPr>
                    <w:t>/</w:t>
                  </w:r>
                </w:p>
              </w:tc>
              <w:tc>
                <w:tcPr>
                  <w:tcW w:w="639" w:type="pct"/>
                  <w:tcBorders>
                    <w:tl2br w:val="nil"/>
                    <w:tr2bl w:val="nil"/>
                  </w:tcBorders>
                  <w:noWrap w:val="0"/>
                  <w:vAlign w:val="center"/>
                </w:tcPr>
                <w:p w14:paraId="7AD7C104">
                  <w:pPr>
                    <w:adjustRightInd w:val="0"/>
                    <w:snapToGrid w:val="0"/>
                    <w:spacing w:line="240" w:lineRule="auto"/>
                    <w:jc w:val="center"/>
                    <w:rPr>
                      <w:rFonts w:hint="eastAsia" w:cs="Times New Roman"/>
                      <w:color w:val="auto"/>
                      <w:kern w:val="2"/>
                      <w:sz w:val="21"/>
                      <w:szCs w:val="21"/>
                      <w:highlight w:val="none"/>
                      <w:lang w:val="en-US" w:eastAsia="zh-CN" w:bidi="ar-SA"/>
                    </w:rPr>
                  </w:pPr>
                  <w:r>
                    <w:rPr>
                      <w:rFonts w:hint="eastAsia"/>
                      <w:color w:val="auto"/>
                      <w:sz w:val="21"/>
                      <w:szCs w:val="21"/>
                      <w:highlight w:val="none"/>
                      <w:vertAlign w:val="baseline"/>
                      <w:lang w:val="en-US" w:eastAsia="zh-CN"/>
                    </w:rPr>
                    <w:t>/</w:t>
                  </w:r>
                </w:p>
              </w:tc>
              <w:tc>
                <w:tcPr>
                  <w:tcW w:w="751" w:type="pct"/>
                  <w:tcBorders>
                    <w:tl2br w:val="nil"/>
                    <w:tr2bl w:val="nil"/>
                  </w:tcBorders>
                  <w:noWrap w:val="0"/>
                  <w:vAlign w:val="center"/>
                </w:tcPr>
                <w:p w14:paraId="75A1A0AE">
                  <w:pPr>
                    <w:adjustRightInd w:val="0"/>
                    <w:snapToGrid w:val="0"/>
                    <w:spacing w:line="240" w:lineRule="auto"/>
                    <w:jc w:val="center"/>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w:t>
                  </w:r>
                </w:p>
              </w:tc>
              <w:tc>
                <w:tcPr>
                  <w:tcW w:w="520" w:type="pct"/>
                  <w:tcBorders>
                    <w:tl2br w:val="nil"/>
                    <w:tr2bl w:val="nil"/>
                  </w:tcBorders>
                  <w:noWrap w:val="0"/>
                  <w:vAlign w:val="center"/>
                </w:tcPr>
                <w:p w14:paraId="1554009F">
                  <w:pPr>
                    <w:adjustRightInd w:val="0"/>
                    <w:snapToGrid w:val="0"/>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自来水</w:t>
                  </w:r>
                </w:p>
              </w:tc>
            </w:tr>
            <w:tr w14:paraId="4FEB9D3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0" w:type="pct"/>
                  <w:tcBorders>
                    <w:tl2br w:val="nil"/>
                    <w:tr2bl w:val="nil"/>
                  </w:tcBorders>
                  <w:noWrap w:val="0"/>
                  <w:vAlign w:val="center"/>
                </w:tcPr>
                <w:p w14:paraId="7EA8F73D">
                  <w:pPr>
                    <w:adjustRightInd w:val="0"/>
                    <w:snapToGrid w:val="0"/>
                    <w:spacing w:line="240" w:lineRule="auto"/>
                    <w:jc w:val="center"/>
                    <w:rPr>
                      <w:rFonts w:hint="default"/>
                      <w:color w:val="auto"/>
                      <w:sz w:val="21"/>
                      <w:szCs w:val="21"/>
                      <w:highlight w:val="none"/>
                      <w:vertAlign w:val="baseline"/>
                      <w:lang w:val="en-US" w:eastAsia="zh-CN"/>
                    </w:rPr>
                  </w:pPr>
                  <w:r>
                    <w:rPr>
                      <w:rFonts w:hint="eastAsia" w:ascii="Times New Roman" w:hAnsi="Times New Roman" w:eastAsia="宋体" w:cs="Times New Roman"/>
                      <w:color w:val="auto"/>
                      <w:kern w:val="2"/>
                      <w:sz w:val="21"/>
                      <w:szCs w:val="21"/>
                      <w:highlight w:val="none"/>
                      <w:lang w:val="en-US" w:eastAsia="zh-CN" w:bidi="ar-SA"/>
                    </w:rPr>
                    <w:t>3</w:t>
                  </w:r>
                </w:p>
              </w:tc>
              <w:tc>
                <w:tcPr>
                  <w:tcW w:w="858" w:type="pct"/>
                  <w:tcBorders>
                    <w:tl2br w:val="nil"/>
                    <w:tr2bl w:val="nil"/>
                  </w:tcBorders>
                  <w:noWrap w:val="0"/>
                  <w:vAlign w:val="center"/>
                </w:tcPr>
                <w:p w14:paraId="472E2534">
                  <w:pPr>
                    <w:adjustRightInd w:val="0"/>
                    <w:snapToGrid w:val="0"/>
                    <w:spacing w:line="240" w:lineRule="auto"/>
                    <w:jc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离子交换树脂</w:t>
                  </w:r>
                </w:p>
              </w:tc>
              <w:tc>
                <w:tcPr>
                  <w:tcW w:w="518" w:type="pct"/>
                  <w:tcBorders>
                    <w:tl2br w:val="nil"/>
                    <w:tr2bl w:val="nil"/>
                  </w:tcBorders>
                  <w:noWrap w:val="0"/>
                  <w:vAlign w:val="center"/>
                </w:tcPr>
                <w:p w14:paraId="45DC2729">
                  <w:pPr>
                    <w:adjustRightInd w:val="0"/>
                    <w:snapToGrid w:val="0"/>
                    <w:spacing w:line="240" w:lineRule="auto"/>
                    <w:jc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0.1</w:t>
                  </w:r>
                </w:p>
              </w:tc>
              <w:tc>
                <w:tcPr>
                  <w:tcW w:w="359" w:type="pct"/>
                  <w:tcBorders>
                    <w:tl2br w:val="nil"/>
                    <w:tr2bl w:val="nil"/>
                  </w:tcBorders>
                  <w:noWrap w:val="0"/>
                  <w:vAlign w:val="center"/>
                </w:tcPr>
                <w:p w14:paraId="7C5EABE2">
                  <w:pPr>
                    <w:adjustRightInd w:val="0"/>
                    <w:snapToGrid w:val="0"/>
                    <w:spacing w:line="240" w:lineRule="auto"/>
                    <w:jc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t/3a</w:t>
                  </w:r>
                </w:p>
              </w:tc>
              <w:tc>
                <w:tcPr>
                  <w:tcW w:w="952" w:type="pct"/>
                  <w:tcBorders>
                    <w:tl2br w:val="nil"/>
                    <w:tr2bl w:val="nil"/>
                  </w:tcBorders>
                  <w:noWrap w:val="0"/>
                  <w:vAlign w:val="center"/>
                </w:tcPr>
                <w:p w14:paraId="4EA3B18D">
                  <w:pPr>
                    <w:adjustRightInd w:val="0"/>
                    <w:snapToGrid w:val="0"/>
                    <w:spacing w:line="240" w:lineRule="auto"/>
                    <w:jc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w:t>
                  </w:r>
                </w:p>
              </w:tc>
              <w:tc>
                <w:tcPr>
                  <w:tcW w:w="639" w:type="pct"/>
                  <w:tcBorders>
                    <w:tl2br w:val="nil"/>
                    <w:tr2bl w:val="nil"/>
                  </w:tcBorders>
                  <w:noWrap w:val="0"/>
                  <w:vAlign w:val="center"/>
                </w:tcPr>
                <w:p w14:paraId="47A879BB">
                  <w:pPr>
                    <w:adjustRightInd w:val="0"/>
                    <w:snapToGrid w:val="0"/>
                    <w:spacing w:line="240" w:lineRule="auto"/>
                    <w:jc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w:t>
                  </w:r>
                </w:p>
              </w:tc>
              <w:tc>
                <w:tcPr>
                  <w:tcW w:w="751" w:type="pct"/>
                  <w:tcBorders>
                    <w:tl2br w:val="nil"/>
                    <w:tr2bl w:val="nil"/>
                  </w:tcBorders>
                  <w:noWrap w:val="0"/>
                  <w:vAlign w:val="center"/>
                </w:tcPr>
                <w:p w14:paraId="0FFB96B8">
                  <w:pPr>
                    <w:adjustRightInd w:val="0"/>
                    <w:snapToGrid w:val="0"/>
                    <w:spacing w:line="240" w:lineRule="auto"/>
                    <w:jc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w:t>
                  </w:r>
                </w:p>
              </w:tc>
              <w:tc>
                <w:tcPr>
                  <w:tcW w:w="520" w:type="pct"/>
                  <w:tcBorders>
                    <w:tl2br w:val="nil"/>
                    <w:tr2bl w:val="nil"/>
                  </w:tcBorders>
                  <w:noWrap w:val="0"/>
                  <w:vAlign w:val="center"/>
                </w:tcPr>
                <w:p w14:paraId="189FFB21">
                  <w:pPr>
                    <w:adjustRightInd w:val="0"/>
                    <w:snapToGrid w:val="0"/>
                    <w:spacing w:line="240" w:lineRule="auto"/>
                    <w:jc w:val="center"/>
                    <w:rPr>
                      <w:rFonts w:hint="default"/>
                      <w:color w:val="auto"/>
                      <w:sz w:val="21"/>
                      <w:szCs w:val="21"/>
                      <w:highlight w:val="none"/>
                      <w:vertAlign w:val="baseline"/>
                      <w:lang w:val="en-US" w:eastAsia="zh-CN"/>
                    </w:rPr>
                  </w:pPr>
                  <w:r>
                    <w:rPr>
                      <w:rFonts w:hint="eastAsia" w:cs="Times New Roman"/>
                      <w:color w:val="auto"/>
                      <w:kern w:val="2"/>
                      <w:sz w:val="21"/>
                      <w:szCs w:val="21"/>
                      <w:highlight w:val="none"/>
                      <w:lang w:val="en-US" w:eastAsia="zh-CN" w:bidi="ar-SA"/>
                    </w:rPr>
                    <w:t>外购</w:t>
                  </w:r>
                </w:p>
              </w:tc>
            </w:tr>
          </w:tbl>
          <w:p w14:paraId="6E66AD41">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default" w:ascii="Times New Roman" w:hAnsi="Times New Roman" w:cs="Times New Roman"/>
                <w:b/>
                <w:bCs/>
                <w:color w:val="auto"/>
                <w:kern w:val="0"/>
                <w:sz w:val="24"/>
                <w:szCs w:val="24"/>
                <w:highlight w:val="none"/>
                <w:lang w:val="en-US" w:eastAsia="zh-CN"/>
              </w:rPr>
            </w:pPr>
            <w:r>
              <w:rPr>
                <w:rFonts w:hint="default" w:ascii="Times New Roman" w:hAnsi="Times New Roman" w:cs="Times New Roman"/>
                <w:b/>
                <w:bCs/>
                <w:color w:val="auto"/>
                <w:kern w:val="0"/>
                <w:sz w:val="24"/>
                <w:szCs w:val="24"/>
                <w:highlight w:val="none"/>
                <w:lang w:val="en-US" w:eastAsia="zh-CN"/>
              </w:rPr>
              <w:t>三、主要设备</w:t>
            </w:r>
          </w:p>
          <w:p w14:paraId="5CA308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kern w:val="0"/>
                <w:sz w:val="24"/>
                <w:szCs w:val="24"/>
                <w:highlight w:val="none"/>
                <w:lang w:eastAsia="zh-CN"/>
              </w:rPr>
            </w:pPr>
            <w:r>
              <w:rPr>
                <w:rFonts w:hint="default" w:ascii="Times New Roman" w:hAnsi="Times New Roman" w:cs="Times New Roman"/>
                <w:color w:val="auto"/>
                <w:kern w:val="0"/>
                <w:sz w:val="24"/>
                <w:szCs w:val="24"/>
                <w:highlight w:val="none"/>
              </w:rPr>
              <w:t>本项目主要设备</w:t>
            </w:r>
            <w:r>
              <w:rPr>
                <w:rFonts w:hint="default" w:ascii="Times New Roman" w:hAnsi="Times New Roman" w:cs="Times New Roman"/>
                <w:color w:val="auto"/>
                <w:kern w:val="0"/>
                <w:sz w:val="24"/>
                <w:szCs w:val="24"/>
                <w:highlight w:val="none"/>
                <w:lang w:val="en-US" w:eastAsia="zh-CN"/>
              </w:rPr>
              <w:t>见表2-4</w:t>
            </w:r>
            <w:r>
              <w:rPr>
                <w:rFonts w:hint="eastAsia" w:ascii="Times New Roman" w:hAnsi="Times New Roman" w:cs="Times New Roman"/>
                <w:color w:val="auto"/>
                <w:kern w:val="0"/>
                <w:sz w:val="24"/>
                <w:szCs w:val="24"/>
                <w:highlight w:val="none"/>
                <w:lang w:val="en-US" w:eastAsia="zh-CN"/>
              </w:rPr>
              <w:t>、管道情况见表2-5</w:t>
            </w:r>
            <w:r>
              <w:rPr>
                <w:rFonts w:hint="default" w:ascii="Times New Roman" w:hAnsi="Times New Roman" w:cs="Times New Roman"/>
                <w:color w:val="auto"/>
                <w:kern w:val="0"/>
                <w:sz w:val="24"/>
                <w:szCs w:val="24"/>
                <w:highlight w:val="none"/>
                <w:lang w:eastAsia="zh-CN"/>
              </w:rPr>
              <w:t>。</w:t>
            </w:r>
          </w:p>
          <w:p w14:paraId="0A4C0D63">
            <w:pPr>
              <w:pStyle w:val="16"/>
              <w:rPr>
                <w:rFonts w:hint="eastAsia" w:ascii="宋体" w:hAnsi="宋体" w:cs="宋体"/>
                <w:color w:val="auto"/>
                <w:kern w:val="0"/>
                <w:sz w:val="24"/>
                <w:szCs w:val="24"/>
                <w:highlight w:val="none"/>
                <w:lang w:eastAsia="zh-CN"/>
              </w:rPr>
            </w:pPr>
          </w:p>
          <w:p w14:paraId="151444E9">
            <w:pPr>
              <w:rPr>
                <w:rFonts w:hint="eastAsia"/>
                <w:lang w:eastAsia="zh-CN"/>
              </w:rPr>
            </w:pPr>
          </w:p>
          <w:p w14:paraId="3E7F7BE5">
            <w:pPr>
              <w:spacing w:line="240" w:lineRule="auto"/>
              <w:jc w:val="center"/>
              <w:rPr>
                <w:rFonts w:hint="eastAsia"/>
                <w:b/>
                <w:bCs/>
                <w:color w:val="auto"/>
                <w:sz w:val="21"/>
                <w:szCs w:val="21"/>
                <w:highlight w:val="none"/>
              </w:rPr>
            </w:pPr>
            <w:r>
              <w:rPr>
                <w:rFonts w:hint="eastAsia"/>
                <w:b/>
                <w:bCs/>
                <w:color w:val="auto"/>
                <w:sz w:val="21"/>
                <w:szCs w:val="21"/>
                <w:highlight w:val="none"/>
              </w:rPr>
              <w:t>表</w:t>
            </w:r>
            <w:r>
              <w:rPr>
                <w:b/>
                <w:bCs/>
                <w:color w:val="auto"/>
                <w:sz w:val="21"/>
                <w:szCs w:val="21"/>
                <w:highlight w:val="none"/>
              </w:rPr>
              <w:t>2-</w:t>
            </w:r>
            <w:r>
              <w:rPr>
                <w:rFonts w:hint="eastAsia"/>
                <w:b/>
                <w:bCs/>
                <w:color w:val="auto"/>
                <w:sz w:val="21"/>
                <w:szCs w:val="21"/>
                <w:highlight w:val="none"/>
                <w:lang w:val="en-US" w:eastAsia="zh-CN"/>
              </w:rPr>
              <w:t>4</w:t>
            </w:r>
            <w:r>
              <w:rPr>
                <w:rFonts w:hint="eastAsia"/>
                <w:b/>
                <w:bCs/>
                <w:color w:val="auto"/>
                <w:sz w:val="21"/>
                <w:szCs w:val="21"/>
                <w:highlight w:val="none"/>
              </w:rPr>
              <w:t xml:space="preserve"> </w:t>
            </w:r>
            <w:r>
              <w:rPr>
                <w:rFonts w:hint="eastAsia"/>
                <w:b/>
                <w:bCs/>
                <w:color w:val="auto"/>
                <w:sz w:val="21"/>
                <w:szCs w:val="21"/>
                <w:highlight w:val="none"/>
                <w:lang w:val="en-US" w:eastAsia="zh-CN"/>
              </w:rPr>
              <w:t xml:space="preserve"> </w:t>
            </w:r>
            <w:r>
              <w:rPr>
                <w:rFonts w:hint="eastAsia"/>
                <w:b/>
                <w:bCs/>
                <w:color w:val="auto"/>
                <w:sz w:val="21"/>
                <w:szCs w:val="21"/>
                <w:highlight w:val="none"/>
              </w:rPr>
              <w:t>主要设备一览表</w:t>
            </w:r>
          </w:p>
          <w:tbl>
            <w:tblPr>
              <w:tblStyle w:val="21"/>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0"/>
              <w:gridCol w:w="2153"/>
              <w:gridCol w:w="3050"/>
              <w:gridCol w:w="1266"/>
              <w:gridCol w:w="1708"/>
            </w:tblGrid>
            <w:tr w14:paraId="17A8C67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tcBorders>
                    <w:tl2br w:val="nil"/>
                    <w:tr2bl w:val="nil"/>
                  </w:tcBorders>
                  <w:vAlign w:val="center"/>
                </w:tcPr>
                <w:p w14:paraId="189F01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sz w:val="21"/>
                      <w:szCs w:val="21"/>
                      <w:vertAlign w:val="baseline"/>
                      <w:lang w:val="en-US" w:eastAsia="zh-CN"/>
                    </w:rPr>
                  </w:pPr>
                  <w:r>
                    <w:rPr>
                      <w:rFonts w:hint="eastAsia"/>
                      <w:sz w:val="21"/>
                      <w:szCs w:val="21"/>
                      <w:vertAlign w:val="baseline"/>
                      <w:lang w:val="en-US" w:eastAsia="zh-CN"/>
                    </w:rPr>
                    <w:t>序号</w:t>
                  </w:r>
                </w:p>
              </w:tc>
              <w:tc>
                <w:tcPr>
                  <w:tcW w:w="2160" w:type="dxa"/>
                  <w:tcBorders>
                    <w:tl2br w:val="nil"/>
                    <w:tr2bl w:val="nil"/>
                  </w:tcBorders>
                  <w:vAlign w:val="center"/>
                </w:tcPr>
                <w:p w14:paraId="3EAFE0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名称</w:t>
                  </w:r>
                </w:p>
              </w:tc>
              <w:tc>
                <w:tcPr>
                  <w:tcW w:w="3060" w:type="dxa"/>
                  <w:tcBorders>
                    <w:tl2br w:val="nil"/>
                    <w:tr2bl w:val="nil"/>
                  </w:tcBorders>
                  <w:vAlign w:val="center"/>
                </w:tcPr>
                <w:p w14:paraId="715C90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型号/参数</w:t>
                  </w:r>
                </w:p>
              </w:tc>
              <w:tc>
                <w:tcPr>
                  <w:tcW w:w="1270" w:type="dxa"/>
                  <w:tcBorders>
                    <w:tl2br w:val="nil"/>
                    <w:tr2bl w:val="nil"/>
                  </w:tcBorders>
                  <w:vAlign w:val="center"/>
                </w:tcPr>
                <w:p w14:paraId="08674B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vertAlign w:val="baseline"/>
                    </w:rPr>
                  </w:pPr>
                  <w:r>
                    <w:rPr>
                      <w:rFonts w:hint="eastAsia"/>
                      <w:sz w:val="21"/>
                      <w:szCs w:val="21"/>
                      <w:vertAlign w:val="baseline"/>
                      <w:lang w:val="en-US" w:eastAsia="zh-CN"/>
                    </w:rPr>
                    <w:t>数量</w:t>
                  </w:r>
                </w:p>
              </w:tc>
              <w:tc>
                <w:tcPr>
                  <w:tcW w:w="1714" w:type="dxa"/>
                  <w:tcBorders>
                    <w:tl2br w:val="nil"/>
                    <w:tr2bl w:val="nil"/>
                  </w:tcBorders>
                  <w:vAlign w:val="center"/>
                </w:tcPr>
                <w:p w14:paraId="79752D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sz w:val="21"/>
                      <w:szCs w:val="21"/>
                      <w:vertAlign w:val="baseline"/>
                      <w:lang w:val="en-US" w:eastAsia="zh-CN"/>
                    </w:rPr>
                  </w:pPr>
                  <w:r>
                    <w:rPr>
                      <w:rFonts w:hint="eastAsia"/>
                      <w:sz w:val="21"/>
                      <w:szCs w:val="21"/>
                      <w:vertAlign w:val="baseline"/>
                      <w:lang w:val="en-US" w:eastAsia="zh-CN"/>
                    </w:rPr>
                    <w:t>备注</w:t>
                  </w:r>
                </w:p>
              </w:tc>
            </w:tr>
            <w:tr w14:paraId="34F0312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tcBorders>
                    <w:tl2br w:val="nil"/>
                    <w:tr2bl w:val="nil"/>
                  </w:tcBorders>
                  <w:vAlign w:val="center"/>
                </w:tcPr>
                <w:p w14:paraId="62D8A7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sz w:val="21"/>
                      <w:szCs w:val="21"/>
                      <w:vertAlign w:val="baseline"/>
                      <w:lang w:val="en-US" w:eastAsia="zh-CN"/>
                    </w:rPr>
                  </w:pPr>
                  <w:r>
                    <w:rPr>
                      <w:rFonts w:hint="eastAsia"/>
                      <w:sz w:val="21"/>
                      <w:szCs w:val="21"/>
                      <w:vertAlign w:val="baseline"/>
                      <w:lang w:val="en-US" w:eastAsia="zh-CN"/>
                    </w:rPr>
                    <w:t>1</w:t>
                  </w:r>
                </w:p>
              </w:tc>
              <w:tc>
                <w:tcPr>
                  <w:tcW w:w="2160" w:type="dxa"/>
                  <w:tcBorders>
                    <w:tl2br w:val="nil"/>
                    <w:tr2bl w:val="nil"/>
                  </w:tcBorders>
                  <w:vAlign w:val="center"/>
                </w:tcPr>
                <w:p w14:paraId="38C617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生物质锅炉</w:t>
                  </w:r>
                </w:p>
              </w:tc>
              <w:tc>
                <w:tcPr>
                  <w:tcW w:w="3060" w:type="dxa"/>
                  <w:tcBorders>
                    <w:tl2br w:val="nil"/>
                    <w:tr2bl w:val="nil"/>
                  </w:tcBorders>
                  <w:vAlign w:val="center"/>
                </w:tcPr>
                <w:p w14:paraId="42CBFA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额度供热量5.6MW，供回水温度75℃/50℃</w:t>
                  </w:r>
                </w:p>
              </w:tc>
              <w:tc>
                <w:tcPr>
                  <w:tcW w:w="1270" w:type="dxa"/>
                  <w:tcBorders>
                    <w:tl2br w:val="nil"/>
                    <w:tr2bl w:val="nil"/>
                  </w:tcBorders>
                  <w:vAlign w:val="center"/>
                </w:tcPr>
                <w:p w14:paraId="7A1EC9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2台</w:t>
                  </w:r>
                </w:p>
              </w:tc>
              <w:tc>
                <w:tcPr>
                  <w:tcW w:w="1714" w:type="dxa"/>
                  <w:tcBorders>
                    <w:tl2br w:val="nil"/>
                    <w:tr2bl w:val="nil"/>
                  </w:tcBorders>
                  <w:vAlign w:val="center"/>
                </w:tcPr>
                <w:p w14:paraId="75515B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1用1备</w:t>
                  </w:r>
                </w:p>
              </w:tc>
            </w:tr>
            <w:tr w14:paraId="1C81247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tcBorders>
                    <w:tl2br w:val="nil"/>
                    <w:tr2bl w:val="nil"/>
                  </w:tcBorders>
                  <w:vAlign w:val="center"/>
                </w:tcPr>
                <w:p w14:paraId="033039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sz w:val="21"/>
                      <w:szCs w:val="21"/>
                      <w:vertAlign w:val="baseline"/>
                      <w:lang w:val="en-US" w:eastAsia="zh-CN"/>
                    </w:rPr>
                  </w:pPr>
                  <w:r>
                    <w:rPr>
                      <w:rFonts w:hint="eastAsia"/>
                      <w:sz w:val="21"/>
                      <w:szCs w:val="21"/>
                      <w:vertAlign w:val="baseline"/>
                      <w:lang w:val="en-US" w:eastAsia="zh-CN"/>
                    </w:rPr>
                    <w:t>2</w:t>
                  </w:r>
                </w:p>
              </w:tc>
              <w:tc>
                <w:tcPr>
                  <w:tcW w:w="2160" w:type="dxa"/>
                  <w:tcBorders>
                    <w:tl2br w:val="nil"/>
                    <w:tr2bl w:val="nil"/>
                  </w:tcBorders>
                  <w:shd w:val="clear" w:color="auto" w:fill="auto"/>
                  <w:vAlign w:val="center"/>
                </w:tcPr>
                <w:p w14:paraId="21485D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螺旋上料机</w:t>
                  </w:r>
                </w:p>
              </w:tc>
              <w:tc>
                <w:tcPr>
                  <w:tcW w:w="3060" w:type="dxa"/>
                  <w:tcBorders>
                    <w:tl2br w:val="nil"/>
                    <w:tr2bl w:val="nil"/>
                  </w:tcBorders>
                  <w:vAlign w:val="center"/>
                </w:tcPr>
                <w:p w14:paraId="6F5154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锅炉配套</w:t>
                  </w:r>
                </w:p>
              </w:tc>
              <w:tc>
                <w:tcPr>
                  <w:tcW w:w="1270" w:type="dxa"/>
                  <w:tcBorders>
                    <w:tl2br w:val="nil"/>
                    <w:tr2bl w:val="nil"/>
                  </w:tcBorders>
                  <w:vAlign w:val="center"/>
                </w:tcPr>
                <w:p w14:paraId="2607CC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3台</w:t>
                  </w:r>
                </w:p>
              </w:tc>
              <w:tc>
                <w:tcPr>
                  <w:tcW w:w="1714" w:type="dxa"/>
                  <w:tcBorders>
                    <w:tl2br w:val="nil"/>
                    <w:tr2bl w:val="nil"/>
                  </w:tcBorders>
                  <w:vAlign w:val="center"/>
                </w:tcPr>
                <w:p w14:paraId="7FE0C1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sz w:val="21"/>
                      <w:szCs w:val="21"/>
                      <w:vertAlign w:val="baseline"/>
                      <w:lang w:val="en-US" w:eastAsia="zh-CN"/>
                    </w:rPr>
                  </w:pPr>
                  <w:r>
                    <w:rPr>
                      <w:rFonts w:hint="eastAsia"/>
                      <w:sz w:val="21"/>
                      <w:szCs w:val="21"/>
                      <w:vertAlign w:val="baseline"/>
                      <w:lang w:val="en-US" w:eastAsia="zh-CN"/>
                    </w:rPr>
                    <w:t>2用1备</w:t>
                  </w:r>
                </w:p>
              </w:tc>
            </w:tr>
            <w:tr w14:paraId="0222766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tcBorders>
                    <w:tl2br w:val="nil"/>
                    <w:tr2bl w:val="nil"/>
                  </w:tcBorders>
                  <w:shd w:val="clear" w:color="auto" w:fill="auto"/>
                  <w:vAlign w:val="center"/>
                </w:tcPr>
                <w:p w14:paraId="61307B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3</w:t>
                  </w:r>
                </w:p>
              </w:tc>
              <w:tc>
                <w:tcPr>
                  <w:tcW w:w="2160" w:type="dxa"/>
                  <w:tcBorders>
                    <w:tl2br w:val="nil"/>
                    <w:tr2bl w:val="nil"/>
                  </w:tcBorders>
                  <w:shd w:val="clear" w:color="auto" w:fill="auto"/>
                  <w:vAlign w:val="center"/>
                </w:tcPr>
                <w:p w14:paraId="2A59E8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鼓风机</w:t>
                  </w:r>
                </w:p>
              </w:tc>
              <w:tc>
                <w:tcPr>
                  <w:tcW w:w="3060" w:type="dxa"/>
                  <w:tcBorders>
                    <w:tl2br w:val="nil"/>
                    <w:tr2bl w:val="nil"/>
                  </w:tcBorders>
                  <w:shd w:val="clear" w:color="auto" w:fill="auto"/>
                  <w:vAlign w:val="center"/>
                </w:tcPr>
                <w:p w14:paraId="647E27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风量13000m</w:t>
                  </w:r>
                  <w:r>
                    <w:rPr>
                      <w:rFonts w:hint="eastAsia"/>
                      <w:sz w:val="21"/>
                      <w:szCs w:val="21"/>
                      <w:vertAlign w:val="superscript"/>
                      <w:lang w:val="en-US" w:eastAsia="zh-CN"/>
                    </w:rPr>
                    <w:t>3</w:t>
                  </w:r>
                  <w:r>
                    <w:rPr>
                      <w:rFonts w:hint="eastAsia"/>
                      <w:sz w:val="21"/>
                      <w:szCs w:val="21"/>
                      <w:vertAlign w:val="baseline"/>
                      <w:lang w:val="en-US" w:eastAsia="zh-CN"/>
                    </w:rPr>
                    <w:t>/h，功率18.5kW</w:t>
                  </w:r>
                </w:p>
              </w:tc>
              <w:tc>
                <w:tcPr>
                  <w:tcW w:w="1270" w:type="dxa"/>
                  <w:tcBorders>
                    <w:tl2br w:val="nil"/>
                    <w:tr2bl w:val="nil"/>
                  </w:tcBorders>
                  <w:shd w:val="clear" w:color="auto" w:fill="auto"/>
                  <w:vAlign w:val="center"/>
                </w:tcPr>
                <w:p w14:paraId="2E0EC7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2台</w:t>
                  </w:r>
                </w:p>
              </w:tc>
              <w:tc>
                <w:tcPr>
                  <w:tcW w:w="1714" w:type="dxa"/>
                  <w:tcBorders>
                    <w:tl2br w:val="nil"/>
                    <w:tr2bl w:val="nil"/>
                  </w:tcBorders>
                  <w:shd w:val="clear" w:color="auto" w:fill="auto"/>
                  <w:vAlign w:val="center"/>
                </w:tcPr>
                <w:p w14:paraId="069C4E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1用1备</w:t>
                  </w:r>
                </w:p>
              </w:tc>
            </w:tr>
            <w:tr w14:paraId="703B50B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tcBorders>
                    <w:tl2br w:val="nil"/>
                    <w:tr2bl w:val="nil"/>
                  </w:tcBorders>
                  <w:shd w:val="clear" w:color="auto" w:fill="auto"/>
                  <w:vAlign w:val="center"/>
                </w:tcPr>
                <w:p w14:paraId="7E5945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4</w:t>
                  </w:r>
                </w:p>
              </w:tc>
              <w:tc>
                <w:tcPr>
                  <w:tcW w:w="2160" w:type="dxa"/>
                  <w:tcBorders>
                    <w:tl2br w:val="nil"/>
                    <w:tr2bl w:val="nil"/>
                  </w:tcBorders>
                  <w:shd w:val="clear" w:color="auto" w:fill="auto"/>
                  <w:vAlign w:val="center"/>
                </w:tcPr>
                <w:p w14:paraId="31963B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cstheme="minorBidi"/>
                      <w:kern w:val="2"/>
                      <w:sz w:val="21"/>
                      <w:szCs w:val="21"/>
                      <w:vertAlign w:val="baseline"/>
                      <w:lang w:val="en-US" w:eastAsia="zh-CN" w:bidi="ar-SA"/>
                    </w:rPr>
                    <w:t>减速机</w:t>
                  </w:r>
                </w:p>
              </w:tc>
              <w:tc>
                <w:tcPr>
                  <w:tcW w:w="3060" w:type="dxa"/>
                  <w:tcBorders>
                    <w:tl2br w:val="nil"/>
                    <w:tr2bl w:val="nil"/>
                  </w:tcBorders>
                  <w:vAlign w:val="center"/>
                </w:tcPr>
                <w:p w14:paraId="2DDF8D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锅炉配套，功率4kW</w:t>
                  </w:r>
                </w:p>
              </w:tc>
              <w:tc>
                <w:tcPr>
                  <w:tcW w:w="1270" w:type="dxa"/>
                  <w:tcBorders>
                    <w:tl2br w:val="nil"/>
                    <w:tr2bl w:val="nil"/>
                  </w:tcBorders>
                  <w:vAlign w:val="center"/>
                </w:tcPr>
                <w:p w14:paraId="44A372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2台</w:t>
                  </w:r>
                </w:p>
              </w:tc>
              <w:tc>
                <w:tcPr>
                  <w:tcW w:w="1714" w:type="dxa"/>
                  <w:tcBorders>
                    <w:tl2br w:val="nil"/>
                    <w:tr2bl w:val="nil"/>
                  </w:tcBorders>
                  <w:vAlign w:val="center"/>
                </w:tcPr>
                <w:p w14:paraId="2A0BEB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1用1备</w:t>
                  </w:r>
                </w:p>
              </w:tc>
            </w:tr>
            <w:tr w14:paraId="4F6647A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tcBorders>
                    <w:tl2br w:val="nil"/>
                    <w:tr2bl w:val="nil"/>
                  </w:tcBorders>
                  <w:shd w:val="clear" w:color="auto" w:fill="auto"/>
                  <w:vAlign w:val="center"/>
                </w:tcPr>
                <w:p w14:paraId="4C9AB3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vertAlign w:val="baseline"/>
                      <w:lang w:val="en-US" w:eastAsia="zh-CN"/>
                    </w:rPr>
                  </w:pPr>
                  <w:r>
                    <w:rPr>
                      <w:rFonts w:hint="eastAsia"/>
                      <w:sz w:val="21"/>
                      <w:szCs w:val="21"/>
                      <w:vertAlign w:val="baseline"/>
                      <w:lang w:val="en-US" w:eastAsia="zh-CN"/>
                    </w:rPr>
                    <w:t>5</w:t>
                  </w:r>
                </w:p>
              </w:tc>
              <w:tc>
                <w:tcPr>
                  <w:tcW w:w="2160" w:type="dxa"/>
                  <w:tcBorders>
                    <w:tl2br w:val="nil"/>
                    <w:tr2bl w:val="nil"/>
                  </w:tcBorders>
                  <w:shd w:val="clear" w:color="auto" w:fill="auto"/>
                  <w:vAlign w:val="center"/>
                </w:tcPr>
                <w:p w14:paraId="24D9F7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出渣机</w:t>
                  </w:r>
                </w:p>
              </w:tc>
              <w:tc>
                <w:tcPr>
                  <w:tcW w:w="3060" w:type="dxa"/>
                  <w:tcBorders>
                    <w:tl2br w:val="nil"/>
                    <w:tr2bl w:val="nil"/>
                  </w:tcBorders>
                  <w:shd w:val="clear" w:color="auto" w:fill="auto"/>
                  <w:vAlign w:val="center"/>
                </w:tcPr>
                <w:p w14:paraId="638137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锅炉配套，功率1.5kW</w:t>
                  </w:r>
                </w:p>
              </w:tc>
              <w:tc>
                <w:tcPr>
                  <w:tcW w:w="1270" w:type="dxa"/>
                  <w:tcBorders>
                    <w:tl2br w:val="nil"/>
                    <w:tr2bl w:val="nil"/>
                  </w:tcBorders>
                  <w:shd w:val="clear" w:color="auto" w:fill="auto"/>
                  <w:vAlign w:val="center"/>
                </w:tcPr>
                <w:p w14:paraId="310EE0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2台</w:t>
                  </w:r>
                </w:p>
              </w:tc>
              <w:tc>
                <w:tcPr>
                  <w:tcW w:w="1714" w:type="dxa"/>
                  <w:tcBorders>
                    <w:tl2br w:val="nil"/>
                    <w:tr2bl w:val="nil"/>
                  </w:tcBorders>
                  <w:shd w:val="clear" w:color="auto" w:fill="auto"/>
                  <w:vAlign w:val="center"/>
                </w:tcPr>
                <w:p w14:paraId="410478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1用1备</w:t>
                  </w:r>
                </w:p>
              </w:tc>
            </w:tr>
            <w:tr w14:paraId="3624046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tcBorders>
                    <w:tl2br w:val="nil"/>
                    <w:tr2bl w:val="nil"/>
                  </w:tcBorders>
                  <w:shd w:val="clear" w:color="auto" w:fill="auto"/>
                  <w:vAlign w:val="center"/>
                </w:tcPr>
                <w:p w14:paraId="10ADFF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cstheme="minorBidi"/>
                      <w:kern w:val="2"/>
                      <w:sz w:val="21"/>
                      <w:szCs w:val="21"/>
                      <w:vertAlign w:val="baseline"/>
                      <w:lang w:val="en-US" w:eastAsia="zh-CN" w:bidi="ar-SA"/>
                    </w:rPr>
                    <w:t>6</w:t>
                  </w:r>
                </w:p>
              </w:tc>
              <w:tc>
                <w:tcPr>
                  <w:tcW w:w="2160" w:type="dxa"/>
                  <w:tcBorders>
                    <w:tl2br w:val="nil"/>
                    <w:tr2bl w:val="nil"/>
                  </w:tcBorders>
                  <w:shd w:val="clear" w:color="auto" w:fill="auto"/>
                  <w:vAlign w:val="center"/>
                </w:tcPr>
                <w:p w14:paraId="2879AB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省煤器</w:t>
                  </w:r>
                </w:p>
              </w:tc>
              <w:tc>
                <w:tcPr>
                  <w:tcW w:w="3060" w:type="dxa"/>
                  <w:tcBorders>
                    <w:tl2br w:val="nil"/>
                    <w:tr2bl w:val="nil"/>
                  </w:tcBorders>
                  <w:shd w:val="clear" w:color="auto" w:fill="auto"/>
                  <w:vAlign w:val="center"/>
                </w:tcPr>
                <w:p w14:paraId="7B158B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锅炉配套</w:t>
                  </w:r>
                </w:p>
              </w:tc>
              <w:tc>
                <w:tcPr>
                  <w:tcW w:w="1270" w:type="dxa"/>
                  <w:tcBorders>
                    <w:tl2br w:val="nil"/>
                    <w:tr2bl w:val="nil"/>
                  </w:tcBorders>
                  <w:shd w:val="clear" w:color="auto" w:fill="auto"/>
                  <w:vAlign w:val="center"/>
                </w:tcPr>
                <w:p w14:paraId="262FAE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cstheme="minorBidi"/>
                      <w:kern w:val="2"/>
                      <w:sz w:val="21"/>
                      <w:szCs w:val="21"/>
                      <w:vertAlign w:val="baseline"/>
                      <w:lang w:val="en-US" w:eastAsia="zh-CN" w:bidi="ar-SA"/>
                    </w:rPr>
                    <w:t>2</w:t>
                  </w:r>
                  <w:r>
                    <w:rPr>
                      <w:rFonts w:hint="eastAsia"/>
                      <w:sz w:val="21"/>
                      <w:szCs w:val="21"/>
                      <w:vertAlign w:val="baseline"/>
                      <w:lang w:val="en-US" w:eastAsia="zh-CN"/>
                    </w:rPr>
                    <w:t>台</w:t>
                  </w:r>
                </w:p>
              </w:tc>
              <w:tc>
                <w:tcPr>
                  <w:tcW w:w="1714" w:type="dxa"/>
                  <w:tcBorders>
                    <w:tl2br w:val="nil"/>
                    <w:tr2bl w:val="nil"/>
                  </w:tcBorders>
                  <w:shd w:val="clear" w:color="auto" w:fill="auto"/>
                  <w:vAlign w:val="center"/>
                </w:tcPr>
                <w:p w14:paraId="639F75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1用1备</w:t>
                  </w:r>
                </w:p>
              </w:tc>
            </w:tr>
            <w:tr w14:paraId="2BC3197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tcBorders>
                    <w:tl2br w:val="nil"/>
                    <w:tr2bl w:val="nil"/>
                  </w:tcBorders>
                  <w:shd w:val="clear" w:color="auto" w:fill="auto"/>
                  <w:vAlign w:val="center"/>
                </w:tcPr>
                <w:p w14:paraId="5238F2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cstheme="minorBidi"/>
                      <w:kern w:val="2"/>
                      <w:sz w:val="21"/>
                      <w:szCs w:val="21"/>
                      <w:vertAlign w:val="baseline"/>
                      <w:lang w:val="en-US" w:eastAsia="zh-CN" w:bidi="ar-SA"/>
                    </w:rPr>
                    <w:t>7</w:t>
                  </w:r>
                </w:p>
              </w:tc>
              <w:tc>
                <w:tcPr>
                  <w:tcW w:w="2160" w:type="dxa"/>
                  <w:tcBorders>
                    <w:tl2br w:val="nil"/>
                    <w:tr2bl w:val="nil"/>
                  </w:tcBorders>
                  <w:shd w:val="clear" w:color="auto" w:fill="auto"/>
                  <w:vAlign w:val="center"/>
                </w:tcPr>
                <w:p w14:paraId="0DE1B0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vertAlign w:val="baseline"/>
                      <w:lang w:val="en-US" w:eastAsia="zh-CN"/>
                    </w:rPr>
                  </w:pPr>
                  <w:r>
                    <w:rPr>
                      <w:rFonts w:hint="eastAsia"/>
                      <w:sz w:val="21"/>
                      <w:szCs w:val="21"/>
                      <w:vertAlign w:val="baseline"/>
                      <w:lang w:val="en-US" w:eastAsia="zh-CN"/>
                    </w:rPr>
                    <w:t>旋风多管陶瓷除尘器</w:t>
                  </w:r>
                </w:p>
              </w:tc>
              <w:tc>
                <w:tcPr>
                  <w:tcW w:w="3060" w:type="dxa"/>
                  <w:tcBorders>
                    <w:tl2br w:val="nil"/>
                    <w:tr2bl w:val="nil"/>
                  </w:tcBorders>
                  <w:shd w:val="clear" w:color="auto" w:fill="auto"/>
                  <w:vAlign w:val="center"/>
                </w:tcPr>
                <w:p w14:paraId="509337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vertAlign w:val="baseline"/>
                      <w:lang w:val="en-US" w:eastAsia="zh-CN"/>
                    </w:rPr>
                  </w:pPr>
                  <w:r>
                    <w:rPr>
                      <w:rFonts w:hint="eastAsia"/>
                      <w:sz w:val="21"/>
                      <w:szCs w:val="21"/>
                      <w:vertAlign w:val="baseline"/>
                      <w:lang w:val="en-US" w:eastAsia="zh-CN"/>
                    </w:rPr>
                    <w:t>锅炉配套，处理风量26000m</w:t>
                  </w:r>
                  <w:r>
                    <w:rPr>
                      <w:rFonts w:hint="eastAsia"/>
                      <w:sz w:val="21"/>
                      <w:szCs w:val="21"/>
                      <w:vertAlign w:val="superscript"/>
                      <w:lang w:val="en-US" w:eastAsia="zh-CN"/>
                    </w:rPr>
                    <w:t>3</w:t>
                  </w:r>
                  <w:r>
                    <w:rPr>
                      <w:rFonts w:hint="eastAsia"/>
                      <w:sz w:val="21"/>
                      <w:szCs w:val="21"/>
                      <w:vertAlign w:val="baseline"/>
                      <w:lang w:val="en-US" w:eastAsia="zh-CN"/>
                    </w:rPr>
                    <w:t>/h</w:t>
                  </w:r>
                </w:p>
              </w:tc>
              <w:tc>
                <w:tcPr>
                  <w:tcW w:w="1270" w:type="dxa"/>
                  <w:tcBorders>
                    <w:tl2br w:val="nil"/>
                    <w:tr2bl w:val="nil"/>
                  </w:tcBorders>
                  <w:shd w:val="clear" w:color="auto" w:fill="auto"/>
                  <w:vAlign w:val="center"/>
                </w:tcPr>
                <w:p w14:paraId="34AA1D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vertAlign w:val="baseline"/>
                      <w:lang w:val="en-US" w:eastAsia="zh-CN"/>
                    </w:rPr>
                  </w:pPr>
                  <w:r>
                    <w:rPr>
                      <w:rFonts w:hint="eastAsia"/>
                      <w:sz w:val="21"/>
                      <w:szCs w:val="21"/>
                      <w:vertAlign w:val="baseline"/>
                      <w:lang w:val="en-US" w:eastAsia="zh-CN"/>
                    </w:rPr>
                    <w:t>2台</w:t>
                  </w:r>
                </w:p>
              </w:tc>
              <w:tc>
                <w:tcPr>
                  <w:tcW w:w="1714" w:type="dxa"/>
                  <w:tcBorders>
                    <w:tl2br w:val="nil"/>
                    <w:tr2bl w:val="nil"/>
                  </w:tcBorders>
                  <w:shd w:val="clear" w:color="auto" w:fill="auto"/>
                  <w:vAlign w:val="center"/>
                </w:tcPr>
                <w:p w14:paraId="3B3C09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vertAlign w:val="baseline"/>
                      <w:lang w:val="en-US" w:eastAsia="zh-CN"/>
                    </w:rPr>
                  </w:pPr>
                  <w:r>
                    <w:rPr>
                      <w:rFonts w:hint="eastAsia"/>
                      <w:sz w:val="21"/>
                      <w:szCs w:val="21"/>
                      <w:vertAlign w:val="baseline"/>
                      <w:lang w:val="en-US" w:eastAsia="zh-CN"/>
                    </w:rPr>
                    <w:t>1用1备</w:t>
                  </w:r>
                </w:p>
              </w:tc>
            </w:tr>
            <w:tr w14:paraId="29E80FA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tcBorders>
                    <w:tl2br w:val="nil"/>
                    <w:tr2bl w:val="nil"/>
                  </w:tcBorders>
                  <w:shd w:val="clear" w:color="auto" w:fill="auto"/>
                  <w:vAlign w:val="center"/>
                </w:tcPr>
                <w:p w14:paraId="0A5B9A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cstheme="minorBidi"/>
                      <w:kern w:val="2"/>
                      <w:sz w:val="21"/>
                      <w:szCs w:val="21"/>
                      <w:vertAlign w:val="baseline"/>
                      <w:lang w:val="en-US" w:eastAsia="zh-CN" w:bidi="ar-SA"/>
                    </w:rPr>
                    <w:t>8</w:t>
                  </w:r>
                </w:p>
              </w:tc>
              <w:tc>
                <w:tcPr>
                  <w:tcW w:w="2160" w:type="dxa"/>
                  <w:tcBorders>
                    <w:tl2br w:val="nil"/>
                    <w:tr2bl w:val="nil"/>
                  </w:tcBorders>
                  <w:shd w:val="clear" w:color="auto" w:fill="auto"/>
                  <w:vAlign w:val="center"/>
                </w:tcPr>
                <w:p w14:paraId="69F93E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vertAlign w:val="baseline"/>
                      <w:lang w:val="en-US" w:eastAsia="zh-CN"/>
                    </w:rPr>
                  </w:pPr>
                  <w:r>
                    <w:rPr>
                      <w:rFonts w:hint="eastAsia"/>
                      <w:sz w:val="21"/>
                      <w:szCs w:val="21"/>
                      <w:vertAlign w:val="baseline"/>
                      <w:lang w:val="en-US" w:eastAsia="zh-CN"/>
                    </w:rPr>
                    <w:t>布袋除尘器</w:t>
                  </w:r>
                </w:p>
              </w:tc>
              <w:tc>
                <w:tcPr>
                  <w:tcW w:w="3060" w:type="dxa"/>
                  <w:tcBorders>
                    <w:tl2br w:val="nil"/>
                    <w:tr2bl w:val="nil"/>
                  </w:tcBorders>
                  <w:shd w:val="clear" w:color="auto" w:fill="auto"/>
                  <w:vAlign w:val="center"/>
                </w:tcPr>
                <w:p w14:paraId="300EDD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vertAlign w:val="baseline"/>
                      <w:lang w:val="en-US" w:eastAsia="zh-CN"/>
                    </w:rPr>
                  </w:pPr>
                  <w:r>
                    <w:rPr>
                      <w:rFonts w:hint="eastAsia"/>
                      <w:sz w:val="21"/>
                      <w:szCs w:val="21"/>
                      <w:vertAlign w:val="baseline"/>
                      <w:lang w:val="en-US" w:eastAsia="zh-CN"/>
                    </w:rPr>
                    <w:t>锅炉配套，处理风量26000m</w:t>
                  </w:r>
                  <w:r>
                    <w:rPr>
                      <w:rFonts w:hint="eastAsia"/>
                      <w:sz w:val="21"/>
                      <w:szCs w:val="21"/>
                      <w:vertAlign w:val="superscript"/>
                      <w:lang w:val="en-US" w:eastAsia="zh-CN"/>
                    </w:rPr>
                    <w:t>3</w:t>
                  </w:r>
                  <w:r>
                    <w:rPr>
                      <w:rFonts w:hint="eastAsia"/>
                      <w:sz w:val="21"/>
                      <w:szCs w:val="21"/>
                      <w:vertAlign w:val="baseline"/>
                      <w:lang w:val="en-US" w:eastAsia="zh-CN"/>
                    </w:rPr>
                    <w:t>/h</w:t>
                  </w:r>
                </w:p>
              </w:tc>
              <w:tc>
                <w:tcPr>
                  <w:tcW w:w="1270" w:type="dxa"/>
                  <w:tcBorders>
                    <w:tl2br w:val="nil"/>
                    <w:tr2bl w:val="nil"/>
                  </w:tcBorders>
                  <w:shd w:val="clear" w:color="auto" w:fill="auto"/>
                  <w:vAlign w:val="center"/>
                </w:tcPr>
                <w:p w14:paraId="28D183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vertAlign w:val="baseline"/>
                      <w:lang w:val="en-US" w:eastAsia="zh-CN"/>
                    </w:rPr>
                  </w:pPr>
                  <w:r>
                    <w:rPr>
                      <w:rFonts w:hint="eastAsia"/>
                      <w:sz w:val="21"/>
                      <w:szCs w:val="21"/>
                      <w:vertAlign w:val="baseline"/>
                      <w:lang w:val="en-US" w:eastAsia="zh-CN"/>
                    </w:rPr>
                    <w:t>2台</w:t>
                  </w:r>
                </w:p>
              </w:tc>
              <w:tc>
                <w:tcPr>
                  <w:tcW w:w="1714" w:type="dxa"/>
                  <w:tcBorders>
                    <w:tl2br w:val="nil"/>
                    <w:tr2bl w:val="nil"/>
                  </w:tcBorders>
                  <w:shd w:val="clear" w:color="auto" w:fill="auto"/>
                  <w:vAlign w:val="center"/>
                </w:tcPr>
                <w:p w14:paraId="470591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vertAlign w:val="baseline"/>
                      <w:lang w:val="en-US" w:eastAsia="zh-CN"/>
                    </w:rPr>
                  </w:pPr>
                  <w:r>
                    <w:rPr>
                      <w:rFonts w:hint="eastAsia"/>
                      <w:sz w:val="21"/>
                      <w:szCs w:val="21"/>
                      <w:vertAlign w:val="baseline"/>
                      <w:lang w:val="en-US" w:eastAsia="zh-CN"/>
                    </w:rPr>
                    <w:t>1用1备</w:t>
                  </w:r>
                </w:p>
              </w:tc>
            </w:tr>
            <w:tr w14:paraId="01EF1E5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tcBorders>
                    <w:tl2br w:val="nil"/>
                    <w:tr2bl w:val="nil"/>
                  </w:tcBorders>
                  <w:vAlign w:val="center"/>
                </w:tcPr>
                <w:p w14:paraId="3CEA7E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9</w:t>
                  </w:r>
                </w:p>
              </w:tc>
              <w:tc>
                <w:tcPr>
                  <w:tcW w:w="2160" w:type="dxa"/>
                  <w:tcBorders>
                    <w:tl2br w:val="nil"/>
                    <w:tr2bl w:val="nil"/>
                  </w:tcBorders>
                  <w:shd w:val="clear" w:color="auto" w:fill="auto"/>
                  <w:vAlign w:val="center"/>
                </w:tcPr>
                <w:p w14:paraId="09F3D8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引风机</w:t>
                  </w:r>
                </w:p>
              </w:tc>
              <w:tc>
                <w:tcPr>
                  <w:tcW w:w="3060" w:type="dxa"/>
                  <w:tcBorders>
                    <w:tl2br w:val="nil"/>
                    <w:tr2bl w:val="nil"/>
                  </w:tcBorders>
                  <w:shd w:val="clear" w:color="auto" w:fill="auto"/>
                  <w:vAlign w:val="center"/>
                </w:tcPr>
                <w:p w14:paraId="13D9C6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锅炉配套，风量13239-25630m</w:t>
                  </w:r>
                  <w:r>
                    <w:rPr>
                      <w:rFonts w:hint="eastAsia"/>
                      <w:sz w:val="21"/>
                      <w:szCs w:val="21"/>
                      <w:vertAlign w:val="superscript"/>
                      <w:lang w:val="en-US" w:eastAsia="zh-CN"/>
                    </w:rPr>
                    <w:t>3</w:t>
                  </w:r>
                  <w:r>
                    <w:rPr>
                      <w:rFonts w:hint="eastAsia"/>
                      <w:sz w:val="21"/>
                      <w:szCs w:val="21"/>
                      <w:vertAlign w:val="baseline"/>
                      <w:lang w:val="en-US" w:eastAsia="zh-CN"/>
                    </w:rPr>
                    <w:t>/h，功率55kW</w:t>
                  </w:r>
                </w:p>
              </w:tc>
              <w:tc>
                <w:tcPr>
                  <w:tcW w:w="1270" w:type="dxa"/>
                  <w:tcBorders>
                    <w:tl2br w:val="nil"/>
                    <w:tr2bl w:val="nil"/>
                  </w:tcBorders>
                  <w:shd w:val="clear" w:color="auto" w:fill="auto"/>
                  <w:vAlign w:val="center"/>
                </w:tcPr>
                <w:p w14:paraId="0491AA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2台</w:t>
                  </w:r>
                </w:p>
              </w:tc>
              <w:tc>
                <w:tcPr>
                  <w:tcW w:w="1714" w:type="dxa"/>
                  <w:tcBorders>
                    <w:tl2br w:val="nil"/>
                    <w:tr2bl w:val="nil"/>
                  </w:tcBorders>
                  <w:shd w:val="clear" w:color="auto" w:fill="auto"/>
                  <w:vAlign w:val="center"/>
                </w:tcPr>
                <w:p w14:paraId="67837C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1用1备</w:t>
                  </w:r>
                </w:p>
              </w:tc>
            </w:tr>
            <w:tr w14:paraId="5ABF64E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tcBorders>
                    <w:tl2br w:val="nil"/>
                    <w:tr2bl w:val="nil"/>
                  </w:tcBorders>
                  <w:vAlign w:val="center"/>
                </w:tcPr>
                <w:p w14:paraId="300E3D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z w:val="21"/>
                      <w:szCs w:val="21"/>
                      <w:vertAlign w:val="baseline"/>
                      <w:lang w:val="en-US" w:eastAsia="zh-CN"/>
                    </w:rPr>
                  </w:pPr>
                  <w:r>
                    <w:rPr>
                      <w:rFonts w:hint="eastAsia"/>
                      <w:sz w:val="21"/>
                      <w:szCs w:val="21"/>
                      <w:vertAlign w:val="baseline"/>
                      <w:lang w:val="en-US" w:eastAsia="zh-CN"/>
                    </w:rPr>
                    <w:t>10</w:t>
                  </w:r>
                </w:p>
              </w:tc>
              <w:tc>
                <w:tcPr>
                  <w:tcW w:w="2160" w:type="dxa"/>
                  <w:tcBorders>
                    <w:tl2br w:val="nil"/>
                    <w:tr2bl w:val="nil"/>
                  </w:tcBorders>
                  <w:shd w:val="clear" w:color="auto" w:fill="auto"/>
                  <w:vAlign w:val="center"/>
                </w:tcPr>
                <w:p w14:paraId="38E768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锅炉一次水循环水泵</w:t>
                  </w:r>
                </w:p>
              </w:tc>
              <w:tc>
                <w:tcPr>
                  <w:tcW w:w="3060" w:type="dxa"/>
                  <w:tcBorders>
                    <w:tl2br w:val="nil"/>
                    <w:tr2bl w:val="nil"/>
                  </w:tcBorders>
                  <w:vAlign w:val="center"/>
                </w:tcPr>
                <w:p w14:paraId="4D42B6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流量121.6m/h，扬程21m，功率11kW</w:t>
                  </w:r>
                </w:p>
              </w:tc>
              <w:tc>
                <w:tcPr>
                  <w:tcW w:w="1270" w:type="dxa"/>
                  <w:tcBorders>
                    <w:tl2br w:val="nil"/>
                    <w:tr2bl w:val="nil"/>
                  </w:tcBorders>
                  <w:vAlign w:val="center"/>
                </w:tcPr>
                <w:p w14:paraId="68528F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3台</w:t>
                  </w:r>
                </w:p>
              </w:tc>
              <w:tc>
                <w:tcPr>
                  <w:tcW w:w="1714" w:type="dxa"/>
                  <w:tcBorders>
                    <w:tl2br w:val="nil"/>
                    <w:tr2bl w:val="nil"/>
                  </w:tcBorders>
                  <w:vAlign w:val="center"/>
                </w:tcPr>
                <w:p w14:paraId="3F53BA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2用1备</w:t>
                  </w:r>
                </w:p>
              </w:tc>
            </w:tr>
            <w:tr w14:paraId="40B95F2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tcBorders>
                    <w:tl2br w:val="nil"/>
                    <w:tr2bl w:val="nil"/>
                  </w:tcBorders>
                  <w:vAlign w:val="center"/>
                </w:tcPr>
                <w:p w14:paraId="3B41CF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z w:val="21"/>
                      <w:szCs w:val="21"/>
                      <w:vertAlign w:val="baseline"/>
                      <w:lang w:val="en-US" w:eastAsia="zh-CN"/>
                    </w:rPr>
                  </w:pPr>
                  <w:r>
                    <w:rPr>
                      <w:rFonts w:hint="eastAsia"/>
                      <w:sz w:val="21"/>
                      <w:szCs w:val="21"/>
                      <w:vertAlign w:val="baseline"/>
                      <w:lang w:val="en-US" w:eastAsia="zh-CN"/>
                    </w:rPr>
                    <w:t>11</w:t>
                  </w:r>
                </w:p>
              </w:tc>
              <w:tc>
                <w:tcPr>
                  <w:tcW w:w="2160" w:type="dxa"/>
                  <w:tcBorders>
                    <w:tl2br w:val="nil"/>
                    <w:tr2bl w:val="nil"/>
                  </w:tcBorders>
                  <w:shd w:val="clear" w:color="auto" w:fill="auto"/>
                  <w:vAlign w:val="center"/>
                </w:tcPr>
                <w:p w14:paraId="4CAEA5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板式换热机组</w:t>
                  </w:r>
                </w:p>
              </w:tc>
              <w:tc>
                <w:tcPr>
                  <w:tcW w:w="3060" w:type="dxa"/>
                  <w:tcBorders>
                    <w:tl2br w:val="nil"/>
                    <w:tr2bl w:val="nil"/>
                  </w:tcBorders>
                  <w:shd w:val="clear" w:color="auto" w:fill="auto"/>
                  <w:vAlign w:val="center"/>
                </w:tcPr>
                <w:p w14:paraId="098A50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板式换热器换热量3000kW，一次水温度85℃/60℃，二次水温度55/45℃；循环泵2台(1用1备)，流量130m</w:t>
                  </w:r>
                  <w:r>
                    <w:rPr>
                      <w:rFonts w:hint="eastAsia"/>
                      <w:sz w:val="21"/>
                      <w:szCs w:val="21"/>
                      <w:vertAlign w:val="superscript"/>
                      <w:lang w:val="en-US" w:eastAsia="zh-CN"/>
                    </w:rPr>
                    <w:t>3</w:t>
                  </w:r>
                  <w:r>
                    <w:rPr>
                      <w:rFonts w:hint="eastAsia"/>
                      <w:sz w:val="21"/>
                      <w:szCs w:val="21"/>
                      <w:vertAlign w:val="baseline"/>
                      <w:lang w:val="en-US" w:eastAsia="zh-CN"/>
                    </w:rPr>
                    <w:t>/h，扬程68m，功率37kW；补水泵2台(1用1备)，流量11.7m</w:t>
                  </w:r>
                  <w:r>
                    <w:rPr>
                      <w:rFonts w:hint="eastAsia"/>
                      <w:sz w:val="21"/>
                      <w:szCs w:val="21"/>
                      <w:vertAlign w:val="superscript"/>
                      <w:lang w:val="en-US" w:eastAsia="zh-CN"/>
                    </w:rPr>
                    <w:t>3</w:t>
                  </w:r>
                  <w:r>
                    <w:rPr>
                      <w:rFonts w:hint="eastAsia"/>
                      <w:sz w:val="21"/>
                      <w:szCs w:val="21"/>
                      <w:vertAlign w:val="baseline"/>
                      <w:lang w:val="en-US" w:eastAsia="zh-CN"/>
                    </w:rPr>
                    <w:t>/h，扬程28m，功率2.2kW；重量3150kg；含电控柜</w:t>
                  </w:r>
                </w:p>
              </w:tc>
              <w:tc>
                <w:tcPr>
                  <w:tcW w:w="1270" w:type="dxa"/>
                  <w:tcBorders>
                    <w:tl2br w:val="nil"/>
                    <w:tr2bl w:val="nil"/>
                  </w:tcBorders>
                  <w:shd w:val="clear" w:color="auto" w:fill="auto"/>
                  <w:vAlign w:val="center"/>
                </w:tcPr>
                <w:p w14:paraId="5E6325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2套</w:t>
                  </w:r>
                </w:p>
              </w:tc>
              <w:tc>
                <w:tcPr>
                  <w:tcW w:w="1714" w:type="dxa"/>
                  <w:tcBorders>
                    <w:tl2br w:val="nil"/>
                    <w:tr2bl w:val="nil"/>
                  </w:tcBorders>
                  <w:shd w:val="clear" w:color="auto" w:fill="auto"/>
                  <w:vAlign w:val="center"/>
                </w:tcPr>
                <w:p w14:paraId="5530EE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cstheme="minorBidi"/>
                      <w:kern w:val="2"/>
                      <w:sz w:val="21"/>
                      <w:szCs w:val="21"/>
                      <w:vertAlign w:val="baseline"/>
                      <w:lang w:val="en-US" w:eastAsia="zh-CN" w:bidi="ar-SA"/>
                    </w:rPr>
                    <w:t>住宅建筑和公共建筑各1套</w:t>
                  </w:r>
                </w:p>
              </w:tc>
            </w:tr>
            <w:tr w14:paraId="314B8E0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tcBorders>
                    <w:tl2br w:val="nil"/>
                    <w:tr2bl w:val="nil"/>
                  </w:tcBorders>
                  <w:vAlign w:val="center"/>
                </w:tcPr>
                <w:p w14:paraId="076F2D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z w:val="21"/>
                      <w:szCs w:val="21"/>
                      <w:vertAlign w:val="baseline"/>
                      <w:lang w:val="en-US" w:eastAsia="zh-CN"/>
                    </w:rPr>
                  </w:pPr>
                  <w:r>
                    <w:rPr>
                      <w:rFonts w:hint="eastAsia"/>
                      <w:sz w:val="21"/>
                      <w:szCs w:val="21"/>
                      <w:vertAlign w:val="baseline"/>
                      <w:lang w:val="en-US" w:eastAsia="zh-CN"/>
                    </w:rPr>
                    <w:t>12</w:t>
                  </w:r>
                </w:p>
              </w:tc>
              <w:tc>
                <w:tcPr>
                  <w:tcW w:w="2160" w:type="dxa"/>
                  <w:tcBorders>
                    <w:tl2br w:val="nil"/>
                    <w:tr2bl w:val="nil"/>
                  </w:tcBorders>
                  <w:shd w:val="clear" w:color="auto" w:fill="auto"/>
                  <w:vAlign w:val="center"/>
                </w:tcPr>
                <w:p w14:paraId="4F86EC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全自动软化水装置</w:t>
                  </w:r>
                </w:p>
              </w:tc>
              <w:tc>
                <w:tcPr>
                  <w:tcW w:w="3060" w:type="dxa"/>
                  <w:tcBorders>
                    <w:tl2br w:val="nil"/>
                    <w:tr2bl w:val="nil"/>
                  </w:tcBorders>
                  <w:vAlign w:val="center"/>
                </w:tcPr>
                <w:p w14:paraId="30348E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vertAlign w:val="baseline"/>
                    </w:rPr>
                  </w:pPr>
                  <w:r>
                    <w:rPr>
                      <w:rFonts w:hint="eastAsia"/>
                      <w:sz w:val="21"/>
                      <w:szCs w:val="21"/>
                      <w:vertAlign w:val="baseline"/>
                    </w:rPr>
                    <w:t>处理量20m</w:t>
                  </w:r>
                  <w:r>
                    <w:rPr>
                      <w:rFonts w:hint="eastAsia"/>
                      <w:sz w:val="21"/>
                      <w:szCs w:val="21"/>
                      <w:vertAlign w:val="superscript"/>
                    </w:rPr>
                    <w:t>3</w:t>
                  </w:r>
                  <w:r>
                    <w:rPr>
                      <w:rFonts w:hint="eastAsia"/>
                      <w:sz w:val="21"/>
                      <w:szCs w:val="21"/>
                      <w:vertAlign w:val="baseline"/>
                    </w:rPr>
                    <w:t>/h，树脂填量1020kg，盐罐数量2个，水管接口DN65，功率0.75kW，运行重量2033kg</w:t>
                  </w:r>
                </w:p>
              </w:tc>
              <w:tc>
                <w:tcPr>
                  <w:tcW w:w="1270" w:type="dxa"/>
                  <w:tcBorders>
                    <w:tl2br w:val="nil"/>
                    <w:tr2bl w:val="nil"/>
                  </w:tcBorders>
                  <w:vAlign w:val="center"/>
                </w:tcPr>
                <w:p w14:paraId="080469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1台</w:t>
                  </w:r>
                </w:p>
              </w:tc>
              <w:tc>
                <w:tcPr>
                  <w:tcW w:w="1714" w:type="dxa"/>
                  <w:tcBorders>
                    <w:tl2br w:val="nil"/>
                    <w:tr2bl w:val="nil"/>
                  </w:tcBorders>
                  <w:vAlign w:val="center"/>
                </w:tcPr>
                <w:p w14:paraId="7F3719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sz w:val="21"/>
                      <w:szCs w:val="21"/>
                      <w:vertAlign w:val="baseline"/>
                      <w:lang w:val="en-US" w:eastAsia="zh-CN"/>
                    </w:rPr>
                  </w:pPr>
                  <w:r>
                    <w:rPr>
                      <w:rFonts w:hint="eastAsia"/>
                      <w:sz w:val="21"/>
                      <w:szCs w:val="21"/>
                      <w:vertAlign w:val="baseline"/>
                      <w:lang w:val="en-US" w:eastAsia="zh-CN"/>
                    </w:rPr>
                    <w:t>/</w:t>
                  </w:r>
                </w:p>
              </w:tc>
            </w:tr>
            <w:tr w14:paraId="3925651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tcBorders>
                    <w:tl2br w:val="nil"/>
                    <w:tr2bl w:val="nil"/>
                  </w:tcBorders>
                  <w:vAlign w:val="center"/>
                </w:tcPr>
                <w:p w14:paraId="466111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z w:val="21"/>
                      <w:szCs w:val="21"/>
                      <w:vertAlign w:val="baseline"/>
                      <w:lang w:val="en-US" w:eastAsia="zh-CN"/>
                    </w:rPr>
                  </w:pPr>
                  <w:r>
                    <w:rPr>
                      <w:rFonts w:hint="eastAsia"/>
                      <w:sz w:val="21"/>
                      <w:szCs w:val="21"/>
                      <w:vertAlign w:val="baseline"/>
                      <w:lang w:val="en-US" w:eastAsia="zh-CN"/>
                    </w:rPr>
                    <w:t>13</w:t>
                  </w:r>
                </w:p>
              </w:tc>
              <w:tc>
                <w:tcPr>
                  <w:tcW w:w="2160" w:type="dxa"/>
                  <w:tcBorders>
                    <w:tl2br w:val="nil"/>
                    <w:tr2bl w:val="nil"/>
                  </w:tcBorders>
                  <w:shd w:val="clear" w:color="auto" w:fill="auto"/>
                  <w:vAlign w:val="center"/>
                </w:tcPr>
                <w:p w14:paraId="6167F5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z w:val="21"/>
                      <w:szCs w:val="21"/>
                      <w:vertAlign w:val="baseline"/>
                      <w:lang w:val="en-US" w:eastAsia="zh-CN"/>
                    </w:rPr>
                  </w:pPr>
                  <w:r>
                    <w:rPr>
                      <w:rFonts w:hint="eastAsia"/>
                      <w:sz w:val="21"/>
                      <w:szCs w:val="21"/>
                      <w:vertAlign w:val="baseline"/>
                      <w:lang w:val="en-US" w:eastAsia="zh-CN"/>
                    </w:rPr>
                    <w:t>软化水箱</w:t>
                  </w:r>
                </w:p>
              </w:tc>
              <w:tc>
                <w:tcPr>
                  <w:tcW w:w="3060" w:type="dxa"/>
                  <w:tcBorders>
                    <w:tl2br w:val="nil"/>
                    <w:tr2bl w:val="nil"/>
                  </w:tcBorders>
                  <w:vAlign w:val="center"/>
                </w:tcPr>
                <w:p w14:paraId="3A777A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vertAlign w:val="baseline"/>
                    </w:rPr>
                  </w:pPr>
                  <w:r>
                    <w:rPr>
                      <w:rFonts w:hint="eastAsia"/>
                      <w:sz w:val="21"/>
                      <w:szCs w:val="21"/>
                      <w:vertAlign w:val="baseline"/>
                    </w:rPr>
                    <w:t>不锈钢水箱，公称容积20m</w:t>
                  </w:r>
                  <w:r>
                    <w:rPr>
                      <w:rFonts w:hint="eastAsia"/>
                      <w:sz w:val="21"/>
                      <w:szCs w:val="21"/>
                      <w:vertAlign w:val="superscript"/>
                    </w:rPr>
                    <w:t>3</w:t>
                  </w:r>
                  <w:r>
                    <w:rPr>
                      <w:rFonts w:hint="eastAsia"/>
                      <w:sz w:val="21"/>
                      <w:szCs w:val="21"/>
                      <w:vertAlign w:val="baseline"/>
                    </w:rPr>
                    <w:t>，尺寸2000×5000×3000，箱板厚度3mm，水箱，干重10750kg(不含水)</w:t>
                  </w:r>
                </w:p>
              </w:tc>
              <w:tc>
                <w:tcPr>
                  <w:tcW w:w="1270" w:type="dxa"/>
                  <w:tcBorders>
                    <w:tl2br w:val="nil"/>
                    <w:tr2bl w:val="nil"/>
                  </w:tcBorders>
                  <w:vAlign w:val="center"/>
                </w:tcPr>
                <w:p w14:paraId="1DFA00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1个</w:t>
                  </w:r>
                </w:p>
              </w:tc>
              <w:tc>
                <w:tcPr>
                  <w:tcW w:w="1714" w:type="dxa"/>
                  <w:tcBorders>
                    <w:tl2br w:val="nil"/>
                    <w:tr2bl w:val="nil"/>
                  </w:tcBorders>
                  <w:vAlign w:val="center"/>
                </w:tcPr>
                <w:p w14:paraId="5C7E30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sz w:val="21"/>
                      <w:szCs w:val="21"/>
                      <w:vertAlign w:val="baseline"/>
                      <w:lang w:val="en-US" w:eastAsia="zh-CN"/>
                    </w:rPr>
                  </w:pPr>
                  <w:r>
                    <w:rPr>
                      <w:rFonts w:hint="eastAsia"/>
                      <w:sz w:val="21"/>
                      <w:szCs w:val="21"/>
                      <w:vertAlign w:val="baseline"/>
                      <w:lang w:val="en-US" w:eastAsia="zh-CN"/>
                    </w:rPr>
                    <w:t>/</w:t>
                  </w:r>
                </w:p>
              </w:tc>
            </w:tr>
            <w:tr w14:paraId="51DB3A5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tcBorders>
                    <w:tl2br w:val="nil"/>
                    <w:tr2bl w:val="nil"/>
                  </w:tcBorders>
                  <w:vAlign w:val="center"/>
                </w:tcPr>
                <w:p w14:paraId="75B311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z w:val="21"/>
                      <w:szCs w:val="21"/>
                      <w:vertAlign w:val="baseline"/>
                      <w:lang w:val="en-US" w:eastAsia="zh-CN"/>
                    </w:rPr>
                  </w:pPr>
                  <w:r>
                    <w:rPr>
                      <w:rFonts w:hint="eastAsia"/>
                      <w:sz w:val="21"/>
                      <w:szCs w:val="21"/>
                      <w:vertAlign w:val="baseline"/>
                      <w:lang w:val="en-US" w:eastAsia="zh-CN"/>
                    </w:rPr>
                    <w:t>14</w:t>
                  </w:r>
                </w:p>
              </w:tc>
              <w:tc>
                <w:tcPr>
                  <w:tcW w:w="2160" w:type="dxa"/>
                  <w:tcBorders>
                    <w:tl2br w:val="nil"/>
                    <w:tr2bl w:val="nil"/>
                  </w:tcBorders>
                  <w:shd w:val="clear" w:color="auto" w:fill="auto"/>
                  <w:vAlign w:val="center"/>
                </w:tcPr>
                <w:p w14:paraId="616123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一次水变频定压补水装置</w:t>
                  </w:r>
                </w:p>
              </w:tc>
              <w:tc>
                <w:tcPr>
                  <w:tcW w:w="3060" w:type="dxa"/>
                  <w:tcBorders>
                    <w:tl2br w:val="nil"/>
                    <w:tr2bl w:val="nil"/>
                  </w:tcBorders>
                  <w:vAlign w:val="center"/>
                </w:tcPr>
                <w:p w14:paraId="164F25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补水泵：1用1备，流量21.6m</w:t>
                  </w:r>
                  <w:r>
                    <w:rPr>
                      <w:rFonts w:hint="eastAsia"/>
                      <w:sz w:val="21"/>
                      <w:szCs w:val="21"/>
                      <w:vertAlign w:val="superscript"/>
                      <w:lang w:val="en-US" w:eastAsia="zh-CN"/>
                    </w:rPr>
                    <w:t>3</w:t>
                  </w:r>
                  <w:r>
                    <w:rPr>
                      <w:rFonts w:hint="eastAsia"/>
                      <w:sz w:val="21"/>
                      <w:szCs w:val="21"/>
                      <w:vertAlign w:val="baseline"/>
                      <w:lang w:val="en-US" w:eastAsia="zh-CN"/>
                    </w:rPr>
                    <w:t>/h，扬程24m，功率3.0kW；气压罐ML-600-0.6；含变频控制柜</w:t>
                  </w:r>
                </w:p>
              </w:tc>
              <w:tc>
                <w:tcPr>
                  <w:tcW w:w="1270" w:type="dxa"/>
                  <w:tcBorders>
                    <w:tl2br w:val="nil"/>
                    <w:tr2bl w:val="nil"/>
                  </w:tcBorders>
                  <w:vAlign w:val="center"/>
                </w:tcPr>
                <w:p w14:paraId="71994B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1套</w:t>
                  </w:r>
                </w:p>
              </w:tc>
              <w:tc>
                <w:tcPr>
                  <w:tcW w:w="1714" w:type="dxa"/>
                  <w:tcBorders>
                    <w:tl2br w:val="nil"/>
                    <w:tr2bl w:val="nil"/>
                  </w:tcBorders>
                  <w:vAlign w:val="center"/>
                </w:tcPr>
                <w:p w14:paraId="4B116B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热源侧</w:t>
                  </w:r>
                </w:p>
              </w:tc>
            </w:tr>
            <w:tr w14:paraId="3F75CA6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tcBorders>
                    <w:tl2br w:val="nil"/>
                    <w:tr2bl w:val="nil"/>
                  </w:tcBorders>
                  <w:vAlign w:val="center"/>
                </w:tcPr>
                <w:p w14:paraId="73FC60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z w:val="21"/>
                      <w:szCs w:val="21"/>
                      <w:vertAlign w:val="baseline"/>
                      <w:lang w:val="en-US" w:eastAsia="zh-CN"/>
                    </w:rPr>
                  </w:pPr>
                  <w:r>
                    <w:rPr>
                      <w:rFonts w:hint="eastAsia"/>
                      <w:sz w:val="21"/>
                      <w:szCs w:val="21"/>
                      <w:vertAlign w:val="baseline"/>
                      <w:lang w:val="en-US" w:eastAsia="zh-CN"/>
                    </w:rPr>
                    <w:t>15</w:t>
                  </w:r>
                </w:p>
              </w:tc>
              <w:tc>
                <w:tcPr>
                  <w:tcW w:w="2160" w:type="dxa"/>
                  <w:tcBorders>
                    <w:tl2br w:val="nil"/>
                    <w:tr2bl w:val="nil"/>
                  </w:tcBorders>
                  <w:shd w:val="clear" w:color="auto" w:fill="auto"/>
                  <w:vAlign w:val="center"/>
                </w:tcPr>
                <w:p w14:paraId="6EDC96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z w:val="21"/>
                      <w:szCs w:val="21"/>
                      <w:vertAlign w:val="baseline"/>
                      <w:lang w:val="en-US" w:eastAsia="zh-CN"/>
                    </w:rPr>
                  </w:pPr>
                  <w:r>
                    <w:rPr>
                      <w:rFonts w:hint="eastAsia"/>
                      <w:sz w:val="21"/>
                      <w:szCs w:val="21"/>
                      <w:vertAlign w:val="baseline"/>
                      <w:lang w:val="en-US" w:eastAsia="zh-CN"/>
                    </w:rPr>
                    <w:t>烟囱</w:t>
                  </w:r>
                </w:p>
              </w:tc>
              <w:tc>
                <w:tcPr>
                  <w:tcW w:w="3060" w:type="dxa"/>
                  <w:tcBorders>
                    <w:tl2br w:val="nil"/>
                    <w:tr2bl w:val="nil"/>
                  </w:tcBorders>
                  <w:vAlign w:val="center"/>
                </w:tcPr>
                <w:p w14:paraId="4A9AB2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vertAlign w:val="baseline"/>
                      <w:lang w:val="en-US" w:eastAsia="zh-CN"/>
                    </w:rPr>
                  </w:pPr>
                  <w:r>
                    <w:rPr>
                      <w:rFonts w:hint="eastAsia"/>
                      <w:sz w:val="21"/>
                      <w:szCs w:val="21"/>
                      <w:vertAlign w:val="baseline"/>
                      <w:lang w:val="en-US" w:eastAsia="zh-CN"/>
                    </w:rPr>
                    <w:t>双层不锈钢烟囱，直径1000mm，高度35m，2台锅炉合用一根</w:t>
                  </w:r>
                </w:p>
              </w:tc>
              <w:tc>
                <w:tcPr>
                  <w:tcW w:w="1270" w:type="dxa"/>
                  <w:tcBorders>
                    <w:tl2br w:val="nil"/>
                    <w:tr2bl w:val="nil"/>
                  </w:tcBorders>
                  <w:vAlign w:val="center"/>
                </w:tcPr>
                <w:p w14:paraId="3A0850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z w:val="21"/>
                      <w:szCs w:val="21"/>
                      <w:vertAlign w:val="baseline"/>
                      <w:lang w:val="en-US" w:eastAsia="zh-CN"/>
                    </w:rPr>
                  </w:pPr>
                  <w:r>
                    <w:rPr>
                      <w:rFonts w:hint="eastAsia"/>
                      <w:sz w:val="21"/>
                      <w:szCs w:val="21"/>
                      <w:vertAlign w:val="baseline"/>
                      <w:lang w:val="en-US" w:eastAsia="zh-CN"/>
                    </w:rPr>
                    <w:t>1套</w:t>
                  </w:r>
                </w:p>
              </w:tc>
              <w:tc>
                <w:tcPr>
                  <w:tcW w:w="1714" w:type="dxa"/>
                  <w:tcBorders>
                    <w:tl2br w:val="nil"/>
                    <w:tr2bl w:val="nil"/>
                  </w:tcBorders>
                  <w:vAlign w:val="center"/>
                </w:tcPr>
                <w:p w14:paraId="56D1AA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z w:val="21"/>
                      <w:szCs w:val="21"/>
                      <w:vertAlign w:val="baseline"/>
                      <w:lang w:val="en-US" w:eastAsia="zh-CN"/>
                    </w:rPr>
                  </w:pPr>
                  <w:r>
                    <w:rPr>
                      <w:rFonts w:hint="eastAsia"/>
                      <w:sz w:val="21"/>
                      <w:szCs w:val="21"/>
                      <w:vertAlign w:val="baseline"/>
                      <w:lang w:val="en-US" w:eastAsia="zh-CN"/>
                    </w:rPr>
                    <w:t>/</w:t>
                  </w:r>
                </w:p>
              </w:tc>
            </w:tr>
            <w:tr w14:paraId="7F66AFE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tcBorders>
                    <w:tl2br w:val="nil"/>
                    <w:tr2bl w:val="nil"/>
                  </w:tcBorders>
                  <w:vAlign w:val="center"/>
                </w:tcPr>
                <w:p w14:paraId="6D67E2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z w:val="21"/>
                      <w:szCs w:val="21"/>
                      <w:vertAlign w:val="baseline"/>
                      <w:lang w:val="en-US" w:eastAsia="zh-CN"/>
                    </w:rPr>
                  </w:pPr>
                  <w:r>
                    <w:rPr>
                      <w:rFonts w:hint="eastAsia"/>
                      <w:sz w:val="21"/>
                      <w:szCs w:val="21"/>
                      <w:vertAlign w:val="baseline"/>
                      <w:lang w:val="en-US" w:eastAsia="zh-CN"/>
                    </w:rPr>
                    <w:t>16</w:t>
                  </w:r>
                </w:p>
              </w:tc>
              <w:tc>
                <w:tcPr>
                  <w:tcW w:w="2160" w:type="dxa"/>
                  <w:tcBorders>
                    <w:tl2br w:val="nil"/>
                    <w:tr2bl w:val="nil"/>
                  </w:tcBorders>
                  <w:shd w:val="clear" w:color="auto" w:fill="auto"/>
                  <w:vAlign w:val="center"/>
                </w:tcPr>
                <w:p w14:paraId="346E47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分水器</w:t>
                  </w:r>
                </w:p>
              </w:tc>
              <w:tc>
                <w:tcPr>
                  <w:tcW w:w="3060" w:type="dxa"/>
                  <w:tcBorders>
                    <w:tl2br w:val="nil"/>
                    <w:tr2bl w:val="nil"/>
                  </w:tcBorders>
                  <w:vAlign w:val="center"/>
                </w:tcPr>
                <w:p w14:paraId="75853C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vertAlign w:val="baseline"/>
                    </w:rPr>
                  </w:pPr>
                  <w:r>
                    <w:rPr>
                      <w:rFonts w:hint="eastAsia"/>
                      <w:sz w:val="21"/>
                      <w:szCs w:val="21"/>
                      <w:vertAlign w:val="baseline"/>
                    </w:rPr>
                    <w:t>筒体直径426mm</w:t>
                  </w:r>
                </w:p>
              </w:tc>
              <w:tc>
                <w:tcPr>
                  <w:tcW w:w="1270" w:type="dxa"/>
                  <w:tcBorders>
                    <w:tl2br w:val="nil"/>
                    <w:tr2bl w:val="nil"/>
                  </w:tcBorders>
                  <w:vAlign w:val="center"/>
                </w:tcPr>
                <w:p w14:paraId="6F9520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1个</w:t>
                  </w:r>
                </w:p>
              </w:tc>
              <w:tc>
                <w:tcPr>
                  <w:tcW w:w="1714" w:type="dxa"/>
                  <w:tcBorders>
                    <w:tl2br w:val="nil"/>
                    <w:tr2bl w:val="nil"/>
                  </w:tcBorders>
                  <w:vAlign w:val="center"/>
                </w:tcPr>
                <w:p w14:paraId="20867B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sz w:val="21"/>
                      <w:szCs w:val="21"/>
                      <w:vertAlign w:val="baseline"/>
                      <w:lang w:val="en-US" w:eastAsia="zh-CN"/>
                    </w:rPr>
                  </w:pPr>
                  <w:r>
                    <w:rPr>
                      <w:rFonts w:hint="eastAsia"/>
                      <w:sz w:val="21"/>
                      <w:szCs w:val="21"/>
                      <w:vertAlign w:val="baseline"/>
                      <w:lang w:val="en-US" w:eastAsia="zh-CN"/>
                    </w:rPr>
                    <w:t>/</w:t>
                  </w:r>
                </w:p>
              </w:tc>
            </w:tr>
            <w:tr w14:paraId="4F748DC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tcBorders>
                    <w:tl2br w:val="nil"/>
                    <w:tr2bl w:val="nil"/>
                  </w:tcBorders>
                  <w:vAlign w:val="center"/>
                </w:tcPr>
                <w:p w14:paraId="346CFE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z w:val="21"/>
                      <w:szCs w:val="21"/>
                      <w:vertAlign w:val="baseline"/>
                      <w:lang w:val="en-US" w:eastAsia="zh-CN"/>
                    </w:rPr>
                  </w:pPr>
                  <w:r>
                    <w:rPr>
                      <w:rFonts w:hint="eastAsia"/>
                      <w:sz w:val="21"/>
                      <w:szCs w:val="21"/>
                      <w:vertAlign w:val="baseline"/>
                      <w:lang w:val="en-US" w:eastAsia="zh-CN"/>
                    </w:rPr>
                    <w:t>17</w:t>
                  </w:r>
                </w:p>
              </w:tc>
              <w:tc>
                <w:tcPr>
                  <w:tcW w:w="2160" w:type="dxa"/>
                  <w:tcBorders>
                    <w:tl2br w:val="nil"/>
                    <w:tr2bl w:val="nil"/>
                  </w:tcBorders>
                  <w:vAlign w:val="center"/>
                </w:tcPr>
                <w:p w14:paraId="58CA3C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z w:val="21"/>
                      <w:szCs w:val="21"/>
                      <w:vertAlign w:val="baseline"/>
                      <w:lang w:val="en-US" w:eastAsia="zh-CN"/>
                    </w:rPr>
                  </w:pPr>
                  <w:r>
                    <w:rPr>
                      <w:rFonts w:hint="eastAsia"/>
                      <w:sz w:val="21"/>
                      <w:szCs w:val="21"/>
                      <w:vertAlign w:val="baseline"/>
                      <w:lang w:val="en-US" w:eastAsia="zh-CN"/>
                    </w:rPr>
                    <w:t>集水器</w:t>
                  </w:r>
                </w:p>
              </w:tc>
              <w:tc>
                <w:tcPr>
                  <w:tcW w:w="3060" w:type="dxa"/>
                  <w:tcBorders>
                    <w:tl2br w:val="nil"/>
                    <w:tr2bl w:val="nil"/>
                  </w:tcBorders>
                  <w:vAlign w:val="center"/>
                </w:tcPr>
                <w:p w14:paraId="427E06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vertAlign w:val="baseline"/>
                    </w:rPr>
                  </w:pPr>
                </w:p>
              </w:tc>
              <w:tc>
                <w:tcPr>
                  <w:tcW w:w="1270" w:type="dxa"/>
                  <w:tcBorders>
                    <w:tl2br w:val="nil"/>
                    <w:tr2bl w:val="nil"/>
                  </w:tcBorders>
                  <w:vAlign w:val="center"/>
                </w:tcPr>
                <w:p w14:paraId="731D3B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1个</w:t>
                  </w:r>
                </w:p>
              </w:tc>
              <w:tc>
                <w:tcPr>
                  <w:tcW w:w="1714" w:type="dxa"/>
                  <w:tcBorders>
                    <w:tl2br w:val="nil"/>
                    <w:tr2bl w:val="nil"/>
                  </w:tcBorders>
                  <w:vAlign w:val="center"/>
                </w:tcPr>
                <w:p w14:paraId="59C327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sz w:val="21"/>
                      <w:szCs w:val="21"/>
                      <w:vertAlign w:val="baseline"/>
                      <w:lang w:val="en-US" w:eastAsia="zh-CN"/>
                    </w:rPr>
                  </w:pPr>
                  <w:r>
                    <w:rPr>
                      <w:rFonts w:hint="eastAsia"/>
                      <w:sz w:val="21"/>
                      <w:szCs w:val="21"/>
                      <w:vertAlign w:val="baseline"/>
                      <w:lang w:val="en-US" w:eastAsia="zh-CN"/>
                    </w:rPr>
                    <w:t>/</w:t>
                  </w:r>
                </w:p>
              </w:tc>
            </w:tr>
          </w:tbl>
          <w:p w14:paraId="6E921E26">
            <w:pPr>
              <w:ind w:left="0" w:leftChars="0" w:firstLine="0" w:firstLineChars="0"/>
              <w:jc w:val="center"/>
              <w:rPr>
                <w:rFonts w:hint="eastAsia"/>
                <w:b/>
                <w:bCs/>
                <w:lang w:val="en-US" w:eastAsia="zh-CN"/>
              </w:rPr>
            </w:pPr>
          </w:p>
          <w:p w14:paraId="7F280BED">
            <w:pPr>
              <w:ind w:left="0" w:leftChars="0" w:firstLine="0" w:firstLineChars="0"/>
              <w:jc w:val="center"/>
              <w:rPr>
                <w:rFonts w:hint="eastAsia"/>
                <w:b/>
                <w:bCs/>
                <w:lang w:val="en-US" w:eastAsia="zh-CN"/>
              </w:rPr>
            </w:pPr>
          </w:p>
          <w:p w14:paraId="211E8958">
            <w:pPr>
              <w:ind w:left="0" w:leftChars="0" w:firstLine="0" w:firstLineChars="0"/>
              <w:jc w:val="center"/>
              <w:rPr>
                <w:rFonts w:hint="eastAsia"/>
                <w:b/>
                <w:bCs/>
                <w:lang w:val="en-US" w:eastAsia="zh-CN"/>
              </w:rPr>
            </w:pPr>
          </w:p>
          <w:p w14:paraId="069364DF">
            <w:pPr>
              <w:ind w:left="0" w:leftChars="0" w:firstLine="0" w:firstLineChars="0"/>
              <w:jc w:val="center"/>
              <w:rPr>
                <w:rFonts w:hint="eastAsia"/>
                <w:b/>
                <w:bCs/>
                <w:lang w:val="en-US" w:eastAsia="zh-CN"/>
              </w:rPr>
            </w:pPr>
          </w:p>
          <w:p w14:paraId="2D66C6EE">
            <w:pPr>
              <w:ind w:left="0" w:leftChars="0" w:firstLine="0" w:firstLineChars="0"/>
              <w:jc w:val="center"/>
              <w:rPr>
                <w:rFonts w:hint="eastAsia"/>
                <w:b/>
                <w:bCs/>
                <w:lang w:val="en-US" w:eastAsia="zh-CN"/>
              </w:rPr>
            </w:pPr>
          </w:p>
          <w:p w14:paraId="231095FC">
            <w:pPr>
              <w:ind w:left="0" w:leftChars="0" w:firstLine="0" w:firstLineChars="0"/>
              <w:jc w:val="center"/>
              <w:rPr>
                <w:rFonts w:hint="eastAsia"/>
                <w:b/>
                <w:bCs/>
                <w:lang w:val="en-US" w:eastAsia="zh-CN"/>
              </w:rPr>
            </w:pPr>
          </w:p>
          <w:p w14:paraId="4331469C">
            <w:pPr>
              <w:ind w:left="0" w:leftChars="0" w:firstLine="0" w:firstLineChars="0"/>
              <w:jc w:val="center"/>
              <w:rPr>
                <w:rFonts w:hint="eastAsia"/>
                <w:b/>
                <w:bCs/>
                <w:lang w:val="en-US" w:eastAsia="zh-CN"/>
              </w:rPr>
            </w:pPr>
          </w:p>
          <w:p w14:paraId="029F35EB">
            <w:pPr>
              <w:ind w:left="0" w:leftChars="0" w:firstLine="0" w:firstLineChars="0"/>
              <w:jc w:val="center"/>
              <w:rPr>
                <w:rFonts w:hint="eastAsia"/>
                <w:b/>
                <w:bCs/>
                <w:lang w:val="en-US" w:eastAsia="zh-CN"/>
              </w:rPr>
            </w:pPr>
          </w:p>
          <w:p w14:paraId="7636D5A1">
            <w:pPr>
              <w:ind w:left="0" w:leftChars="0" w:firstLine="0" w:firstLineChars="0"/>
              <w:jc w:val="center"/>
              <w:rPr>
                <w:rFonts w:hint="eastAsia"/>
                <w:b/>
                <w:bCs/>
                <w:lang w:val="en-US" w:eastAsia="zh-CN"/>
              </w:rPr>
            </w:pPr>
          </w:p>
          <w:p w14:paraId="1D494C1F">
            <w:pPr>
              <w:ind w:left="0" w:leftChars="0" w:firstLine="0" w:firstLineChars="0"/>
              <w:jc w:val="center"/>
              <w:rPr>
                <w:rFonts w:hint="default" w:eastAsia="宋体"/>
                <w:b/>
                <w:bCs/>
                <w:lang w:val="en-US" w:eastAsia="zh-CN"/>
              </w:rPr>
            </w:pPr>
            <w:r>
              <w:rPr>
                <w:rFonts w:hint="eastAsia"/>
                <w:b/>
                <w:bCs/>
                <w:lang w:val="en-US" w:eastAsia="zh-CN"/>
              </w:rPr>
              <w:t>表2-5  采暖供回水管道情况一览表</w:t>
            </w:r>
          </w:p>
          <w:tbl>
            <w:tblPr>
              <w:tblStyle w:val="21"/>
              <w:tblW w:w="89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860"/>
              <w:gridCol w:w="1410"/>
              <w:gridCol w:w="1879"/>
              <w:gridCol w:w="1872"/>
            </w:tblGrid>
            <w:tr w14:paraId="520C0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2" w:type="dxa"/>
                  <w:tcBorders>
                    <w:top w:val="single" w:color="auto" w:sz="8" w:space="0"/>
                    <w:left w:val="nil"/>
                  </w:tcBorders>
                  <w:vAlign w:val="center"/>
                </w:tcPr>
                <w:p w14:paraId="2F6F3F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sz w:val="21"/>
                      <w:szCs w:val="21"/>
                      <w:vertAlign w:val="baseline"/>
                      <w:lang w:val="en-US" w:eastAsia="zh-CN"/>
                    </w:rPr>
                  </w:pPr>
                  <w:r>
                    <w:rPr>
                      <w:rFonts w:hint="eastAsia"/>
                      <w:sz w:val="21"/>
                      <w:szCs w:val="21"/>
                      <w:vertAlign w:val="baseline"/>
                      <w:lang w:val="en-US" w:eastAsia="zh-CN"/>
                    </w:rPr>
                    <w:t>序号</w:t>
                  </w:r>
                </w:p>
              </w:tc>
              <w:tc>
                <w:tcPr>
                  <w:tcW w:w="2860" w:type="dxa"/>
                  <w:tcBorders>
                    <w:top w:val="single" w:color="auto" w:sz="8" w:space="0"/>
                  </w:tcBorders>
                  <w:vAlign w:val="center"/>
                </w:tcPr>
                <w:p w14:paraId="30DCCC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名称</w:t>
                  </w:r>
                </w:p>
              </w:tc>
              <w:tc>
                <w:tcPr>
                  <w:tcW w:w="1410" w:type="dxa"/>
                  <w:tcBorders>
                    <w:top w:val="single" w:color="auto" w:sz="8" w:space="0"/>
                  </w:tcBorders>
                  <w:shd w:val="clear" w:color="auto" w:fill="auto"/>
                  <w:vAlign w:val="center"/>
                </w:tcPr>
                <w:p w14:paraId="2B29E2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管径</w:t>
                  </w:r>
                </w:p>
              </w:tc>
              <w:tc>
                <w:tcPr>
                  <w:tcW w:w="1879" w:type="dxa"/>
                  <w:tcBorders>
                    <w:top w:val="single" w:color="auto" w:sz="8" w:space="0"/>
                  </w:tcBorders>
                  <w:shd w:val="clear" w:color="auto" w:fill="auto"/>
                  <w:vAlign w:val="center"/>
                </w:tcPr>
                <w:p w14:paraId="280399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vertAlign w:val="baseline"/>
                    </w:rPr>
                  </w:pPr>
                  <w:r>
                    <w:rPr>
                      <w:rFonts w:hint="eastAsia"/>
                      <w:sz w:val="21"/>
                      <w:szCs w:val="21"/>
                      <w:vertAlign w:val="baseline"/>
                      <w:lang w:val="en-US" w:eastAsia="zh-CN"/>
                    </w:rPr>
                    <w:t>长度/m</w:t>
                  </w:r>
                </w:p>
              </w:tc>
              <w:tc>
                <w:tcPr>
                  <w:tcW w:w="1872" w:type="dxa"/>
                  <w:tcBorders>
                    <w:top w:val="single" w:color="auto" w:sz="8" w:space="0"/>
                    <w:right w:val="nil"/>
                  </w:tcBorders>
                  <w:vAlign w:val="center"/>
                </w:tcPr>
                <w:p w14:paraId="1CBAD4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sz w:val="21"/>
                      <w:szCs w:val="21"/>
                      <w:vertAlign w:val="baseline"/>
                      <w:lang w:val="en-US" w:eastAsia="zh-CN"/>
                    </w:rPr>
                  </w:pPr>
                  <w:r>
                    <w:rPr>
                      <w:rFonts w:hint="eastAsia"/>
                      <w:sz w:val="21"/>
                      <w:szCs w:val="21"/>
                      <w:vertAlign w:val="baseline"/>
                      <w:lang w:val="en-US" w:eastAsia="zh-CN"/>
                    </w:rPr>
                    <w:t>备注</w:t>
                  </w:r>
                </w:p>
              </w:tc>
            </w:tr>
            <w:tr w14:paraId="4E0C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2" w:type="dxa"/>
                  <w:tcBorders>
                    <w:left w:val="nil"/>
                  </w:tcBorders>
                  <w:vAlign w:val="center"/>
                </w:tcPr>
                <w:p w14:paraId="63D883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sz w:val="21"/>
                      <w:szCs w:val="21"/>
                      <w:vertAlign w:val="baseline"/>
                      <w:lang w:val="en-US" w:eastAsia="zh-CN"/>
                    </w:rPr>
                  </w:pPr>
                  <w:r>
                    <w:rPr>
                      <w:rFonts w:hint="eastAsia"/>
                      <w:sz w:val="21"/>
                      <w:szCs w:val="21"/>
                      <w:vertAlign w:val="baseline"/>
                      <w:lang w:val="en-US" w:eastAsia="zh-CN"/>
                    </w:rPr>
                    <w:t>1</w:t>
                  </w:r>
                </w:p>
              </w:tc>
              <w:tc>
                <w:tcPr>
                  <w:tcW w:w="2860" w:type="dxa"/>
                  <w:vAlign w:val="center"/>
                </w:tcPr>
                <w:p w14:paraId="5F0E98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采暖供回水主干管道</w:t>
                  </w:r>
                </w:p>
              </w:tc>
              <w:tc>
                <w:tcPr>
                  <w:tcW w:w="1410" w:type="dxa"/>
                  <w:shd w:val="clear" w:color="auto" w:fill="auto"/>
                  <w:vAlign w:val="center"/>
                </w:tcPr>
                <w:p w14:paraId="0698BA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DN250</w:t>
                  </w:r>
                </w:p>
              </w:tc>
              <w:tc>
                <w:tcPr>
                  <w:tcW w:w="1879" w:type="dxa"/>
                  <w:shd w:val="clear" w:color="auto" w:fill="auto"/>
                  <w:vAlign w:val="center"/>
                </w:tcPr>
                <w:p w14:paraId="5779A5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z w:val="21"/>
                      <w:szCs w:val="21"/>
                      <w:vertAlign w:val="baseline"/>
                      <w:lang w:val="en-US"/>
                    </w:rPr>
                  </w:pPr>
                  <w:r>
                    <w:rPr>
                      <w:rFonts w:hint="eastAsia"/>
                      <w:sz w:val="21"/>
                      <w:szCs w:val="21"/>
                      <w:vertAlign w:val="baseline"/>
                      <w:lang w:val="en-US" w:eastAsia="zh-CN"/>
                    </w:rPr>
                    <w:t>375</w:t>
                  </w:r>
                </w:p>
              </w:tc>
              <w:tc>
                <w:tcPr>
                  <w:tcW w:w="1872" w:type="dxa"/>
                  <w:tcBorders>
                    <w:right w:val="nil"/>
                  </w:tcBorders>
                  <w:vAlign w:val="center"/>
                </w:tcPr>
                <w:p w14:paraId="4D16D8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新建</w:t>
                  </w:r>
                </w:p>
              </w:tc>
            </w:tr>
            <w:tr w14:paraId="17824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2" w:type="dxa"/>
                  <w:tcBorders>
                    <w:left w:val="nil"/>
                  </w:tcBorders>
                  <w:shd w:val="clear" w:color="auto" w:fill="auto"/>
                  <w:vAlign w:val="center"/>
                </w:tcPr>
                <w:p w14:paraId="1DAB42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2</w:t>
                  </w:r>
                </w:p>
              </w:tc>
              <w:tc>
                <w:tcPr>
                  <w:tcW w:w="2860" w:type="dxa"/>
                  <w:shd w:val="clear" w:color="auto" w:fill="auto"/>
                  <w:vAlign w:val="center"/>
                </w:tcPr>
                <w:p w14:paraId="1C979F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采暖供回水主干管道</w:t>
                  </w:r>
                </w:p>
              </w:tc>
              <w:tc>
                <w:tcPr>
                  <w:tcW w:w="1410" w:type="dxa"/>
                  <w:shd w:val="clear" w:color="auto" w:fill="auto"/>
                  <w:vAlign w:val="center"/>
                </w:tcPr>
                <w:p w14:paraId="65FD30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DN250</w:t>
                  </w:r>
                </w:p>
              </w:tc>
              <w:tc>
                <w:tcPr>
                  <w:tcW w:w="1879" w:type="dxa"/>
                  <w:shd w:val="clear" w:color="auto" w:fill="auto"/>
                  <w:vAlign w:val="center"/>
                </w:tcPr>
                <w:p w14:paraId="0C7E6C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645</w:t>
                  </w:r>
                </w:p>
              </w:tc>
              <w:tc>
                <w:tcPr>
                  <w:tcW w:w="1872" w:type="dxa"/>
                  <w:tcBorders>
                    <w:right w:val="nil"/>
                  </w:tcBorders>
                  <w:vAlign w:val="center"/>
                </w:tcPr>
                <w:p w14:paraId="7FAA80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vertAlign w:val="baseline"/>
                      <w:lang w:val="en-US" w:eastAsia="zh-CN"/>
                    </w:rPr>
                  </w:pPr>
                  <w:r>
                    <w:rPr>
                      <w:rFonts w:hint="eastAsia"/>
                      <w:sz w:val="21"/>
                      <w:szCs w:val="21"/>
                      <w:vertAlign w:val="baseline"/>
                      <w:lang w:val="en-US" w:eastAsia="zh-CN"/>
                    </w:rPr>
                    <w:t>依托</w:t>
                  </w:r>
                </w:p>
              </w:tc>
            </w:tr>
            <w:tr w14:paraId="5F0B0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2" w:type="dxa"/>
                  <w:tcBorders>
                    <w:left w:val="nil"/>
                  </w:tcBorders>
                  <w:shd w:val="clear" w:color="auto" w:fill="auto"/>
                  <w:vAlign w:val="center"/>
                </w:tcPr>
                <w:p w14:paraId="71571E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3</w:t>
                  </w:r>
                </w:p>
              </w:tc>
              <w:tc>
                <w:tcPr>
                  <w:tcW w:w="2860" w:type="dxa"/>
                  <w:shd w:val="clear" w:color="auto" w:fill="auto"/>
                  <w:vAlign w:val="center"/>
                </w:tcPr>
                <w:p w14:paraId="6BE7D4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采暖供回水主干管道</w:t>
                  </w:r>
                </w:p>
              </w:tc>
              <w:tc>
                <w:tcPr>
                  <w:tcW w:w="1410" w:type="dxa"/>
                  <w:shd w:val="clear" w:color="auto" w:fill="auto"/>
                  <w:vAlign w:val="center"/>
                </w:tcPr>
                <w:p w14:paraId="7615CA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DN200</w:t>
                  </w:r>
                </w:p>
              </w:tc>
              <w:tc>
                <w:tcPr>
                  <w:tcW w:w="1879" w:type="dxa"/>
                  <w:shd w:val="clear" w:color="auto" w:fill="auto"/>
                  <w:vAlign w:val="center"/>
                </w:tcPr>
                <w:p w14:paraId="6DA53D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1020</w:t>
                  </w:r>
                </w:p>
              </w:tc>
              <w:tc>
                <w:tcPr>
                  <w:tcW w:w="1872" w:type="dxa"/>
                  <w:tcBorders>
                    <w:right w:val="nil"/>
                  </w:tcBorders>
                  <w:shd w:val="clear" w:color="auto" w:fill="auto"/>
                  <w:vAlign w:val="center"/>
                </w:tcPr>
                <w:p w14:paraId="374C36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依托</w:t>
                  </w:r>
                </w:p>
              </w:tc>
            </w:tr>
            <w:tr w14:paraId="5B3AA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2" w:type="dxa"/>
                  <w:tcBorders>
                    <w:left w:val="nil"/>
                  </w:tcBorders>
                  <w:vAlign w:val="center"/>
                </w:tcPr>
                <w:p w14:paraId="0EDE8E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sz w:val="21"/>
                      <w:szCs w:val="21"/>
                      <w:vertAlign w:val="baseline"/>
                      <w:lang w:val="en-US" w:eastAsia="zh-CN"/>
                    </w:rPr>
                  </w:pPr>
                  <w:r>
                    <w:rPr>
                      <w:rFonts w:hint="eastAsia"/>
                      <w:sz w:val="21"/>
                      <w:szCs w:val="21"/>
                      <w:vertAlign w:val="baseline"/>
                      <w:lang w:val="en-US" w:eastAsia="zh-CN"/>
                    </w:rPr>
                    <w:t>4</w:t>
                  </w:r>
                </w:p>
              </w:tc>
              <w:tc>
                <w:tcPr>
                  <w:tcW w:w="2860" w:type="dxa"/>
                  <w:shd w:val="clear" w:color="auto" w:fill="auto"/>
                  <w:vAlign w:val="center"/>
                </w:tcPr>
                <w:p w14:paraId="2F2068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cstheme="minorBidi"/>
                      <w:kern w:val="2"/>
                      <w:sz w:val="21"/>
                      <w:szCs w:val="21"/>
                      <w:vertAlign w:val="baseline"/>
                      <w:lang w:val="en-US" w:eastAsia="zh-CN" w:bidi="ar-SA"/>
                    </w:rPr>
                    <w:t>采暖供回水支干管道</w:t>
                  </w:r>
                </w:p>
              </w:tc>
              <w:tc>
                <w:tcPr>
                  <w:tcW w:w="1410" w:type="dxa"/>
                  <w:shd w:val="clear" w:color="auto" w:fill="auto"/>
                  <w:vAlign w:val="center"/>
                </w:tcPr>
                <w:p w14:paraId="1E1EBC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DN80</w:t>
                  </w:r>
                </w:p>
              </w:tc>
              <w:tc>
                <w:tcPr>
                  <w:tcW w:w="1879" w:type="dxa"/>
                  <w:shd w:val="clear" w:color="auto" w:fill="auto"/>
                  <w:vAlign w:val="center"/>
                </w:tcPr>
                <w:p w14:paraId="6A0F9D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480</w:t>
                  </w:r>
                </w:p>
              </w:tc>
              <w:tc>
                <w:tcPr>
                  <w:tcW w:w="1872" w:type="dxa"/>
                  <w:tcBorders>
                    <w:right w:val="nil"/>
                  </w:tcBorders>
                  <w:shd w:val="clear" w:color="auto" w:fill="auto"/>
                  <w:vAlign w:val="center"/>
                </w:tcPr>
                <w:p w14:paraId="3EE83A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依托</w:t>
                  </w:r>
                </w:p>
              </w:tc>
            </w:tr>
            <w:tr w14:paraId="3C74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2" w:type="dxa"/>
                  <w:tcBorders>
                    <w:left w:val="nil"/>
                  </w:tcBorders>
                  <w:vAlign w:val="center"/>
                </w:tcPr>
                <w:p w14:paraId="6800FF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z w:val="21"/>
                      <w:szCs w:val="21"/>
                      <w:vertAlign w:val="baseline"/>
                      <w:lang w:val="en-US" w:eastAsia="zh-CN"/>
                    </w:rPr>
                  </w:pPr>
                  <w:r>
                    <w:rPr>
                      <w:rFonts w:hint="eastAsia"/>
                      <w:sz w:val="21"/>
                      <w:szCs w:val="21"/>
                      <w:vertAlign w:val="baseline"/>
                      <w:lang w:val="en-US" w:eastAsia="zh-CN"/>
                    </w:rPr>
                    <w:t>5</w:t>
                  </w:r>
                </w:p>
              </w:tc>
              <w:tc>
                <w:tcPr>
                  <w:tcW w:w="2860" w:type="dxa"/>
                  <w:shd w:val="clear" w:color="auto" w:fill="auto"/>
                  <w:vAlign w:val="center"/>
                </w:tcPr>
                <w:p w14:paraId="433F4B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cstheme="minorBidi"/>
                      <w:kern w:val="2"/>
                      <w:sz w:val="21"/>
                      <w:szCs w:val="21"/>
                      <w:vertAlign w:val="baseline"/>
                      <w:lang w:val="en-US" w:eastAsia="zh-CN" w:bidi="ar-SA"/>
                    </w:rPr>
                    <w:t>采暖供回水支干管道</w:t>
                  </w:r>
                </w:p>
              </w:tc>
              <w:tc>
                <w:tcPr>
                  <w:tcW w:w="1410" w:type="dxa"/>
                  <w:shd w:val="clear" w:color="auto" w:fill="auto"/>
                  <w:vAlign w:val="center"/>
                </w:tcPr>
                <w:p w14:paraId="286834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DN70</w:t>
                  </w:r>
                </w:p>
              </w:tc>
              <w:tc>
                <w:tcPr>
                  <w:tcW w:w="1879" w:type="dxa"/>
                  <w:shd w:val="clear" w:color="auto" w:fill="auto"/>
                  <w:vAlign w:val="center"/>
                </w:tcPr>
                <w:p w14:paraId="79FA15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1360</w:t>
                  </w:r>
                </w:p>
              </w:tc>
              <w:tc>
                <w:tcPr>
                  <w:tcW w:w="1872" w:type="dxa"/>
                  <w:tcBorders>
                    <w:right w:val="nil"/>
                  </w:tcBorders>
                  <w:shd w:val="clear" w:color="auto" w:fill="auto"/>
                  <w:vAlign w:val="center"/>
                </w:tcPr>
                <w:p w14:paraId="5C1CA4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依托</w:t>
                  </w:r>
                </w:p>
              </w:tc>
            </w:tr>
            <w:tr w14:paraId="09E63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2" w:type="dxa"/>
                  <w:tcBorders>
                    <w:left w:val="nil"/>
                    <w:bottom w:val="single" w:color="auto" w:sz="8" w:space="0"/>
                  </w:tcBorders>
                  <w:vAlign w:val="center"/>
                </w:tcPr>
                <w:p w14:paraId="2EB4CE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vertAlign w:val="baseline"/>
                      <w:lang w:val="en-US" w:eastAsia="zh-CN"/>
                    </w:rPr>
                  </w:pPr>
                  <w:r>
                    <w:rPr>
                      <w:rFonts w:hint="eastAsia"/>
                      <w:sz w:val="21"/>
                      <w:szCs w:val="21"/>
                      <w:vertAlign w:val="baseline"/>
                      <w:lang w:val="en-US" w:eastAsia="zh-CN"/>
                    </w:rPr>
                    <w:t>6</w:t>
                  </w:r>
                </w:p>
              </w:tc>
              <w:tc>
                <w:tcPr>
                  <w:tcW w:w="2860" w:type="dxa"/>
                  <w:tcBorders>
                    <w:bottom w:val="single" w:color="auto" w:sz="8" w:space="0"/>
                  </w:tcBorders>
                  <w:shd w:val="clear" w:color="auto" w:fill="auto"/>
                  <w:vAlign w:val="center"/>
                </w:tcPr>
                <w:p w14:paraId="24E3A4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cstheme="minorBidi"/>
                      <w:kern w:val="2"/>
                      <w:sz w:val="21"/>
                      <w:szCs w:val="21"/>
                      <w:vertAlign w:val="baseline"/>
                      <w:lang w:val="en-US" w:eastAsia="zh-CN" w:bidi="ar-SA"/>
                    </w:rPr>
                    <w:t>采暖供回水支管道</w:t>
                  </w:r>
                </w:p>
              </w:tc>
              <w:tc>
                <w:tcPr>
                  <w:tcW w:w="1410" w:type="dxa"/>
                  <w:tcBorders>
                    <w:bottom w:val="single" w:color="auto" w:sz="8" w:space="0"/>
                  </w:tcBorders>
                  <w:shd w:val="clear" w:color="auto" w:fill="auto"/>
                  <w:vAlign w:val="center"/>
                </w:tcPr>
                <w:p w14:paraId="08AD32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DN32</w:t>
                  </w:r>
                </w:p>
              </w:tc>
              <w:tc>
                <w:tcPr>
                  <w:tcW w:w="1879" w:type="dxa"/>
                  <w:tcBorders>
                    <w:bottom w:val="single" w:color="auto" w:sz="8" w:space="0"/>
                  </w:tcBorders>
                  <w:shd w:val="clear" w:color="auto" w:fill="auto"/>
                  <w:vAlign w:val="center"/>
                </w:tcPr>
                <w:p w14:paraId="7A03FD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110</w:t>
                  </w:r>
                </w:p>
              </w:tc>
              <w:tc>
                <w:tcPr>
                  <w:tcW w:w="1872" w:type="dxa"/>
                  <w:tcBorders>
                    <w:bottom w:val="single" w:color="auto" w:sz="8" w:space="0"/>
                    <w:right w:val="nil"/>
                  </w:tcBorders>
                  <w:shd w:val="clear" w:color="auto" w:fill="auto"/>
                  <w:vAlign w:val="center"/>
                </w:tcPr>
                <w:p w14:paraId="44F122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heme="minorBidi"/>
                      <w:kern w:val="2"/>
                      <w:sz w:val="21"/>
                      <w:szCs w:val="21"/>
                      <w:vertAlign w:val="baseline"/>
                      <w:lang w:val="en-US" w:eastAsia="zh-CN" w:bidi="ar-SA"/>
                    </w:rPr>
                  </w:pPr>
                  <w:r>
                    <w:rPr>
                      <w:rFonts w:hint="eastAsia"/>
                      <w:sz w:val="21"/>
                      <w:szCs w:val="21"/>
                      <w:vertAlign w:val="baseline"/>
                      <w:lang w:val="en-US" w:eastAsia="zh-CN"/>
                    </w:rPr>
                    <w:t>依托</w:t>
                  </w:r>
                </w:p>
              </w:tc>
            </w:tr>
          </w:tbl>
          <w:p w14:paraId="25B80DD0">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四、劳动定员及工作制度</w:t>
            </w:r>
          </w:p>
          <w:p w14:paraId="6E02F593">
            <w:pPr>
              <w:pStyle w:val="43"/>
              <w:keepNext w:val="0"/>
              <w:keepLines w:val="0"/>
              <w:pageBreakBefore w:val="0"/>
              <w:widowControl w:val="0"/>
              <w:kinsoku/>
              <w:wordWrap/>
              <w:overflowPunct/>
              <w:topLinePunct w:val="0"/>
              <w:autoSpaceDE/>
              <w:autoSpaceDN/>
              <w:bidi w:val="0"/>
              <w:adjustRightInd/>
              <w:snapToGrid/>
              <w:textAlignment w:val="auto"/>
              <w:rPr>
                <w:rFonts w:hint="default"/>
                <w:color w:val="auto"/>
                <w:sz w:val="24"/>
                <w:szCs w:val="24"/>
                <w:highlight w:val="none"/>
                <w:lang w:val="en-US" w:eastAsia="zh-CN"/>
              </w:rPr>
            </w:pPr>
            <w:r>
              <w:rPr>
                <w:rFonts w:hint="eastAsia"/>
                <w:color w:val="auto"/>
                <w:sz w:val="24"/>
                <w:szCs w:val="24"/>
                <w:highlight w:val="none"/>
                <w:lang w:val="en-US" w:eastAsia="zh-CN"/>
              </w:rPr>
              <w:t>项目职工2人，</w:t>
            </w:r>
            <w:r>
              <w:rPr>
                <w:rFonts w:hint="eastAsia" w:ascii="Times New Roman" w:hAnsi="Times New Roman" w:eastAsia="宋体" w:cs="Times New Roman"/>
                <w:bCs/>
                <w:color w:val="auto"/>
                <w:sz w:val="24"/>
                <w:szCs w:val="24"/>
                <w:highlight w:val="none"/>
                <w:lang w:val="en-US" w:eastAsia="zh-CN"/>
              </w:rPr>
              <w:t>年工作</w:t>
            </w:r>
            <w:r>
              <w:rPr>
                <w:rFonts w:hint="eastAsia" w:cs="Times New Roman"/>
                <w:bCs/>
                <w:color w:val="auto"/>
                <w:sz w:val="24"/>
                <w:szCs w:val="24"/>
                <w:highlight w:val="none"/>
                <w:lang w:val="en-US" w:eastAsia="zh-CN"/>
              </w:rPr>
              <w:t>213</w:t>
            </w:r>
            <w:r>
              <w:rPr>
                <w:rFonts w:hint="eastAsia" w:ascii="Times New Roman" w:hAnsi="Times New Roman" w:eastAsia="宋体" w:cs="Times New Roman"/>
                <w:bCs/>
                <w:color w:val="auto"/>
                <w:sz w:val="24"/>
                <w:szCs w:val="24"/>
                <w:highlight w:val="none"/>
                <w:lang w:val="en-US" w:eastAsia="zh-CN"/>
              </w:rPr>
              <w:t>天，实行</w:t>
            </w:r>
            <w:r>
              <w:rPr>
                <w:rFonts w:hint="eastAsia" w:cs="Times New Roman"/>
                <w:bCs/>
                <w:color w:val="auto"/>
                <w:sz w:val="24"/>
                <w:szCs w:val="24"/>
                <w:highlight w:val="none"/>
                <w:lang w:val="en-US" w:eastAsia="zh-CN"/>
              </w:rPr>
              <w:t>两</w:t>
            </w:r>
            <w:r>
              <w:rPr>
                <w:rFonts w:hint="eastAsia" w:ascii="Times New Roman" w:hAnsi="Times New Roman" w:eastAsia="宋体" w:cs="Times New Roman"/>
                <w:bCs/>
                <w:color w:val="auto"/>
                <w:sz w:val="24"/>
                <w:szCs w:val="24"/>
                <w:highlight w:val="none"/>
                <w:lang w:val="en-US" w:eastAsia="zh-CN"/>
              </w:rPr>
              <w:t>班制，</w:t>
            </w:r>
            <w:r>
              <w:rPr>
                <w:rFonts w:hint="eastAsia" w:cs="Times New Roman"/>
                <w:bCs/>
                <w:color w:val="auto"/>
                <w:sz w:val="24"/>
                <w:szCs w:val="24"/>
                <w:highlight w:val="none"/>
                <w:lang w:val="en-US" w:eastAsia="zh-CN"/>
              </w:rPr>
              <w:t>锅炉年</w:t>
            </w:r>
            <w:r>
              <w:rPr>
                <w:rFonts w:hint="eastAsia" w:cs="Times New Roman"/>
                <w:b w:val="0"/>
                <w:bCs/>
                <w:color w:val="auto"/>
                <w:sz w:val="24"/>
                <w:szCs w:val="24"/>
                <w:highlight w:val="none"/>
                <w:lang w:val="en-US" w:eastAsia="zh-CN"/>
              </w:rPr>
              <w:t>运行时间213天（10月1日至次年4月30日），平均日运行18小时。</w:t>
            </w:r>
          </w:p>
          <w:p w14:paraId="20A9142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五、公用工程</w:t>
            </w:r>
          </w:p>
          <w:p w14:paraId="102A8E5A">
            <w:pPr>
              <w:pStyle w:val="43"/>
              <w:keepNext w:val="0"/>
              <w:keepLines w:val="0"/>
              <w:pageBreakBefore w:val="0"/>
              <w:widowControl w:val="0"/>
              <w:kinsoku/>
              <w:wordWrap/>
              <w:overflowPunct/>
              <w:topLinePunct w:val="0"/>
              <w:autoSpaceDE/>
              <w:autoSpaceDN/>
              <w:bidi w:val="0"/>
              <w:adjustRightInd/>
              <w:snapToGrid/>
              <w:textAlignment w:val="auto"/>
              <w:rPr>
                <w:rFonts w:hint="eastAsia"/>
                <w:color w:val="auto"/>
                <w:highlight w:val="none"/>
                <w:lang w:val="en-US" w:eastAsia="zh-CN"/>
              </w:rPr>
            </w:pPr>
            <w:r>
              <w:rPr>
                <w:rFonts w:hint="eastAsia"/>
                <w:color w:val="auto"/>
                <w:highlight w:val="none"/>
                <w:lang w:val="en-US" w:eastAsia="zh-CN"/>
              </w:rPr>
              <w:t>（一）给水工程</w:t>
            </w:r>
          </w:p>
          <w:p w14:paraId="6005898D">
            <w:pPr>
              <w:pStyle w:val="43"/>
              <w:keepNext w:val="0"/>
              <w:keepLines w:val="0"/>
              <w:pageBreakBefore w:val="0"/>
              <w:widowControl w:val="0"/>
              <w:kinsoku/>
              <w:wordWrap/>
              <w:overflowPunct/>
              <w:topLinePunct w:val="0"/>
              <w:autoSpaceDE/>
              <w:autoSpaceDN/>
              <w:bidi w:val="0"/>
              <w:adjustRightInd/>
              <w:snapToGrid/>
              <w:textAlignment w:val="auto"/>
              <w:rPr>
                <w:rFonts w:hint="eastAsia"/>
                <w:color w:val="auto"/>
                <w:highlight w:val="none"/>
                <w:lang w:val="en-US" w:eastAsia="zh-CN"/>
              </w:rPr>
            </w:pPr>
            <w:r>
              <w:rPr>
                <w:rFonts w:hint="eastAsia"/>
                <w:color w:val="auto"/>
                <w:highlight w:val="none"/>
                <w:lang w:val="en-US" w:eastAsia="zh-CN"/>
              </w:rPr>
              <w:t>项目给水依托四排乡自来水。</w:t>
            </w:r>
          </w:p>
          <w:p w14:paraId="494679A2">
            <w:pPr>
              <w:pStyle w:val="43"/>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eastAsia"/>
                <w:color w:val="auto"/>
                <w:highlight w:val="none"/>
                <w:lang w:val="en-US" w:eastAsia="zh-CN"/>
              </w:rPr>
              <w:t>1.生活用水</w:t>
            </w:r>
          </w:p>
          <w:p w14:paraId="6E11D484">
            <w:pPr>
              <w:pStyle w:val="43"/>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kern w:val="0"/>
                <w:highlight w:val="none"/>
              </w:rPr>
            </w:pPr>
            <w:r>
              <w:rPr>
                <w:rFonts w:hint="eastAsia"/>
                <w:color w:val="auto"/>
                <w:highlight w:val="none"/>
                <w:lang w:val="en-US" w:eastAsia="zh-CN"/>
              </w:rPr>
              <w:t>项目劳动定员2人，年工作180天，</w:t>
            </w:r>
            <w:r>
              <w:rPr>
                <w:rFonts w:hint="default" w:ascii="Times New Roman" w:hAnsi="Times New Roman" w:eastAsia="宋体" w:cs="Times New Roman"/>
                <w:color w:val="auto"/>
                <w:sz w:val="24"/>
                <w:szCs w:val="24"/>
                <w:highlight w:val="none"/>
                <w:lang w:val="en-US" w:eastAsia="zh-CN"/>
              </w:rPr>
              <w:t>根据</w:t>
            </w:r>
            <w:r>
              <w:rPr>
                <w:rFonts w:hint="eastAsia"/>
                <w:color w:val="auto"/>
                <w:highlight w:val="none"/>
                <w:lang w:val="en-US" w:eastAsia="zh-CN"/>
              </w:rPr>
              <w:t>黑龙江</w:t>
            </w:r>
            <w:r>
              <w:rPr>
                <w:rFonts w:hint="default" w:ascii="Times New Roman" w:hAnsi="Times New Roman" w:eastAsia="宋体" w:cs="Times New Roman"/>
                <w:color w:val="auto"/>
                <w:sz w:val="24"/>
                <w:szCs w:val="24"/>
                <w:highlight w:val="none"/>
                <w:lang w:val="en-US" w:eastAsia="zh-CN"/>
              </w:rPr>
              <w:t>《用水定额》（DB23/T727-202</w:t>
            </w:r>
            <w:r>
              <w:rPr>
                <w:rFonts w:hint="eastAsia"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）表</w:t>
            </w:r>
            <w:r>
              <w:rPr>
                <w:rFonts w:hint="eastAsia" w:cs="Times New Roman"/>
                <w:color w:val="auto"/>
                <w:sz w:val="24"/>
                <w:szCs w:val="24"/>
                <w:highlight w:val="none"/>
                <w:lang w:val="en-US" w:eastAsia="zh-CN"/>
              </w:rPr>
              <w:t>39居民生活用水定额</w:t>
            </w:r>
            <w:r>
              <w:rPr>
                <w:rFonts w:hint="default" w:ascii="Times New Roman" w:hAnsi="Times New Roman" w:eastAsia="宋体" w:cs="Times New Roman"/>
                <w:color w:val="auto"/>
                <w:sz w:val="24"/>
                <w:szCs w:val="24"/>
                <w:highlight w:val="none"/>
                <w:lang w:val="en-US" w:eastAsia="zh-CN"/>
              </w:rPr>
              <w:t>定额计算，即</w:t>
            </w:r>
            <w:r>
              <w:rPr>
                <w:rFonts w:hint="eastAsia" w:cs="Times New Roman"/>
                <w:color w:val="auto"/>
                <w:sz w:val="24"/>
                <w:szCs w:val="24"/>
                <w:highlight w:val="none"/>
                <w:lang w:val="en-US" w:eastAsia="zh-CN"/>
              </w:rPr>
              <w:t>80</w:t>
            </w:r>
            <w:r>
              <w:rPr>
                <w:rFonts w:hint="default" w:ascii="Times New Roman" w:hAnsi="Times New Roman" w:eastAsia="宋体" w:cs="Times New Roman"/>
                <w:color w:val="auto"/>
                <w:sz w:val="24"/>
                <w:szCs w:val="24"/>
                <w:highlight w:val="none"/>
                <w:lang w:val="en-US" w:eastAsia="zh-CN"/>
              </w:rPr>
              <w:t>L/（人·d）</w:t>
            </w:r>
            <w:r>
              <w:rPr>
                <w:rFonts w:hint="default" w:ascii="Times New Roman" w:hAnsi="Times New Roman" w:cs="Times New Roman"/>
                <w:color w:val="auto"/>
                <w:kern w:val="0"/>
                <w:highlight w:val="none"/>
              </w:rPr>
              <w:t>，</w:t>
            </w:r>
            <w:r>
              <w:rPr>
                <w:rFonts w:hint="eastAsia" w:ascii="Times New Roman" w:hAnsi="Times New Roman" w:cs="Times New Roman"/>
                <w:color w:val="auto"/>
                <w:kern w:val="0"/>
                <w:highlight w:val="none"/>
                <w:lang w:val="en-US" w:eastAsia="zh-CN"/>
              </w:rPr>
              <w:t>生活用水量</w:t>
            </w:r>
            <w:r>
              <w:rPr>
                <w:rFonts w:hint="eastAsia" w:cs="Times New Roman"/>
                <w:color w:val="auto"/>
                <w:kern w:val="0"/>
                <w:highlight w:val="none"/>
                <w:lang w:val="en-US" w:eastAsia="zh-CN"/>
              </w:rPr>
              <w:t>0.16</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highlight w:val="none"/>
              </w:rPr>
              <w:t>/d，</w:t>
            </w:r>
            <w:r>
              <w:rPr>
                <w:rFonts w:hint="eastAsia" w:cs="Times New Roman"/>
                <w:color w:val="auto"/>
                <w:kern w:val="0"/>
                <w:highlight w:val="none"/>
                <w:lang w:val="en-US" w:eastAsia="zh-CN"/>
              </w:rPr>
              <w:t>34.08</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highlight w:val="none"/>
              </w:rPr>
              <w:t>/a。</w:t>
            </w:r>
          </w:p>
          <w:p w14:paraId="2282F505">
            <w:pPr>
              <w:pStyle w:val="43"/>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2.锅炉用水</w:t>
            </w:r>
          </w:p>
          <w:p w14:paraId="28F8BE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kern w:val="0"/>
                <w:sz w:val="24"/>
                <w:szCs w:val="24"/>
                <w:highlight w:val="yellow"/>
                <w:lang w:val="en-US" w:eastAsia="zh-CN"/>
              </w:rPr>
            </w:pPr>
            <w:r>
              <w:rPr>
                <w:rFonts w:hint="default" w:ascii="Times New Roman" w:hAnsi="Times New Roman" w:cs="Times New Roman"/>
                <w:color w:val="auto"/>
                <w:kern w:val="0"/>
                <w:sz w:val="24"/>
                <w:szCs w:val="24"/>
                <w:highlight w:val="none"/>
                <w:lang w:val="en-US" w:eastAsia="zh-CN"/>
              </w:rPr>
              <w:t>项目实际运行1台5.6MW</w:t>
            </w:r>
            <w:r>
              <w:rPr>
                <w:rFonts w:hint="default" w:ascii="Times New Roman" w:hAnsi="Times New Roman" w:cs="Times New Roman"/>
                <w:b w:val="0"/>
                <w:bCs w:val="0"/>
                <w:color w:val="auto"/>
                <w:sz w:val="24"/>
                <w:szCs w:val="24"/>
                <w:highlight w:val="none"/>
                <w:lang w:val="en-US" w:eastAsia="zh-CN"/>
              </w:rPr>
              <w:t>生物质承压热水锅炉</w:t>
            </w:r>
            <w:r>
              <w:rPr>
                <w:rFonts w:hint="default" w:ascii="Times New Roman" w:hAnsi="Times New Roman" w:cs="Times New Roman"/>
                <w:color w:val="auto"/>
                <w:kern w:val="0"/>
                <w:sz w:val="24"/>
                <w:szCs w:val="24"/>
                <w:highlight w:val="none"/>
                <w:lang w:val="en-US" w:eastAsia="zh-CN"/>
              </w:rPr>
              <w:t>，平均日运行18小时，锅炉年运行213天，</w:t>
            </w:r>
            <w:r>
              <w:rPr>
                <w:rFonts w:hint="default" w:ascii="Times New Roman" w:hAnsi="Times New Roman" w:cs="Times New Roman" w:eastAsiaTheme="minorEastAsia"/>
                <w:bCs/>
                <w:color w:val="auto"/>
                <w:sz w:val="24"/>
                <w:szCs w:val="24"/>
                <w:highlight w:val="none"/>
              </w:rPr>
              <w:t>根据</w:t>
            </w:r>
            <w:r>
              <w:rPr>
                <w:rFonts w:hint="default" w:ascii="Times New Roman" w:hAnsi="Times New Roman" w:cs="Times New Roman" w:eastAsiaTheme="minorEastAsia"/>
                <w:color w:val="auto"/>
                <w:sz w:val="24"/>
                <w:szCs w:val="24"/>
                <w:highlight w:val="none"/>
              </w:rPr>
              <w:t>《</w:t>
            </w:r>
            <w:r>
              <w:rPr>
                <w:rFonts w:hint="default" w:ascii="Times New Roman" w:hAnsi="Times New Roman" w:cs="Times New Roman" w:eastAsiaTheme="minorEastAsia"/>
                <w:bCs/>
                <w:color w:val="auto"/>
                <w:sz w:val="24"/>
                <w:szCs w:val="24"/>
                <w:highlight w:val="none"/>
              </w:rPr>
              <w:t>排放源统计调查产排污核算方法和系数手册</w:t>
            </w:r>
            <w:r>
              <w:rPr>
                <w:rFonts w:hint="default" w:ascii="Times New Roman" w:hAnsi="Times New Roman" w:cs="Times New Roman" w:eastAsiaTheme="minorEastAsia"/>
                <w:color w:val="auto"/>
                <w:sz w:val="24"/>
                <w:szCs w:val="24"/>
                <w:highlight w:val="none"/>
              </w:rPr>
              <w:t>》</w:t>
            </w:r>
            <w:r>
              <w:rPr>
                <w:rFonts w:hint="default" w:ascii="Times New Roman" w:hAnsi="Times New Roman" w:cs="Times New Roman" w:eastAsiaTheme="minorEastAsia"/>
                <w:bCs/>
                <w:color w:val="auto"/>
                <w:sz w:val="24"/>
                <w:szCs w:val="24"/>
                <w:highlight w:val="none"/>
              </w:rPr>
              <w:t>工业锅炉（热力生产和供应行业）产排污系数生物质锅炉锅外水处理软化处理废水及锅炉定排水产污系数为0.356吨/吨-原料，</w:t>
            </w:r>
            <w:r>
              <w:rPr>
                <w:rFonts w:hint="default" w:ascii="Times New Roman" w:hAnsi="Times New Roman" w:cs="Times New Roman"/>
                <w:color w:val="auto"/>
                <w:sz w:val="24"/>
                <w:szCs w:val="24"/>
                <w:highlight w:val="none"/>
                <w:lang w:val="en-US" w:eastAsia="zh-CN"/>
              </w:rPr>
              <w:t>则生物质成型燃料消耗量为6219t/a，计算可知</w:t>
            </w:r>
            <w:r>
              <w:rPr>
                <w:rFonts w:hint="default" w:ascii="Times New Roman" w:hAnsi="Times New Roman" w:cs="Times New Roman"/>
                <w:color w:val="auto"/>
                <w:kern w:val="0"/>
                <w:sz w:val="24"/>
                <w:szCs w:val="24"/>
                <w:highlight w:val="none"/>
                <w:lang w:val="en-US" w:eastAsia="zh-CN"/>
              </w:rPr>
              <w:t>锅炉排污水及软化处理废水</w:t>
            </w:r>
            <w:r>
              <w:rPr>
                <w:rFonts w:hint="default" w:ascii="Times New Roman" w:hAnsi="Times New Roman" w:cs="Times New Roman" w:eastAsiaTheme="minorEastAsia"/>
                <w:bCs/>
                <w:color w:val="auto"/>
                <w:sz w:val="24"/>
                <w:szCs w:val="24"/>
                <w:highlight w:val="none"/>
              </w:rPr>
              <w:t>量为</w:t>
            </w:r>
            <w:r>
              <w:rPr>
                <w:rFonts w:hint="default" w:ascii="Times New Roman" w:hAnsi="Times New Roman" w:cs="Times New Roman" w:eastAsiaTheme="minorEastAsia"/>
                <w:bCs/>
                <w:color w:val="auto"/>
                <w:sz w:val="24"/>
                <w:szCs w:val="24"/>
                <w:highlight w:val="none"/>
                <w:lang w:val="en-US" w:eastAsia="zh-CN"/>
              </w:rPr>
              <w:t>10.4</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rPr>
              <w:t>/d</w:t>
            </w:r>
            <w:r>
              <w:rPr>
                <w:rFonts w:hint="default" w:ascii="Times New Roman" w:hAnsi="Times New Roman" w:cs="Times New Roman" w:eastAsiaTheme="minorEastAsia"/>
                <w:bCs/>
                <w:color w:val="auto"/>
                <w:sz w:val="24"/>
                <w:szCs w:val="24"/>
                <w:highlight w:val="none"/>
                <w:lang w:eastAsia="zh-CN"/>
              </w:rPr>
              <w:t>，</w:t>
            </w:r>
            <w:r>
              <w:rPr>
                <w:rFonts w:hint="default" w:ascii="Times New Roman" w:hAnsi="Times New Roman" w:cs="Times New Roman" w:eastAsiaTheme="minorEastAsia"/>
                <w:bCs/>
                <w:color w:val="auto"/>
                <w:sz w:val="24"/>
                <w:szCs w:val="24"/>
                <w:highlight w:val="none"/>
                <w:lang w:val="en-US" w:eastAsia="zh-CN"/>
              </w:rPr>
              <w:t>2214.0</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rPr>
              <w:t>/a</w:t>
            </w:r>
            <w:r>
              <w:rPr>
                <w:rFonts w:hint="default" w:ascii="Times New Roman" w:hAnsi="Times New Roman"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lang w:val="en-US" w:eastAsia="zh-CN"/>
              </w:rPr>
              <w:t>软化水装置得水率取值70％，则</w:t>
            </w:r>
            <w:r>
              <w:rPr>
                <w:rFonts w:hint="default" w:ascii="Times New Roman" w:hAnsi="Times New Roman" w:cs="Times New Roman"/>
                <w:color w:val="auto"/>
                <w:kern w:val="0"/>
                <w:sz w:val="24"/>
                <w:szCs w:val="24"/>
                <w:highlight w:val="none"/>
              </w:rPr>
              <w:t>软化</w:t>
            </w:r>
            <w:r>
              <w:rPr>
                <w:rFonts w:hint="default" w:ascii="Times New Roman" w:hAnsi="Times New Roman" w:cs="Times New Roman"/>
                <w:color w:val="auto"/>
                <w:kern w:val="0"/>
                <w:sz w:val="24"/>
                <w:szCs w:val="24"/>
                <w:highlight w:val="none"/>
                <w:lang w:val="en-US" w:eastAsia="zh-CN"/>
              </w:rPr>
              <w:t>水</w:t>
            </w:r>
            <w:r>
              <w:rPr>
                <w:rFonts w:hint="default" w:ascii="Times New Roman" w:hAnsi="Times New Roman" w:cs="Times New Roman"/>
                <w:color w:val="auto"/>
                <w:kern w:val="0"/>
                <w:sz w:val="24"/>
                <w:szCs w:val="24"/>
                <w:highlight w:val="none"/>
              </w:rPr>
              <w:t>处理废水</w:t>
            </w:r>
            <w:r>
              <w:rPr>
                <w:rFonts w:hint="default" w:ascii="Times New Roman" w:hAnsi="Times New Roman" w:cs="Times New Roman" w:eastAsiaTheme="minorEastAsia"/>
                <w:bCs/>
                <w:color w:val="auto"/>
                <w:sz w:val="24"/>
                <w:szCs w:val="24"/>
                <w:highlight w:val="none"/>
              </w:rPr>
              <w:t>量为</w:t>
            </w:r>
            <w:r>
              <w:rPr>
                <w:rFonts w:hint="eastAsia" w:cs="Times New Roman" w:eastAsiaTheme="minorEastAsia"/>
                <w:bCs/>
                <w:color w:val="auto"/>
                <w:sz w:val="24"/>
                <w:szCs w:val="24"/>
                <w:highlight w:val="none"/>
                <w:lang w:val="en-US" w:eastAsia="zh-CN"/>
              </w:rPr>
              <w:t>5.52</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rPr>
              <w:t>/d</w:t>
            </w:r>
            <w:r>
              <w:rPr>
                <w:rFonts w:hint="eastAsia" w:cs="Times New Roman" w:eastAsiaTheme="minorEastAsia"/>
                <w:bCs/>
                <w:color w:val="auto"/>
                <w:sz w:val="24"/>
                <w:szCs w:val="24"/>
                <w:highlight w:val="none"/>
                <w:lang w:eastAsia="zh-CN"/>
              </w:rPr>
              <w:t>，</w:t>
            </w:r>
            <w:r>
              <w:rPr>
                <w:rFonts w:hint="eastAsia" w:cs="Times New Roman" w:eastAsiaTheme="minorEastAsia"/>
                <w:bCs/>
                <w:color w:val="auto"/>
                <w:sz w:val="24"/>
                <w:szCs w:val="24"/>
                <w:highlight w:val="none"/>
                <w:lang w:val="en-US" w:eastAsia="zh-CN"/>
              </w:rPr>
              <w:t>1175.12</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rPr>
              <w:t>/a</w:t>
            </w:r>
            <w:r>
              <w:rPr>
                <w:rFonts w:hint="eastAsia" w:cs="Times New Roman"/>
                <w:color w:val="auto"/>
                <w:kern w:val="0"/>
                <w:sz w:val="24"/>
                <w:szCs w:val="24"/>
                <w:highlight w:val="none"/>
                <w:lang w:eastAsia="zh-CN"/>
              </w:rPr>
              <w:t>，</w:t>
            </w:r>
            <w:r>
              <w:rPr>
                <w:rFonts w:hint="eastAsia" w:cs="Times New Roman"/>
                <w:color w:val="auto"/>
                <w:kern w:val="0"/>
                <w:sz w:val="24"/>
                <w:szCs w:val="24"/>
                <w:highlight w:val="none"/>
                <w:lang w:val="en-US" w:eastAsia="zh-CN"/>
              </w:rPr>
              <w:t>锅炉排污水废水量为</w:t>
            </w:r>
            <w:r>
              <w:rPr>
                <w:rFonts w:hint="eastAsia" w:cs="Times New Roman" w:eastAsiaTheme="minorEastAsia"/>
                <w:bCs/>
                <w:color w:val="auto"/>
                <w:sz w:val="24"/>
                <w:szCs w:val="24"/>
                <w:highlight w:val="none"/>
                <w:lang w:val="en-US" w:eastAsia="zh-CN"/>
              </w:rPr>
              <w:t>4.88</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rPr>
              <w:t>/d</w:t>
            </w:r>
            <w:r>
              <w:rPr>
                <w:rFonts w:hint="eastAsia" w:cs="Times New Roman" w:eastAsiaTheme="minorEastAsia"/>
                <w:bCs/>
                <w:color w:val="auto"/>
                <w:sz w:val="24"/>
                <w:szCs w:val="24"/>
                <w:highlight w:val="none"/>
                <w:lang w:eastAsia="zh-CN"/>
              </w:rPr>
              <w:t>，</w:t>
            </w:r>
            <w:r>
              <w:rPr>
                <w:rFonts w:hint="eastAsia" w:cs="Times New Roman" w:eastAsiaTheme="minorEastAsia"/>
                <w:bCs/>
                <w:color w:val="auto"/>
                <w:sz w:val="24"/>
                <w:szCs w:val="24"/>
                <w:highlight w:val="none"/>
                <w:lang w:val="en-US" w:eastAsia="zh-CN"/>
              </w:rPr>
              <w:t>1038.88</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rPr>
              <w:t>/a</w:t>
            </w:r>
            <w:r>
              <w:rPr>
                <w:rFonts w:hint="eastAsia" w:cs="Times New Roman"/>
                <w:color w:val="auto"/>
                <w:kern w:val="0"/>
                <w:sz w:val="24"/>
                <w:szCs w:val="24"/>
                <w:highlight w:val="none"/>
                <w:lang w:eastAsia="zh-CN"/>
              </w:rPr>
              <w:t>，</w:t>
            </w:r>
            <w:r>
              <w:rPr>
                <w:rFonts w:hint="eastAsia" w:cs="Times New Roman"/>
                <w:color w:val="auto"/>
                <w:kern w:val="0"/>
                <w:sz w:val="24"/>
                <w:szCs w:val="24"/>
                <w:highlight w:val="none"/>
                <w:lang w:val="en-US" w:eastAsia="zh-CN"/>
              </w:rPr>
              <w:t>锅炉系统运行损耗量为</w:t>
            </w:r>
            <w:r>
              <w:rPr>
                <w:rFonts w:hint="eastAsia" w:cs="Times New Roman" w:eastAsiaTheme="minorEastAsia"/>
                <w:bCs/>
                <w:color w:val="auto"/>
                <w:sz w:val="24"/>
                <w:szCs w:val="24"/>
                <w:highlight w:val="none"/>
                <w:lang w:val="en-US" w:eastAsia="zh-CN"/>
              </w:rPr>
              <w:t>8.0</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rPr>
              <w:t>/d</w:t>
            </w:r>
            <w:r>
              <w:rPr>
                <w:rFonts w:hint="eastAsia" w:cs="Times New Roman" w:eastAsiaTheme="minorEastAsia"/>
                <w:bCs/>
                <w:color w:val="auto"/>
                <w:sz w:val="24"/>
                <w:szCs w:val="24"/>
                <w:highlight w:val="none"/>
                <w:lang w:eastAsia="zh-CN"/>
              </w:rPr>
              <w:t>，</w:t>
            </w:r>
            <w:r>
              <w:rPr>
                <w:rFonts w:hint="eastAsia" w:cs="Times New Roman" w:eastAsiaTheme="minorEastAsia"/>
                <w:bCs/>
                <w:color w:val="auto"/>
                <w:sz w:val="24"/>
                <w:szCs w:val="24"/>
                <w:highlight w:val="none"/>
                <w:lang w:val="en-US" w:eastAsia="zh-CN"/>
              </w:rPr>
              <w:t>1704</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rPr>
              <w:t>/a</w:t>
            </w:r>
            <w:r>
              <w:rPr>
                <w:rFonts w:hint="eastAsia" w:cs="Times New Roman"/>
                <w:color w:val="auto"/>
                <w:kern w:val="0"/>
                <w:sz w:val="24"/>
                <w:szCs w:val="24"/>
                <w:highlight w:val="none"/>
                <w:lang w:eastAsia="zh-CN"/>
              </w:rPr>
              <w:t>，</w:t>
            </w:r>
            <w:r>
              <w:rPr>
                <w:rFonts w:hint="eastAsia" w:cs="Times New Roman"/>
                <w:color w:val="auto"/>
                <w:kern w:val="0"/>
                <w:sz w:val="24"/>
                <w:szCs w:val="24"/>
                <w:highlight w:val="none"/>
                <w:lang w:val="en-US" w:eastAsia="zh-CN"/>
              </w:rPr>
              <w:t>锅炉用水来源于软化水制备系统，项目锅炉新鲜用水量为18.4</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rPr>
              <w:t>/d</w:t>
            </w:r>
            <w:r>
              <w:rPr>
                <w:rFonts w:hint="eastAsia" w:cs="Times New Roman" w:eastAsiaTheme="minorEastAsia"/>
                <w:bCs/>
                <w:color w:val="auto"/>
                <w:sz w:val="24"/>
                <w:szCs w:val="24"/>
                <w:highlight w:val="none"/>
                <w:lang w:eastAsia="zh-CN"/>
              </w:rPr>
              <w:t>，</w:t>
            </w:r>
            <w:r>
              <w:rPr>
                <w:rFonts w:hint="eastAsia" w:cs="Times New Roman" w:eastAsiaTheme="minorEastAsia"/>
                <w:bCs/>
                <w:color w:val="auto"/>
                <w:sz w:val="24"/>
                <w:szCs w:val="24"/>
                <w:highlight w:val="none"/>
                <w:lang w:val="en-US" w:eastAsia="zh-CN"/>
              </w:rPr>
              <w:t>3918</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rPr>
              <w:t>/a</w:t>
            </w:r>
            <w:r>
              <w:rPr>
                <w:rFonts w:hint="eastAsia" w:cs="Times New Roman"/>
                <w:color w:val="auto"/>
                <w:kern w:val="0"/>
                <w:sz w:val="24"/>
                <w:szCs w:val="24"/>
                <w:highlight w:val="none"/>
                <w:lang w:eastAsia="zh-CN"/>
              </w:rPr>
              <w:t>。</w:t>
            </w:r>
          </w:p>
          <w:p w14:paraId="570C0AE6">
            <w:pPr>
              <w:pStyle w:val="43"/>
              <w:keepNext w:val="0"/>
              <w:keepLines w:val="0"/>
              <w:pageBreakBefore w:val="0"/>
              <w:widowControl w:val="0"/>
              <w:kinsoku/>
              <w:wordWrap/>
              <w:overflowPunct/>
              <w:topLinePunct w:val="0"/>
              <w:autoSpaceDE/>
              <w:autoSpaceDN/>
              <w:bidi w:val="0"/>
              <w:adjustRightInd/>
              <w:snapToGrid/>
              <w:textAlignment w:val="auto"/>
              <w:rPr>
                <w:rFonts w:hint="eastAsia" w:cs="Times New Roman"/>
                <w:color w:val="auto"/>
                <w:kern w:val="0"/>
                <w:highlight w:val="none"/>
                <w:lang w:val="en-US" w:eastAsia="zh-CN"/>
              </w:rPr>
            </w:pPr>
            <w:r>
              <w:rPr>
                <w:rFonts w:hint="eastAsia" w:cs="Times New Roman"/>
                <w:color w:val="auto"/>
                <w:kern w:val="0"/>
                <w:highlight w:val="none"/>
                <w:lang w:val="en-US" w:eastAsia="zh-CN"/>
              </w:rPr>
              <w:t>3.灰渣暂存间洒水抑尘用水</w:t>
            </w:r>
          </w:p>
          <w:p w14:paraId="3CBE4FCF">
            <w:pPr>
              <w:pStyle w:val="43"/>
              <w:keepNext w:val="0"/>
              <w:keepLines w:val="0"/>
              <w:pageBreakBefore w:val="0"/>
              <w:widowControl w:val="0"/>
              <w:kinsoku/>
              <w:wordWrap/>
              <w:overflowPunct/>
              <w:topLinePunct w:val="0"/>
              <w:autoSpaceDE/>
              <w:autoSpaceDN/>
              <w:bidi w:val="0"/>
              <w:adjustRightInd/>
              <w:snapToGrid/>
              <w:textAlignment w:val="auto"/>
              <w:rPr>
                <w:rFonts w:hint="eastAsia" w:cs="Times New Roman"/>
                <w:color w:val="auto"/>
                <w:kern w:val="0"/>
                <w:sz w:val="24"/>
                <w:highlight w:val="none"/>
                <w:lang w:eastAsia="zh-CN"/>
              </w:rPr>
            </w:pPr>
            <w:r>
              <w:rPr>
                <w:rFonts w:hint="eastAsia" w:cs="Times New Roman"/>
                <w:color w:val="auto"/>
                <w:kern w:val="0"/>
                <w:highlight w:val="none"/>
                <w:lang w:val="en-US" w:eastAsia="zh-CN"/>
              </w:rPr>
              <w:t>项目灰渣转运、储存需要洒水抑尘，则洒水抑尘用水量为1</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eastAsia" w:cs="Times New Roman"/>
                <w:color w:val="auto"/>
                <w:kern w:val="0"/>
                <w:highlight w:val="none"/>
                <w:lang w:val="en-US" w:eastAsia="zh-CN"/>
              </w:rPr>
              <w:t>/d</w:t>
            </w:r>
            <w:r>
              <w:rPr>
                <w:rFonts w:hint="eastAsia" w:cs="Times New Roman" w:eastAsiaTheme="minorEastAsia"/>
                <w:bCs/>
                <w:color w:val="auto"/>
                <w:sz w:val="24"/>
                <w:highlight w:val="none"/>
                <w:lang w:eastAsia="zh-CN"/>
              </w:rPr>
              <w:t>，</w:t>
            </w:r>
            <w:r>
              <w:rPr>
                <w:rFonts w:hint="eastAsia" w:cs="Times New Roman" w:eastAsiaTheme="minorEastAsia"/>
                <w:bCs/>
                <w:color w:val="auto"/>
                <w:sz w:val="24"/>
                <w:highlight w:val="none"/>
                <w:lang w:val="en-US" w:eastAsia="zh-CN"/>
              </w:rPr>
              <w:t>213</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highlight w:val="none"/>
              </w:rPr>
              <w:t>/a</w:t>
            </w:r>
            <w:r>
              <w:rPr>
                <w:rFonts w:hint="eastAsia" w:cs="Times New Roman"/>
                <w:color w:val="auto"/>
                <w:kern w:val="0"/>
                <w:highlight w:val="none"/>
                <w:lang w:eastAsia="zh-CN"/>
              </w:rPr>
              <w:t>，</w:t>
            </w:r>
            <w:r>
              <w:rPr>
                <w:rFonts w:hint="eastAsia" w:cs="Times New Roman"/>
                <w:color w:val="auto"/>
                <w:kern w:val="0"/>
                <w:highlight w:val="none"/>
                <w:lang w:val="en-US" w:eastAsia="zh-CN"/>
              </w:rPr>
              <w:t>洒水抑尘用水均来源于</w:t>
            </w:r>
            <w:r>
              <w:rPr>
                <w:rFonts w:hint="default" w:ascii="Times New Roman" w:hAnsi="Times New Roman" w:cs="Times New Roman"/>
                <w:color w:val="auto"/>
                <w:kern w:val="0"/>
                <w:sz w:val="24"/>
                <w:highlight w:val="none"/>
              </w:rPr>
              <w:t>软化处理废水及锅炉排污水</w:t>
            </w:r>
            <w:r>
              <w:rPr>
                <w:rFonts w:hint="eastAsia" w:cs="Times New Roman"/>
                <w:color w:val="auto"/>
                <w:kern w:val="0"/>
                <w:sz w:val="24"/>
                <w:highlight w:val="none"/>
                <w:lang w:eastAsia="zh-CN"/>
              </w:rPr>
              <w:t>。</w:t>
            </w:r>
          </w:p>
          <w:p w14:paraId="66ECD06C">
            <w:pPr>
              <w:pStyle w:val="43"/>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（二）排水工程</w:t>
            </w:r>
          </w:p>
          <w:p w14:paraId="128C087B">
            <w:pPr>
              <w:pStyle w:val="43"/>
              <w:keepNext w:val="0"/>
              <w:keepLines w:val="0"/>
              <w:pageBreakBefore w:val="0"/>
              <w:widowControl w:val="0"/>
              <w:kinsoku/>
              <w:wordWrap/>
              <w:overflowPunct/>
              <w:topLinePunct w:val="0"/>
              <w:autoSpaceDE/>
              <w:autoSpaceDN/>
              <w:bidi w:val="0"/>
              <w:adjustRightInd/>
              <w:snapToGrid/>
              <w:textAlignment w:val="auto"/>
              <w:rPr>
                <w:rFonts w:hint="default"/>
                <w:color w:val="auto"/>
                <w:sz w:val="24"/>
                <w:szCs w:val="24"/>
                <w:highlight w:val="none"/>
                <w:lang w:val="en-US" w:eastAsia="zh-CN"/>
              </w:rPr>
            </w:pPr>
            <w:r>
              <w:rPr>
                <w:rFonts w:hint="eastAsia"/>
                <w:color w:val="auto"/>
                <w:sz w:val="24"/>
                <w:szCs w:val="24"/>
                <w:highlight w:val="none"/>
                <w:lang w:val="en-US" w:eastAsia="zh-CN"/>
              </w:rPr>
              <w:t>1.生活污水</w:t>
            </w:r>
          </w:p>
          <w:p w14:paraId="10DD1435">
            <w:pPr>
              <w:pStyle w:val="43"/>
              <w:keepNext w:val="0"/>
              <w:keepLines w:val="0"/>
              <w:pageBreakBefore w:val="0"/>
              <w:widowControl w:val="0"/>
              <w:kinsoku/>
              <w:wordWrap/>
              <w:overflowPunct/>
              <w:topLinePunct w:val="0"/>
              <w:autoSpaceDE/>
              <w:autoSpaceDN/>
              <w:bidi w:val="0"/>
              <w:adjustRightInd/>
              <w:snapToGrid/>
              <w:textAlignment w:val="auto"/>
              <w:rPr>
                <w:rFonts w:hint="default" w:eastAsia="宋体"/>
                <w:color w:val="auto"/>
                <w:sz w:val="24"/>
                <w:szCs w:val="24"/>
                <w:highlight w:val="none"/>
                <w:lang w:val="en-US" w:eastAsia="zh-CN"/>
              </w:rPr>
            </w:pPr>
            <w:r>
              <w:rPr>
                <w:rFonts w:hint="eastAsia"/>
                <w:color w:val="auto"/>
                <w:sz w:val="24"/>
                <w:szCs w:val="24"/>
                <w:highlight w:val="none"/>
                <w:lang w:val="en-US" w:eastAsia="zh-CN"/>
              </w:rPr>
              <w:t>生活污水产生量按生活用水量约80％进行计算，生活污水产生量为0.13</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rPr>
              <w:t>/d，</w:t>
            </w:r>
            <w:r>
              <w:rPr>
                <w:rFonts w:hint="eastAsia" w:cs="Times New Roman"/>
                <w:color w:val="auto"/>
                <w:kern w:val="0"/>
                <w:sz w:val="24"/>
                <w:szCs w:val="24"/>
                <w:highlight w:val="none"/>
                <w:lang w:val="en-US" w:eastAsia="zh-CN"/>
              </w:rPr>
              <w:t>27.26</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rPr>
              <w:t>/a。</w:t>
            </w:r>
            <w:r>
              <w:rPr>
                <w:rFonts w:hint="eastAsia" w:ascii="Times New Roman" w:hAnsi="Times New Roman" w:cs="Times New Roman"/>
                <w:color w:val="auto"/>
                <w:sz w:val="24"/>
                <w:szCs w:val="24"/>
                <w:highlight w:val="none"/>
                <w:lang w:val="en-US" w:eastAsia="zh-CN"/>
              </w:rPr>
              <w:t>生活污水排入厂区化粪池，通过10吨</w:t>
            </w:r>
            <w:r>
              <w:rPr>
                <w:rFonts w:hint="default" w:ascii="Times New Roman" w:hAnsi="Times New Roman" w:cs="Times New Roman"/>
                <w:color w:val="auto"/>
                <w:sz w:val="24"/>
                <w:szCs w:val="24"/>
                <w:highlight w:val="none"/>
                <w:lang w:val="en-US" w:eastAsia="zh-CN"/>
              </w:rPr>
              <w:t>吸污车收集后，运至饶河县西林子乡污水处理站</w:t>
            </w:r>
            <w:r>
              <w:rPr>
                <w:rFonts w:hint="eastAsia" w:ascii="Times New Roman" w:hAnsi="Times New Roman" w:cs="Times New Roman"/>
                <w:color w:val="auto"/>
                <w:sz w:val="24"/>
                <w:szCs w:val="24"/>
                <w:highlight w:val="none"/>
                <w:lang w:val="en-US" w:eastAsia="zh-CN"/>
              </w:rPr>
              <w:t>。</w:t>
            </w:r>
          </w:p>
          <w:p w14:paraId="3085EBC1">
            <w:pPr>
              <w:pStyle w:val="43"/>
              <w:keepNext w:val="0"/>
              <w:keepLines w:val="0"/>
              <w:pageBreakBefore w:val="0"/>
              <w:widowControl w:val="0"/>
              <w:kinsoku/>
              <w:wordWrap/>
              <w:overflowPunct/>
              <w:topLinePunct w:val="0"/>
              <w:autoSpaceDE/>
              <w:autoSpaceDN/>
              <w:bidi w:val="0"/>
              <w:adjustRightInd/>
              <w:snapToGrid/>
              <w:textAlignment w:val="auto"/>
              <w:rPr>
                <w:rFonts w:hint="default" w:cs="Times New Roman"/>
                <w:bCs/>
                <w:color w:val="auto"/>
                <w:szCs w:val="21"/>
                <w:highlight w:val="none"/>
                <w:lang w:val="en-US" w:eastAsia="zh-CN"/>
              </w:rPr>
            </w:pPr>
            <w:r>
              <w:rPr>
                <w:rFonts w:hint="eastAsia"/>
                <w:color w:val="auto"/>
                <w:highlight w:val="none"/>
                <w:lang w:val="en-US" w:eastAsia="zh-CN"/>
              </w:rPr>
              <w:t>2.</w:t>
            </w:r>
            <w:r>
              <w:rPr>
                <w:rFonts w:hint="eastAsia" w:ascii="Times New Roman" w:hAnsi="Times New Roman" w:cs="Times New Roman"/>
                <w:color w:val="auto"/>
                <w:kern w:val="0"/>
                <w:highlight w:val="none"/>
                <w:lang w:val="en-US" w:eastAsia="zh-CN"/>
              </w:rPr>
              <w:t>锅炉排污水</w:t>
            </w:r>
            <w:r>
              <w:rPr>
                <w:rFonts w:hint="eastAsia" w:cs="Times New Roman"/>
                <w:color w:val="auto"/>
                <w:kern w:val="0"/>
                <w:highlight w:val="none"/>
                <w:lang w:val="en-US" w:eastAsia="zh-CN"/>
              </w:rPr>
              <w:t>及软化处理废水</w:t>
            </w:r>
          </w:p>
          <w:p w14:paraId="5AD5BFC3">
            <w:pPr>
              <w:pStyle w:val="43"/>
              <w:keepNext w:val="0"/>
              <w:keepLines w:val="0"/>
              <w:pageBreakBefore w:val="0"/>
              <w:widowControl w:val="0"/>
              <w:kinsoku/>
              <w:wordWrap/>
              <w:overflowPunct/>
              <w:topLinePunct w:val="0"/>
              <w:autoSpaceDE/>
              <w:autoSpaceDN/>
              <w:bidi w:val="0"/>
              <w:adjustRightInd/>
              <w:snapToGrid/>
              <w:textAlignment w:val="auto"/>
              <w:rPr>
                <w:rFonts w:hint="eastAsia" w:cs="Times New Roman"/>
                <w:color w:val="FF0000"/>
                <w:kern w:val="0"/>
                <w:highlight w:val="none"/>
                <w:lang w:val="en-US" w:eastAsia="zh-CN"/>
              </w:rPr>
            </w:pPr>
            <w:r>
              <w:rPr>
                <w:rFonts w:hint="eastAsia" w:cs="Times New Roman"/>
                <w:bCs/>
                <w:color w:val="auto"/>
                <w:szCs w:val="21"/>
                <w:highlight w:val="none"/>
                <w:lang w:val="en-US" w:eastAsia="zh-CN"/>
              </w:rPr>
              <w:t>根据前文可知</w:t>
            </w:r>
            <w:r>
              <w:rPr>
                <w:rFonts w:hint="eastAsia" w:ascii="Times New Roman" w:hAnsi="Times New Roman" w:cs="Times New Roman"/>
                <w:color w:val="auto"/>
                <w:kern w:val="0"/>
                <w:highlight w:val="none"/>
                <w:lang w:val="en-US" w:eastAsia="zh-CN"/>
              </w:rPr>
              <w:t>锅炉排污水</w:t>
            </w:r>
            <w:r>
              <w:rPr>
                <w:rFonts w:hint="eastAsia" w:cs="Times New Roman"/>
                <w:color w:val="auto"/>
                <w:kern w:val="0"/>
                <w:highlight w:val="none"/>
                <w:lang w:val="en-US" w:eastAsia="zh-CN"/>
              </w:rPr>
              <w:t>及软化处理废水</w:t>
            </w:r>
            <w:r>
              <w:rPr>
                <w:rFonts w:hint="default" w:ascii="Times New Roman" w:hAnsi="Times New Roman" w:cs="Times New Roman" w:eastAsiaTheme="minorEastAsia"/>
                <w:bCs/>
                <w:color w:val="auto"/>
                <w:sz w:val="24"/>
                <w:highlight w:val="none"/>
              </w:rPr>
              <w:t>量为</w:t>
            </w:r>
            <w:r>
              <w:rPr>
                <w:rFonts w:hint="eastAsia" w:cs="Times New Roman" w:eastAsiaTheme="minorEastAsia"/>
                <w:bCs/>
                <w:color w:val="auto"/>
                <w:sz w:val="24"/>
                <w:highlight w:val="none"/>
                <w:lang w:val="en-US" w:eastAsia="zh-CN"/>
              </w:rPr>
              <w:t>10.4</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highlight w:val="none"/>
              </w:rPr>
              <w:t>/d</w:t>
            </w:r>
            <w:r>
              <w:rPr>
                <w:rFonts w:hint="eastAsia" w:cs="Times New Roman" w:eastAsiaTheme="minorEastAsia"/>
                <w:bCs/>
                <w:color w:val="auto"/>
                <w:sz w:val="24"/>
                <w:highlight w:val="none"/>
                <w:lang w:eastAsia="zh-CN"/>
              </w:rPr>
              <w:t>，</w:t>
            </w:r>
            <w:r>
              <w:rPr>
                <w:rFonts w:hint="default" w:ascii="Times New Roman" w:hAnsi="Times New Roman" w:cs="Times New Roman" w:eastAsiaTheme="minorEastAsia"/>
                <w:bCs/>
                <w:color w:val="auto"/>
                <w:sz w:val="24"/>
                <w:szCs w:val="24"/>
                <w:highlight w:val="none"/>
                <w:lang w:val="en-US" w:eastAsia="zh-CN"/>
              </w:rPr>
              <w:t>2214.0</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highlight w:val="none"/>
              </w:rPr>
              <w:t>/a</w:t>
            </w:r>
            <w:r>
              <w:rPr>
                <w:rFonts w:hint="eastAsia" w:cs="Times New Roman"/>
                <w:color w:val="auto"/>
                <w:kern w:val="0"/>
                <w:highlight w:val="none"/>
                <w:lang w:eastAsia="zh-CN"/>
              </w:rPr>
              <w:t>，</w:t>
            </w:r>
            <w:r>
              <w:rPr>
                <w:rFonts w:hint="eastAsia" w:cs="Times New Roman"/>
                <w:color w:val="auto"/>
                <w:kern w:val="0"/>
                <w:highlight w:val="none"/>
                <w:lang w:val="en-US" w:eastAsia="zh-CN"/>
              </w:rPr>
              <w:t>其中洒水抑尘用水量为1</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eastAsia" w:cs="Times New Roman"/>
                <w:color w:val="auto"/>
                <w:kern w:val="0"/>
                <w:highlight w:val="none"/>
                <w:lang w:val="en-US" w:eastAsia="zh-CN"/>
              </w:rPr>
              <w:t>/d</w:t>
            </w:r>
            <w:r>
              <w:rPr>
                <w:rFonts w:hint="eastAsia" w:cs="Times New Roman" w:eastAsiaTheme="minorEastAsia"/>
                <w:bCs/>
                <w:color w:val="auto"/>
                <w:sz w:val="24"/>
                <w:highlight w:val="none"/>
                <w:lang w:eastAsia="zh-CN"/>
              </w:rPr>
              <w:t>，</w:t>
            </w:r>
            <w:r>
              <w:rPr>
                <w:rFonts w:hint="eastAsia" w:cs="Times New Roman" w:eastAsiaTheme="minorEastAsia"/>
                <w:bCs/>
                <w:color w:val="auto"/>
                <w:sz w:val="24"/>
                <w:highlight w:val="none"/>
                <w:lang w:val="en-US" w:eastAsia="zh-CN"/>
              </w:rPr>
              <w:t>213</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highlight w:val="none"/>
              </w:rPr>
              <w:t>/a</w:t>
            </w:r>
            <w:r>
              <w:rPr>
                <w:rFonts w:hint="eastAsia" w:cs="Times New Roman"/>
                <w:color w:val="auto"/>
                <w:kern w:val="0"/>
                <w:highlight w:val="none"/>
                <w:lang w:val="en-US" w:eastAsia="zh-CN"/>
              </w:rPr>
              <w:t>；余量为9</w:t>
            </w:r>
            <w:r>
              <w:rPr>
                <w:rFonts w:hint="eastAsia" w:cs="Times New Roman" w:eastAsiaTheme="minorEastAsia"/>
                <w:bCs/>
                <w:color w:val="auto"/>
                <w:sz w:val="24"/>
                <w:highlight w:val="none"/>
                <w:lang w:val="en-US" w:eastAsia="zh-CN"/>
              </w:rPr>
              <w:t>.4</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highlight w:val="none"/>
              </w:rPr>
              <w:t>/d</w:t>
            </w:r>
            <w:r>
              <w:rPr>
                <w:rFonts w:hint="eastAsia" w:cs="Times New Roman" w:eastAsiaTheme="minorEastAsia"/>
                <w:bCs/>
                <w:color w:val="auto"/>
                <w:sz w:val="24"/>
                <w:highlight w:val="none"/>
                <w:lang w:eastAsia="zh-CN"/>
              </w:rPr>
              <w:t>，</w:t>
            </w:r>
            <w:r>
              <w:rPr>
                <w:rFonts w:hint="eastAsia" w:cs="Times New Roman" w:eastAsiaTheme="minorEastAsia"/>
                <w:bCs/>
                <w:color w:val="auto"/>
                <w:sz w:val="24"/>
                <w:highlight w:val="none"/>
                <w:lang w:val="en-US" w:eastAsia="zh-CN"/>
              </w:rPr>
              <w:t>2001</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highlight w:val="none"/>
              </w:rPr>
              <w:t>/a</w:t>
            </w:r>
            <w:r>
              <w:rPr>
                <w:rFonts w:hint="eastAsia" w:cs="Times New Roman"/>
                <w:color w:val="auto"/>
                <w:kern w:val="0"/>
                <w:highlight w:val="none"/>
                <w:lang w:eastAsia="zh-CN"/>
              </w:rPr>
              <w:t>，</w:t>
            </w:r>
            <w:r>
              <w:rPr>
                <w:rFonts w:hint="eastAsia" w:ascii="Times New Roman" w:hAnsi="Times New Roman" w:cs="Times New Roman"/>
                <w:color w:val="auto"/>
                <w:sz w:val="24"/>
                <w:szCs w:val="24"/>
                <w:highlight w:val="none"/>
                <w:lang w:val="en-US" w:eastAsia="zh-CN"/>
              </w:rPr>
              <w:t>排入厂区化粪池，通过10吨</w:t>
            </w:r>
            <w:r>
              <w:rPr>
                <w:rFonts w:hint="default" w:ascii="Times New Roman" w:hAnsi="Times New Roman" w:cs="Times New Roman"/>
                <w:color w:val="auto"/>
                <w:sz w:val="24"/>
                <w:szCs w:val="24"/>
                <w:highlight w:val="none"/>
                <w:lang w:val="en-US" w:eastAsia="zh-CN"/>
              </w:rPr>
              <w:t>吸污车收集后，运至饶河县西林子乡污水处理站</w:t>
            </w:r>
            <w:r>
              <w:rPr>
                <w:rFonts w:hint="eastAsia" w:ascii="Times New Roman" w:hAnsi="Times New Roman" w:cs="Times New Roman"/>
                <w:color w:val="auto"/>
                <w:sz w:val="24"/>
                <w:szCs w:val="24"/>
                <w:highlight w:val="none"/>
                <w:lang w:val="en-US" w:eastAsia="zh-CN"/>
              </w:rPr>
              <w:t>。</w:t>
            </w:r>
          </w:p>
          <w:p w14:paraId="6D92CF5E">
            <w:pPr>
              <w:pStyle w:val="43"/>
              <w:keepNext w:val="0"/>
              <w:keepLines w:val="0"/>
              <w:pageBreakBefore w:val="0"/>
              <w:widowControl w:val="0"/>
              <w:kinsoku/>
              <w:wordWrap/>
              <w:overflowPunct/>
              <w:topLinePunct w:val="0"/>
              <w:autoSpaceDE/>
              <w:autoSpaceDN/>
              <w:bidi w:val="0"/>
              <w:adjustRightInd/>
              <w:snapToGrid/>
              <w:textAlignment w:val="auto"/>
              <w:rPr>
                <w:rFonts w:hint="default" w:cs="Times New Roman"/>
                <w:color w:val="auto"/>
                <w:kern w:val="0"/>
                <w:sz w:val="24"/>
                <w:highlight w:val="none"/>
                <w:lang w:val="en-US" w:eastAsia="zh-CN"/>
              </w:rPr>
            </w:pPr>
            <w:r>
              <w:rPr>
                <w:rFonts w:hint="eastAsia" w:cs="Times New Roman"/>
                <w:color w:val="auto"/>
                <w:kern w:val="0"/>
                <w:sz w:val="24"/>
                <w:highlight w:val="none"/>
                <w:lang w:val="en-US" w:eastAsia="zh-CN"/>
              </w:rPr>
              <w:t>（三）水平衡</w:t>
            </w:r>
          </w:p>
          <w:p w14:paraId="1E643E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项目水平衡情况如下表所示。</w:t>
            </w:r>
          </w:p>
          <w:p w14:paraId="656CD4D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cs="Times New Roman"/>
                <w:b/>
                <w:bCs/>
                <w:color w:val="auto"/>
                <w:sz w:val="21"/>
                <w:szCs w:val="21"/>
                <w:highlight w:val="none"/>
                <w:vertAlign w:val="baseline"/>
                <w:lang w:val="en-US" w:eastAsia="zh-CN"/>
              </w:rPr>
            </w:pPr>
            <w:r>
              <w:rPr>
                <w:rFonts w:hint="eastAsia" w:cs="Times New Roman"/>
                <w:b/>
                <w:bCs/>
                <w:color w:val="auto"/>
                <w:sz w:val="21"/>
                <w:szCs w:val="21"/>
                <w:highlight w:val="none"/>
                <w:lang w:val="en-US" w:eastAsia="zh-CN"/>
              </w:rPr>
              <w:t>表2-6  项目水平衡情况一览表</w:t>
            </w:r>
          </w:p>
          <w:tbl>
            <w:tblPr>
              <w:tblStyle w:val="21"/>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27"/>
              <w:gridCol w:w="809"/>
              <w:gridCol w:w="936"/>
              <w:gridCol w:w="818"/>
              <w:gridCol w:w="782"/>
              <w:gridCol w:w="709"/>
              <w:gridCol w:w="918"/>
              <w:gridCol w:w="764"/>
              <w:gridCol w:w="918"/>
              <w:gridCol w:w="1441"/>
            </w:tblGrid>
            <w:tr w14:paraId="3871877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27" w:type="dxa"/>
                  <w:vMerge w:val="restart"/>
                  <w:tcBorders>
                    <w:tl2br w:val="nil"/>
                    <w:tr2bl w:val="nil"/>
                  </w:tcBorders>
                  <w:vAlign w:val="center"/>
                </w:tcPr>
                <w:p w14:paraId="53B39BB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类别</w:t>
                  </w:r>
                </w:p>
              </w:tc>
              <w:tc>
                <w:tcPr>
                  <w:tcW w:w="1745" w:type="dxa"/>
                  <w:gridSpan w:val="2"/>
                  <w:tcBorders>
                    <w:tl2br w:val="nil"/>
                    <w:tr2bl w:val="nil"/>
                  </w:tcBorders>
                  <w:vAlign w:val="center"/>
                </w:tcPr>
                <w:p w14:paraId="30E511A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新鲜水用水量</w:t>
                  </w:r>
                </w:p>
              </w:tc>
              <w:tc>
                <w:tcPr>
                  <w:tcW w:w="1600" w:type="dxa"/>
                  <w:gridSpan w:val="2"/>
                  <w:tcBorders>
                    <w:tl2br w:val="nil"/>
                    <w:tr2bl w:val="nil"/>
                  </w:tcBorders>
                  <w:vAlign w:val="center"/>
                </w:tcPr>
                <w:p w14:paraId="1DFDDAE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循环/回用水量</w:t>
                  </w:r>
                </w:p>
              </w:tc>
              <w:tc>
                <w:tcPr>
                  <w:tcW w:w="1627" w:type="dxa"/>
                  <w:gridSpan w:val="2"/>
                  <w:tcBorders>
                    <w:tl2br w:val="nil"/>
                    <w:tr2bl w:val="nil"/>
                  </w:tcBorders>
                  <w:vAlign w:val="center"/>
                </w:tcPr>
                <w:p w14:paraId="3A5E770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eastAsia="宋体"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损耗量</w:t>
                  </w:r>
                </w:p>
              </w:tc>
              <w:tc>
                <w:tcPr>
                  <w:tcW w:w="1682" w:type="dxa"/>
                  <w:gridSpan w:val="2"/>
                  <w:tcBorders>
                    <w:tl2br w:val="nil"/>
                    <w:tr2bl w:val="nil"/>
                  </w:tcBorders>
                  <w:vAlign w:val="center"/>
                </w:tcPr>
                <w:p w14:paraId="123A7D9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eastAsia="宋体"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排水量</w:t>
                  </w:r>
                </w:p>
              </w:tc>
              <w:tc>
                <w:tcPr>
                  <w:tcW w:w="1441" w:type="dxa"/>
                  <w:vMerge w:val="restart"/>
                  <w:tcBorders>
                    <w:tl2br w:val="nil"/>
                    <w:tr2bl w:val="nil"/>
                  </w:tcBorders>
                  <w:vAlign w:val="center"/>
                </w:tcPr>
                <w:p w14:paraId="7F996C4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bCs/>
                      <w:color w:val="FF0000"/>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去向</w:t>
                  </w:r>
                </w:p>
              </w:tc>
            </w:tr>
            <w:tr w14:paraId="2EEA04E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827" w:type="dxa"/>
                  <w:vMerge w:val="continue"/>
                  <w:tcBorders>
                    <w:tl2br w:val="nil"/>
                    <w:tr2bl w:val="nil"/>
                  </w:tcBorders>
                  <w:vAlign w:val="center"/>
                </w:tcPr>
                <w:p w14:paraId="78C3412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vertAlign w:val="baseline"/>
                      <w:lang w:val="en-US" w:eastAsia="zh-CN"/>
                    </w:rPr>
                  </w:pPr>
                </w:p>
              </w:tc>
              <w:tc>
                <w:tcPr>
                  <w:tcW w:w="809" w:type="dxa"/>
                  <w:tcBorders>
                    <w:tl2br w:val="nil"/>
                    <w:tr2bl w:val="nil"/>
                  </w:tcBorders>
                  <w:vAlign w:val="center"/>
                </w:tcPr>
                <w:p w14:paraId="2FB2A72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vertAlign w:val="baseline"/>
                      <w:lang w:val="en-US" w:eastAsia="zh-CN"/>
                    </w:rPr>
                    <w:t>/d</w:t>
                  </w:r>
                </w:p>
              </w:tc>
              <w:tc>
                <w:tcPr>
                  <w:tcW w:w="936" w:type="dxa"/>
                  <w:tcBorders>
                    <w:tl2br w:val="nil"/>
                    <w:tr2bl w:val="nil"/>
                  </w:tcBorders>
                  <w:vAlign w:val="center"/>
                </w:tcPr>
                <w:p w14:paraId="7BB5436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vertAlign w:val="baseline"/>
                      <w:lang w:val="en-US" w:eastAsia="zh-CN"/>
                    </w:rPr>
                    <w:t>/</w:t>
                  </w:r>
                  <w:r>
                    <w:rPr>
                      <w:rFonts w:hint="eastAsia" w:ascii="Times New Roman" w:hAnsi="Times New Roman" w:cs="Times New Roman"/>
                      <w:b/>
                      <w:bCs/>
                      <w:color w:val="auto"/>
                      <w:sz w:val="21"/>
                      <w:szCs w:val="21"/>
                      <w:highlight w:val="none"/>
                      <w:vertAlign w:val="baseline"/>
                      <w:lang w:val="en-US" w:eastAsia="zh-CN"/>
                    </w:rPr>
                    <w:t>a</w:t>
                  </w:r>
                </w:p>
              </w:tc>
              <w:tc>
                <w:tcPr>
                  <w:tcW w:w="818" w:type="dxa"/>
                  <w:tcBorders>
                    <w:tl2br w:val="nil"/>
                    <w:tr2bl w:val="nil"/>
                  </w:tcBorders>
                  <w:vAlign w:val="center"/>
                </w:tcPr>
                <w:p w14:paraId="6EB3EC9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vertAlign w:val="baseline"/>
                      <w:lang w:val="en-US" w:eastAsia="zh-CN"/>
                    </w:rPr>
                    <w:t>/d</w:t>
                  </w:r>
                </w:p>
              </w:tc>
              <w:tc>
                <w:tcPr>
                  <w:tcW w:w="782" w:type="dxa"/>
                  <w:tcBorders>
                    <w:tl2br w:val="nil"/>
                    <w:tr2bl w:val="nil"/>
                  </w:tcBorders>
                  <w:vAlign w:val="center"/>
                </w:tcPr>
                <w:p w14:paraId="44B9120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vertAlign w:val="baseline"/>
                      <w:lang w:val="en-US" w:eastAsia="zh-CN"/>
                    </w:rPr>
                    <w:t>/</w:t>
                  </w:r>
                  <w:r>
                    <w:rPr>
                      <w:rFonts w:hint="eastAsia" w:ascii="Times New Roman" w:hAnsi="Times New Roman" w:cs="Times New Roman"/>
                      <w:b/>
                      <w:bCs/>
                      <w:color w:val="auto"/>
                      <w:sz w:val="21"/>
                      <w:szCs w:val="21"/>
                      <w:highlight w:val="none"/>
                      <w:vertAlign w:val="baseline"/>
                      <w:lang w:val="en-US" w:eastAsia="zh-CN"/>
                    </w:rPr>
                    <w:t>a</w:t>
                  </w:r>
                </w:p>
              </w:tc>
              <w:tc>
                <w:tcPr>
                  <w:tcW w:w="709" w:type="dxa"/>
                  <w:tcBorders>
                    <w:tl2br w:val="nil"/>
                    <w:tr2bl w:val="nil"/>
                  </w:tcBorders>
                  <w:vAlign w:val="center"/>
                </w:tcPr>
                <w:p w14:paraId="558DBB1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vertAlign w:val="baseline"/>
                      <w:lang w:val="en-US" w:eastAsia="zh-CN"/>
                    </w:rPr>
                    <w:t>/d</w:t>
                  </w:r>
                </w:p>
              </w:tc>
              <w:tc>
                <w:tcPr>
                  <w:tcW w:w="918" w:type="dxa"/>
                  <w:tcBorders>
                    <w:tl2br w:val="nil"/>
                    <w:tr2bl w:val="nil"/>
                  </w:tcBorders>
                  <w:vAlign w:val="center"/>
                </w:tcPr>
                <w:p w14:paraId="71D185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vertAlign w:val="baseline"/>
                      <w:lang w:val="en-US" w:eastAsia="zh-CN"/>
                    </w:rPr>
                    <w:t>/</w:t>
                  </w:r>
                  <w:r>
                    <w:rPr>
                      <w:rFonts w:hint="eastAsia" w:ascii="Times New Roman" w:hAnsi="Times New Roman" w:cs="Times New Roman"/>
                      <w:b/>
                      <w:bCs/>
                      <w:color w:val="auto"/>
                      <w:sz w:val="21"/>
                      <w:szCs w:val="21"/>
                      <w:highlight w:val="none"/>
                      <w:vertAlign w:val="baseline"/>
                      <w:lang w:val="en-US" w:eastAsia="zh-CN"/>
                    </w:rPr>
                    <w:t>a</w:t>
                  </w:r>
                </w:p>
              </w:tc>
              <w:tc>
                <w:tcPr>
                  <w:tcW w:w="764" w:type="dxa"/>
                  <w:tcBorders>
                    <w:tl2br w:val="nil"/>
                    <w:tr2bl w:val="nil"/>
                  </w:tcBorders>
                  <w:vAlign w:val="center"/>
                </w:tcPr>
                <w:p w14:paraId="604922F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vertAlign w:val="baseline"/>
                      <w:lang w:val="en-US" w:eastAsia="zh-CN"/>
                    </w:rPr>
                    <w:t>/d</w:t>
                  </w:r>
                </w:p>
              </w:tc>
              <w:tc>
                <w:tcPr>
                  <w:tcW w:w="918" w:type="dxa"/>
                  <w:tcBorders>
                    <w:tl2br w:val="nil"/>
                    <w:tr2bl w:val="nil"/>
                  </w:tcBorders>
                  <w:vAlign w:val="center"/>
                </w:tcPr>
                <w:p w14:paraId="7D6D4C5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vertAlign w:val="baseline"/>
                      <w:lang w:val="en-US" w:eastAsia="zh-CN"/>
                    </w:rPr>
                    <w:t>/</w:t>
                  </w:r>
                  <w:r>
                    <w:rPr>
                      <w:rFonts w:hint="eastAsia" w:ascii="Times New Roman" w:hAnsi="Times New Roman" w:cs="Times New Roman"/>
                      <w:b/>
                      <w:bCs/>
                      <w:color w:val="auto"/>
                      <w:sz w:val="21"/>
                      <w:szCs w:val="21"/>
                      <w:highlight w:val="none"/>
                      <w:vertAlign w:val="baseline"/>
                      <w:lang w:val="en-US" w:eastAsia="zh-CN"/>
                    </w:rPr>
                    <w:t>a</w:t>
                  </w:r>
                </w:p>
              </w:tc>
              <w:tc>
                <w:tcPr>
                  <w:tcW w:w="1441" w:type="dxa"/>
                  <w:vMerge w:val="continue"/>
                  <w:tcBorders>
                    <w:tl2br w:val="nil"/>
                    <w:tr2bl w:val="nil"/>
                  </w:tcBorders>
                  <w:vAlign w:val="center"/>
                </w:tcPr>
                <w:p w14:paraId="59B16F2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color w:val="FF0000"/>
                      <w:sz w:val="21"/>
                      <w:szCs w:val="21"/>
                      <w:highlight w:val="none"/>
                      <w:vertAlign w:val="baseline"/>
                      <w:lang w:val="en-US" w:eastAsia="zh-CN"/>
                    </w:rPr>
                  </w:pPr>
                </w:p>
              </w:tc>
            </w:tr>
            <w:tr w14:paraId="5E2DEFA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7" w:type="dxa"/>
                  <w:tcBorders>
                    <w:tl2br w:val="nil"/>
                    <w:tr2bl w:val="nil"/>
                  </w:tcBorders>
                  <w:vAlign w:val="center"/>
                </w:tcPr>
                <w:p w14:paraId="2ECB345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color w:val="FF0000"/>
                      <w:sz w:val="21"/>
                      <w:szCs w:val="21"/>
                      <w:highlight w:val="none"/>
                      <w:vertAlign w:val="baseline"/>
                      <w:lang w:val="en-US" w:eastAsia="zh-CN"/>
                    </w:rPr>
                  </w:pPr>
                  <w:r>
                    <w:rPr>
                      <w:rFonts w:hint="eastAsia" w:cs="Times New Roman"/>
                      <w:color w:val="auto"/>
                      <w:sz w:val="21"/>
                      <w:szCs w:val="21"/>
                      <w:highlight w:val="none"/>
                      <w:vertAlign w:val="baseline"/>
                      <w:lang w:val="en-US" w:eastAsia="zh-CN"/>
                    </w:rPr>
                    <w:t>生活用水</w:t>
                  </w:r>
                </w:p>
              </w:tc>
              <w:tc>
                <w:tcPr>
                  <w:tcW w:w="809" w:type="dxa"/>
                  <w:tcBorders>
                    <w:tl2br w:val="nil"/>
                    <w:tr2bl w:val="nil"/>
                  </w:tcBorders>
                  <w:vAlign w:val="center"/>
                </w:tcPr>
                <w:p w14:paraId="6694F06D">
                  <w:pPr>
                    <w:jc w:val="center"/>
                    <w:rPr>
                      <w:rFonts w:hint="default" w:ascii="Times New Roman" w:hAnsi="Times New Roman" w:eastAsia="宋体" w:cs="Times New Roman"/>
                      <w:color w:val="FF0000"/>
                      <w:lang w:val="en-US" w:eastAsia="zh-CN"/>
                    </w:rPr>
                  </w:pPr>
                  <w:r>
                    <w:rPr>
                      <w:rFonts w:hint="eastAsia" w:cs="Times New Roman"/>
                      <w:color w:val="auto"/>
                      <w:kern w:val="0"/>
                      <w:highlight w:val="none"/>
                      <w:lang w:val="en-US" w:eastAsia="zh-CN"/>
                    </w:rPr>
                    <w:t>0.16</w:t>
                  </w:r>
                </w:p>
              </w:tc>
              <w:tc>
                <w:tcPr>
                  <w:tcW w:w="936" w:type="dxa"/>
                  <w:tcBorders>
                    <w:tl2br w:val="nil"/>
                    <w:tr2bl w:val="nil"/>
                  </w:tcBorders>
                  <w:vAlign w:val="center"/>
                </w:tcPr>
                <w:p w14:paraId="73C47342">
                  <w:pPr>
                    <w:keepNext w:val="0"/>
                    <w:keepLines w:val="0"/>
                    <w:widowControl/>
                    <w:suppressLineNumbers w:val="0"/>
                    <w:jc w:val="center"/>
                    <w:textAlignment w:val="center"/>
                    <w:rPr>
                      <w:rFonts w:hint="default" w:cs="Times New Roman"/>
                      <w:color w:val="FF0000"/>
                      <w:sz w:val="21"/>
                      <w:szCs w:val="21"/>
                      <w:highlight w:val="none"/>
                      <w:vertAlign w:val="baseline"/>
                      <w:lang w:val="en-US" w:eastAsia="zh-CN"/>
                    </w:rPr>
                  </w:pPr>
                  <w:r>
                    <w:rPr>
                      <w:rFonts w:hint="eastAsia" w:cs="Times New Roman"/>
                      <w:color w:val="auto"/>
                      <w:kern w:val="0"/>
                      <w:highlight w:val="none"/>
                      <w:lang w:val="en-US" w:eastAsia="zh-CN"/>
                    </w:rPr>
                    <w:t>34.08</w:t>
                  </w:r>
                </w:p>
              </w:tc>
              <w:tc>
                <w:tcPr>
                  <w:tcW w:w="818" w:type="dxa"/>
                  <w:tcBorders>
                    <w:tl2br w:val="nil"/>
                    <w:tr2bl w:val="nil"/>
                  </w:tcBorders>
                  <w:vAlign w:val="center"/>
                </w:tcPr>
                <w:p w14:paraId="0228AA2F">
                  <w:pPr>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0</w:t>
                  </w:r>
                </w:p>
              </w:tc>
              <w:tc>
                <w:tcPr>
                  <w:tcW w:w="782" w:type="dxa"/>
                  <w:tcBorders>
                    <w:tl2br w:val="nil"/>
                    <w:tr2bl w:val="nil"/>
                  </w:tcBorders>
                  <w:vAlign w:val="center"/>
                </w:tcPr>
                <w:p w14:paraId="6F6BDFB1">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0</w:t>
                  </w:r>
                </w:p>
              </w:tc>
              <w:tc>
                <w:tcPr>
                  <w:tcW w:w="709" w:type="dxa"/>
                  <w:tcBorders>
                    <w:tl2br w:val="nil"/>
                    <w:tr2bl w:val="nil"/>
                  </w:tcBorders>
                  <w:vAlign w:val="center"/>
                </w:tcPr>
                <w:p w14:paraId="7BCA37A7">
                  <w:pPr>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0.</w:t>
                  </w:r>
                  <w:r>
                    <w:rPr>
                      <w:rFonts w:hint="eastAsia" w:cs="Times New Roman"/>
                      <w:color w:val="auto"/>
                      <w:lang w:val="en-US" w:eastAsia="zh-CN"/>
                    </w:rPr>
                    <w:t>03</w:t>
                  </w:r>
                </w:p>
              </w:tc>
              <w:tc>
                <w:tcPr>
                  <w:tcW w:w="918" w:type="dxa"/>
                  <w:tcBorders>
                    <w:tl2br w:val="nil"/>
                    <w:tr2bl w:val="nil"/>
                  </w:tcBorders>
                  <w:vAlign w:val="center"/>
                </w:tcPr>
                <w:p w14:paraId="0833F056">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eastAsia" w:cs="Times New Roman"/>
                      <w:i w:val="0"/>
                      <w:iCs w:val="0"/>
                      <w:color w:val="auto"/>
                      <w:kern w:val="0"/>
                      <w:sz w:val="21"/>
                      <w:szCs w:val="21"/>
                      <w:u w:val="none"/>
                      <w:lang w:val="en-US" w:eastAsia="zh-CN" w:bidi="ar"/>
                    </w:rPr>
                    <w:t>6.82</w:t>
                  </w:r>
                </w:p>
              </w:tc>
              <w:tc>
                <w:tcPr>
                  <w:tcW w:w="764" w:type="dxa"/>
                  <w:tcBorders>
                    <w:tl2br w:val="nil"/>
                    <w:tr2bl w:val="nil"/>
                  </w:tcBorders>
                  <w:vAlign w:val="center"/>
                </w:tcPr>
                <w:p w14:paraId="4BE9CFFC">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0.13</w:t>
                  </w:r>
                </w:p>
              </w:tc>
              <w:tc>
                <w:tcPr>
                  <w:tcW w:w="918" w:type="dxa"/>
                  <w:tcBorders>
                    <w:tl2br w:val="nil"/>
                    <w:tr2bl w:val="nil"/>
                  </w:tcBorders>
                  <w:vAlign w:val="center"/>
                </w:tcPr>
                <w:p w14:paraId="5FA32EFC">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27.26</w:t>
                  </w:r>
                </w:p>
              </w:tc>
              <w:tc>
                <w:tcPr>
                  <w:tcW w:w="1441" w:type="dxa"/>
                  <w:vMerge w:val="restart"/>
                  <w:tcBorders>
                    <w:tl2br w:val="nil"/>
                    <w:tr2bl w:val="nil"/>
                  </w:tcBorders>
                  <w:vAlign w:val="center"/>
                </w:tcPr>
                <w:p w14:paraId="59B037A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color w:val="FF0000"/>
                      <w:sz w:val="21"/>
                      <w:szCs w:val="21"/>
                      <w:highlight w:val="none"/>
                      <w:vertAlign w:val="baseline"/>
                      <w:lang w:val="en-US" w:eastAsia="zh-CN"/>
                    </w:rPr>
                  </w:pPr>
                  <w:r>
                    <w:rPr>
                      <w:rFonts w:hint="eastAsia" w:ascii="Times New Roman" w:hAnsi="Times New Roman" w:eastAsia="宋体" w:cs="Times New Roman"/>
                      <w:color w:val="auto"/>
                      <w:lang w:val="en-US" w:eastAsia="zh-CN"/>
                    </w:rPr>
                    <w:t>27.26</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cs="Times New Roman"/>
                      <w:color w:val="auto"/>
                      <w:kern w:val="0"/>
                      <w:sz w:val="21"/>
                      <w:szCs w:val="21"/>
                      <w:highlight w:val="none"/>
                    </w:rPr>
                    <w:t>/a</w:t>
                  </w:r>
                  <w:r>
                    <w:rPr>
                      <w:rFonts w:hint="eastAsia" w:ascii="Times New Roman" w:hAnsi="Times New Roman" w:cs="Times New Roman"/>
                      <w:color w:val="auto"/>
                      <w:sz w:val="21"/>
                      <w:szCs w:val="21"/>
                      <w:highlight w:val="none"/>
                      <w:lang w:val="en-US" w:eastAsia="zh-CN"/>
                    </w:rPr>
                    <w:t>生活污水、</w:t>
                  </w:r>
                  <w:r>
                    <w:rPr>
                      <w:rFonts w:hint="eastAsia" w:cs="Times New Roman" w:eastAsiaTheme="minorEastAsia"/>
                      <w:bCs/>
                      <w:color w:val="auto"/>
                      <w:sz w:val="21"/>
                      <w:szCs w:val="21"/>
                      <w:highlight w:val="none"/>
                      <w:lang w:val="en-US" w:eastAsia="zh-CN"/>
                    </w:rPr>
                    <w:t>2001</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cs="Times New Roman"/>
                      <w:color w:val="auto"/>
                      <w:kern w:val="0"/>
                      <w:sz w:val="21"/>
                      <w:szCs w:val="21"/>
                      <w:highlight w:val="none"/>
                    </w:rPr>
                    <w:t>/a</w:t>
                  </w:r>
                  <w:r>
                    <w:rPr>
                      <w:rFonts w:hint="eastAsia" w:ascii="Times New Roman" w:hAnsi="Times New Roman" w:cs="Times New Roman"/>
                      <w:color w:val="auto"/>
                      <w:kern w:val="0"/>
                      <w:highlight w:val="none"/>
                      <w:lang w:val="en-US" w:eastAsia="zh-CN"/>
                    </w:rPr>
                    <w:t>锅炉排污水</w:t>
                  </w:r>
                  <w:r>
                    <w:rPr>
                      <w:rFonts w:hint="eastAsia" w:cs="Times New Roman"/>
                      <w:color w:val="auto"/>
                      <w:kern w:val="0"/>
                      <w:highlight w:val="none"/>
                      <w:lang w:val="en-US" w:eastAsia="zh-CN"/>
                    </w:rPr>
                    <w:t>及软化处理废水</w:t>
                  </w:r>
                  <w:r>
                    <w:rPr>
                      <w:rFonts w:hint="eastAsia" w:ascii="Times New Roman" w:hAnsi="Times New Roman" w:cs="Times New Roman"/>
                      <w:color w:val="auto"/>
                      <w:sz w:val="21"/>
                      <w:szCs w:val="21"/>
                      <w:highlight w:val="none"/>
                      <w:lang w:val="en-US" w:eastAsia="zh-CN"/>
                    </w:rPr>
                    <w:t>排入厂区化粪池，通过10吨</w:t>
                  </w:r>
                  <w:r>
                    <w:rPr>
                      <w:rFonts w:hint="default" w:ascii="Times New Roman" w:hAnsi="Times New Roman" w:cs="Times New Roman"/>
                      <w:color w:val="auto"/>
                      <w:sz w:val="21"/>
                      <w:szCs w:val="21"/>
                      <w:highlight w:val="none"/>
                      <w:lang w:val="en-US" w:eastAsia="zh-CN"/>
                    </w:rPr>
                    <w:t>吸污车收集后，运至饶河县西林子乡污水处理站</w:t>
                  </w:r>
                </w:p>
              </w:tc>
            </w:tr>
            <w:tr w14:paraId="2AA95B4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22" w:hRule="atLeast"/>
                <w:jc w:val="center"/>
              </w:trPr>
              <w:tc>
                <w:tcPr>
                  <w:tcW w:w="827" w:type="dxa"/>
                  <w:vMerge w:val="restart"/>
                  <w:tcBorders>
                    <w:tl2br w:val="nil"/>
                    <w:tr2bl w:val="nil"/>
                  </w:tcBorders>
                  <w:vAlign w:val="center"/>
                </w:tcPr>
                <w:p w14:paraId="60D12A0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color w:val="FF0000"/>
                      <w:sz w:val="21"/>
                      <w:szCs w:val="21"/>
                      <w:highlight w:val="none"/>
                      <w:vertAlign w:val="baseline"/>
                      <w:lang w:val="en-US" w:eastAsia="zh-CN"/>
                    </w:rPr>
                  </w:pPr>
                  <w:r>
                    <w:rPr>
                      <w:rFonts w:hint="eastAsia" w:cs="Times New Roman"/>
                      <w:color w:val="auto"/>
                      <w:sz w:val="21"/>
                      <w:szCs w:val="21"/>
                      <w:highlight w:val="none"/>
                      <w:vertAlign w:val="baseline"/>
                      <w:lang w:val="en-US" w:eastAsia="zh-CN"/>
                    </w:rPr>
                    <w:t>锅炉系统</w:t>
                  </w:r>
                </w:p>
              </w:tc>
              <w:tc>
                <w:tcPr>
                  <w:tcW w:w="809" w:type="dxa"/>
                  <w:vMerge w:val="restart"/>
                  <w:tcBorders>
                    <w:tl2br w:val="nil"/>
                    <w:tr2bl w:val="nil"/>
                  </w:tcBorders>
                  <w:vAlign w:val="center"/>
                </w:tcPr>
                <w:p w14:paraId="22B0A086">
                  <w:pPr>
                    <w:jc w:val="center"/>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18.4</w:t>
                  </w:r>
                </w:p>
              </w:tc>
              <w:tc>
                <w:tcPr>
                  <w:tcW w:w="936" w:type="dxa"/>
                  <w:vMerge w:val="restart"/>
                  <w:tcBorders>
                    <w:tl2br w:val="nil"/>
                    <w:tr2bl w:val="nil"/>
                  </w:tcBorders>
                  <w:vAlign w:val="center"/>
                </w:tcPr>
                <w:p w14:paraId="21D8D922">
                  <w:pPr>
                    <w:jc w:val="center"/>
                    <w:rPr>
                      <w:rFonts w:hint="eastAsia"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3918</w:t>
                  </w:r>
                </w:p>
              </w:tc>
              <w:tc>
                <w:tcPr>
                  <w:tcW w:w="818" w:type="dxa"/>
                  <w:vMerge w:val="restart"/>
                  <w:tcBorders>
                    <w:tl2br w:val="nil"/>
                    <w:tr2bl w:val="nil"/>
                  </w:tcBorders>
                  <w:vAlign w:val="center"/>
                </w:tcPr>
                <w:p w14:paraId="11D84116">
                  <w:pPr>
                    <w:jc w:val="center"/>
                    <w:rPr>
                      <w:rFonts w:hint="eastAsia"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1</w:t>
                  </w:r>
                </w:p>
              </w:tc>
              <w:tc>
                <w:tcPr>
                  <w:tcW w:w="782" w:type="dxa"/>
                  <w:vMerge w:val="restart"/>
                  <w:tcBorders>
                    <w:tl2br w:val="nil"/>
                    <w:tr2bl w:val="nil"/>
                  </w:tcBorders>
                  <w:vAlign w:val="center"/>
                </w:tcPr>
                <w:p w14:paraId="68DCEB72">
                  <w:pPr>
                    <w:jc w:val="center"/>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213</w:t>
                  </w:r>
                </w:p>
              </w:tc>
              <w:tc>
                <w:tcPr>
                  <w:tcW w:w="709" w:type="dxa"/>
                  <w:tcBorders>
                    <w:tl2br w:val="nil"/>
                    <w:tr2bl w:val="nil"/>
                  </w:tcBorders>
                  <w:vAlign w:val="center"/>
                </w:tcPr>
                <w:p w14:paraId="7BDB46CF">
                  <w:pPr>
                    <w:jc w:val="center"/>
                    <w:rPr>
                      <w:rFonts w:hint="eastAsia"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8</w:t>
                  </w:r>
                  <w:r>
                    <w:rPr>
                      <w:rFonts w:hint="default" w:ascii="Times New Roman" w:hAnsi="Times New Roman" w:cs="Times New Roman" w:eastAsiaTheme="minorEastAsia"/>
                      <w:bCs/>
                      <w:color w:val="auto"/>
                      <w:sz w:val="21"/>
                      <w:szCs w:val="21"/>
                      <w:highlight w:val="none"/>
                      <w:lang w:val="en-US" w:eastAsia="zh-CN"/>
                    </w:rPr>
                    <w:t>*</w:t>
                  </w:r>
                </w:p>
              </w:tc>
              <w:tc>
                <w:tcPr>
                  <w:tcW w:w="918" w:type="dxa"/>
                  <w:tcBorders>
                    <w:tl2br w:val="nil"/>
                    <w:tr2bl w:val="nil"/>
                  </w:tcBorders>
                  <w:vAlign w:val="center"/>
                </w:tcPr>
                <w:p w14:paraId="6263F9D0">
                  <w:pPr>
                    <w:jc w:val="center"/>
                    <w:rPr>
                      <w:rFonts w:hint="eastAsia"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1704</w:t>
                  </w:r>
                  <w:r>
                    <w:rPr>
                      <w:rFonts w:hint="default" w:ascii="Times New Roman" w:hAnsi="Times New Roman" w:cs="Times New Roman" w:eastAsiaTheme="minorEastAsia"/>
                      <w:bCs/>
                      <w:color w:val="auto"/>
                      <w:sz w:val="21"/>
                      <w:szCs w:val="21"/>
                      <w:highlight w:val="none"/>
                      <w:lang w:val="en-US" w:eastAsia="zh-CN"/>
                    </w:rPr>
                    <w:t>*</w:t>
                  </w:r>
                </w:p>
              </w:tc>
              <w:tc>
                <w:tcPr>
                  <w:tcW w:w="764" w:type="dxa"/>
                  <w:vMerge w:val="restart"/>
                  <w:tcBorders>
                    <w:tl2br w:val="nil"/>
                    <w:tr2bl w:val="nil"/>
                  </w:tcBorders>
                  <w:vAlign w:val="center"/>
                </w:tcPr>
                <w:p w14:paraId="02B4D946">
                  <w:pPr>
                    <w:jc w:val="center"/>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9</w:t>
                  </w:r>
                  <w:r>
                    <w:rPr>
                      <w:rFonts w:hint="eastAsia" w:ascii="Times New Roman" w:hAnsi="Times New Roman" w:eastAsia="宋体" w:cs="Times New Roman"/>
                      <w:color w:val="auto"/>
                      <w:lang w:val="en-US" w:eastAsia="zh-CN"/>
                    </w:rPr>
                    <w:t>.4</w:t>
                  </w:r>
                </w:p>
              </w:tc>
              <w:tc>
                <w:tcPr>
                  <w:tcW w:w="918" w:type="dxa"/>
                  <w:vMerge w:val="restart"/>
                  <w:tcBorders>
                    <w:tl2br w:val="nil"/>
                    <w:tr2bl w:val="nil"/>
                  </w:tcBorders>
                  <w:vAlign w:val="center"/>
                </w:tcPr>
                <w:p w14:paraId="0974E7B6">
                  <w:pPr>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2</w:t>
                  </w:r>
                  <w:r>
                    <w:rPr>
                      <w:rFonts w:hint="eastAsia" w:ascii="Times New Roman" w:hAnsi="Times New Roman" w:cs="Times New Roman"/>
                      <w:color w:val="auto"/>
                      <w:lang w:val="en-US" w:eastAsia="zh-CN"/>
                    </w:rPr>
                    <w:t>001</w:t>
                  </w:r>
                </w:p>
              </w:tc>
              <w:tc>
                <w:tcPr>
                  <w:tcW w:w="1441" w:type="dxa"/>
                  <w:vMerge w:val="continue"/>
                  <w:tcBorders>
                    <w:tl2br w:val="nil"/>
                    <w:tr2bl w:val="nil"/>
                  </w:tcBorders>
                  <w:vAlign w:val="center"/>
                </w:tcPr>
                <w:p w14:paraId="348AEBC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olor w:val="FF0000"/>
                      <w:sz w:val="21"/>
                      <w:szCs w:val="21"/>
                      <w:highlight w:val="none"/>
                      <w:lang w:val="en-US" w:eastAsia="zh-CN"/>
                    </w:rPr>
                  </w:pPr>
                </w:p>
              </w:tc>
            </w:tr>
            <w:tr w14:paraId="345195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827" w:type="dxa"/>
                  <w:vMerge w:val="continue"/>
                  <w:tcBorders>
                    <w:tl2br w:val="nil"/>
                    <w:tr2bl w:val="nil"/>
                  </w:tcBorders>
                  <w:vAlign w:val="center"/>
                </w:tcPr>
                <w:p w14:paraId="141DEE9C">
                  <w:pPr>
                    <w:jc w:val="center"/>
                  </w:pPr>
                </w:p>
              </w:tc>
              <w:tc>
                <w:tcPr>
                  <w:tcW w:w="809" w:type="dxa"/>
                  <w:vMerge w:val="continue"/>
                  <w:tcBorders>
                    <w:tl2br w:val="nil"/>
                    <w:tr2bl w:val="nil"/>
                  </w:tcBorders>
                  <w:vAlign w:val="center"/>
                </w:tcPr>
                <w:p w14:paraId="09C85DE4">
                  <w:pPr>
                    <w:jc w:val="center"/>
                  </w:pPr>
                </w:p>
              </w:tc>
              <w:tc>
                <w:tcPr>
                  <w:tcW w:w="936" w:type="dxa"/>
                  <w:vMerge w:val="continue"/>
                  <w:tcBorders>
                    <w:tl2br w:val="nil"/>
                    <w:tr2bl w:val="nil"/>
                  </w:tcBorders>
                  <w:vAlign w:val="center"/>
                </w:tcPr>
                <w:p w14:paraId="38FD068B">
                  <w:pPr>
                    <w:jc w:val="center"/>
                  </w:pPr>
                </w:p>
              </w:tc>
              <w:tc>
                <w:tcPr>
                  <w:tcW w:w="818" w:type="dxa"/>
                  <w:vMerge w:val="continue"/>
                  <w:tcBorders>
                    <w:tl2br w:val="nil"/>
                    <w:tr2bl w:val="nil"/>
                  </w:tcBorders>
                  <w:vAlign w:val="center"/>
                </w:tcPr>
                <w:p w14:paraId="404C5480">
                  <w:pPr>
                    <w:jc w:val="center"/>
                  </w:pPr>
                </w:p>
              </w:tc>
              <w:tc>
                <w:tcPr>
                  <w:tcW w:w="782" w:type="dxa"/>
                  <w:vMerge w:val="continue"/>
                  <w:tcBorders>
                    <w:tl2br w:val="nil"/>
                    <w:tr2bl w:val="nil"/>
                  </w:tcBorders>
                  <w:vAlign w:val="center"/>
                </w:tcPr>
                <w:p w14:paraId="765FC1C8">
                  <w:pPr>
                    <w:jc w:val="center"/>
                  </w:pPr>
                </w:p>
              </w:tc>
              <w:tc>
                <w:tcPr>
                  <w:tcW w:w="709" w:type="dxa"/>
                  <w:tcBorders>
                    <w:tl2br w:val="nil"/>
                    <w:tr2bl w:val="nil"/>
                  </w:tcBorders>
                  <w:vAlign w:val="center"/>
                </w:tcPr>
                <w:p w14:paraId="7FE20C9E">
                  <w:pPr>
                    <w:jc w:val="center"/>
                    <w:rPr>
                      <w:rFonts w:hint="eastAsia" w:ascii="Times New Roman" w:hAnsi="Times New Roman" w:cs="Times New Roman" w:eastAsiaTheme="minorEastAsia"/>
                      <w:bCs/>
                      <w:color w:val="auto"/>
                      <w:sz w:val="21"/>
                      <w:szCs w:val="21"/>
                      <w:highlight w:val="none"/>
                      <w:lang w:val="en-US" w:eastAsia="zh-CN"/>
                    </w:rPr>
                  </w:pPr>
                  <w:r>
                    <w:rPr>
                      <w:rFonts w:hint="eastAsia" w:cs="Times New Roman"/>
                      <w:color w:val="auto"/>
                      <w:lang w:val="en-US" w:eastAsia="zh-CN"/>
                    </w:rPr>
                    <w:t>1</w:t>
                  </w:r>
                </w:p>
              </w:tc>
              <w:tc>
                <w:tcPr>
                  <w:tcW w:w="918" w:type="dxa"/>
                  <w:tcBorders>
                    <w:tl2br w:val="nil"/>
                    <w:tr2bl w:val="nil"/>
                  </w:tcBorders>
                  <w:vAlign w:val="center"/>
                </w:tcPr>
                <w:p w14:paraId="5132EF87">
                  <w:pPr>
                    <w:keepNext w:val="0"/>
                    <w:keepLines w:val="0"/>
                    <w:widowControl/>
                    <w:suppressLineNumbers w:val="0"/>
                    <w:jc w:val="center"/>
                    <w:textAlignment w:val="center"/>
                    <w:rPr>
                      <w:rFonts w:hint="eastAsia" w:ascii="Times New Roman" w:hAnsi="Times New Roman" w:cs="Times New Roman" w:eastAsiaTheme="minorEastAsia"/>
                      <w:bCs/>
                      <w:color w:val="auto"/>
                      <w:sz w:val="21"/>
                      <w:szCs w:val="21"/>
                      <w:highlight w:val="none"/>
                      <w:lang w:val="en-US" w:eastAsia="zh-CN"/>
                    </w:rPr>
                  </w:pPr>
                  <w:r>
                    <w:rPr>
                      <w:rFonts w:hint="eastAsia" w:cs="Times New Roman"/>
                      <w:i w:val="0"/>
                      <w:iCs w:val="0"/>
                      <w:color w:val="auto"/>
                      <w:kern w:val="0"/>
                      <w:sz w:val="21"/>
                      <w:szCs w:val="21"/>
                      <w:u w:val="none"/>
                      <w:lang w:val="en-US" w:eastAsia="zh-CN" w:bidi="ar"/>
                    </w:rPr>
                    <w:t>213</w:t>
                  </w:r>
                </w:p>
              </w:tc>
              <w:tc>
                <w:tcPr>
                  <w:tcW w:w="764" w:type="dxa"/>
                  <w:vMerge w:val="continue"/>
                  <w:tcBorders>
                    <w:tl2br w:val="nil"/>
                    <w:tr2bl w:val="nil"/>
                  </w:tcBorders>
                  <w:vAlign w:val="center"/>
                </w:tcPr>
                <w:p w14:paraId="7A671ED6">
                  <w:pPr>
                    <w:jc w:val="center"/>
                    <w:rPr>
                      <w:rFonts w:hint="eastAsia" w:ascii="Times New Roman" w:hAnsi="Times New Roman" w:cs="Times New Roman" w:eastAsiaTheme="minorEastAsia"/>
                      <w:bCs/>
                      <w:color w:val="auto"/>
                      <w:sz w:val="21"/>
                      <w:szCs w:val="21"/>
                      <w:highlight w:val="none"/>
                      <w:lang w:val="en-US" w:eastAsia="zh-CN"/>
                    </w:rPr>
                  </w:pPr>
                </w:p>
              </w:tc>
              <w:tc>
                <w:tcPr>
                  <w:tcW w:w="918" w:type="dxa"/>
                  <w:vMerge w:val="continue"/>
                  <w:tcBorders>
                    <w:tl2br w:val="nil"/>
                    <w:tr2bl w:val="nil"/>
                  </w:tcBorders>
                  <w:vAlign w:val="center"/>
                </w:tcPr>
                <w:p w14:paraId="0AB7B4E7">
                  <w:pPr>
                    <w:jc w:val="center"/>
                    <w:rPr>
                      <w:rFonts w:hint="eastAsia" w:ascii="Times New Roman" w:hAnsi="Times New Roman" w:cs="Times New Roman" w:eastAsiaTheme="minorEastAsia"/>
                      <w:bCs/>
                      <w:color w:val="auto"/>
                      <w:sz w:val="21"/>
                      <w:szCs w:val="21"/>
                      <w:highlight w:val="none"/>
                      <w:lang w:val="en-US" w:eastAsia="zh-CN"/>
                    </w:rPr>
                  </w:pPr>
                </w:p>
              </w:tc>
              <w:tc>
                <w:tcPr>
                  <w:tcW w:w="1441" w:type="dxa"/>
                  <w:tcBorders>
                    <w:tl2br w:val="nil"/>
                    <w:tr2bl w:val="nil"/>
                  </w:tcBorders>
                  <w:vAlign w:val="center"/>
                </w:tcPr>
                <w:p w14:paraId="303F88A3">
                  <w:pPr>
                    <w:jc w:val="center"/>
                    <w:rPr>
                      <w:rFonts w:hint="eastAsia" w:ascii="Times New Roman" w:hAnsi="Times New Roman" w:cs="Times New Roman" w:eastAsiaTheme="minorEastAsia"/>
                      <w:bCs/>
                      <w:color w:val="auto"/>
                      <w:sz w:val="21"/>
                      <w:szCs w:val="21"/>
                      <w:highlight w:val="none"/>
                      <w:lang w:val="en-US" w:eastAsia="zh-CN"/>
                    </w:rPr>
                  </w:pPr>
                  <w:r>
                    <w:rPr>
                      <w:rFonts w:hint="eastAsia" w:cs="Times New Roman" w:eastAsiaTheme="minorEastAsia"/>
                      <w:bCs/>
                      <w:color w:val="auto"/>
                      <w:sz w:val="21"/>
                      <w:szCs w:val="21"/>
                      <w:highlight w:val="none"/>
                      <w:lang w:val="en-US" w:eastAsia="zh-CN"/>
                    </w:rPr>
                    <w:t>213</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cs="Times New Roman"/>
                      <w:color w:val="auto"/>
                      <w:kern w:val="0"/>
                      <w:sz w:val="21"/>
                      <w:szCs w:val="21"/>
                      <w:highlight w:val="none"/>
                    </w:rPr>
                    <w:t>/a</w:t>
                  </w:r>
                  <w:r>
                    <w:rPr>
                      <w:rFonts w:hint="eastAsia" w:ascii="Times New Roman" w:hAnsi="Times New Roman" w:cs="Times New Roman"/>
                      <w:color w:val="auto"/>
                      <w:kern w:val="0"/>
                      <w:sz w:val="21"/>
                      <w:szCs w:val="21"/>
                      <w:highlight w:val="none"/>
                      <w:lang w:val="en-US" w:eastAsia="zh-CN"/>
                    </w:rPr>
                    <w:t>的锅炉排污水</w:t>
                  </w:r>
                  <w:r>
                    <w:rPr>
                      <w:rFonts w:hint="eastAsia" w:cs="Times New Roman"/>
                      <w:color w:val="auto"/>
                      <w:kern w:val="0"/>
                      <w:sz w:val="21"/>
                      <w:szCs w:val="21"/>
                      <w:highlight w:val="none"/>
                      <w:lang w:val="en-US" w:eastAsia="zh-CN"/>
                    </w:rPr>
                    <w:t>及软化处理废水用于洒</w:t>
                  </w:r>
                  <w:r>
                    <w:rPr>
                      <w:rFonts w:hint="eastAsia" w:cs="Times New Roman"/>
                      <w:color w:val="auto"/>
                      <w:kern w:val="0"/>
                      <w:highlight w:val="none"/>
                      <w:lang w:val="en-US" w:eastAsia="zh-CN"/>
                    </w:rPr>
                    <w:t>水抑尘用水</w:t>
                  </w:r>
                </w:p>
              </w:tc>
            </w:tr>
            <w:tr w14:paraId="740ECFD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7" w:type="dxa"/>
                  <w:tcBorders>
                    <w:tl2br w:val="nil"/>
                    <w:tr2bl w:val="nil"/>
                  </w:tcBorders>
                  <w:vAlign w:val="center"/>
                </w:tcPr>
                <w:p w14:paraId="7C2969E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合计</w:t>
                  </w:r>
                </w:p>
              </w:tc>
              <w:tc>
                <w:tcPr>
                  <w:tcW w:w="809" w:type="dxa"/>
                  <w:tcBorders>
                    <w:tl2br w:val="nil"/>
                    <w:tr2bl w:val="nil"/>
                  </w:tcBorders>
                  <w:vAlign w:val="center"/>
                </w:tcPr>
                <w:p w14:paraId="57F195FC">
                  <w:pPr>
                    <w:jc w:val="center"/>
                    <w:rPr>
                      <w:rFonts w:hint="default" w:ascii="Times New Roman" w:hAnsi="Times New Roman" w:eastAsia="宋体" w:cs="Times New Roman"/>
                      <w:color w:val="auto"/>
                      <w:lang w:val="en-US" w:eastAsia="zh-CN"/>
                    </w:rPr>
                  </w:pPr>
                  <w:r>
                    <w:rPr>
                      <w:rFonts w:hint="eastAsia" w:cs="Times New Roman"/>
                      <w:color w:val="auto"/>
                      <w:lang w:val="en-US" w:eastAsia="zh-CN"/>
                    </w:rPr>
                    <w:t>18.56</w:t>
                  </w:r>
                </w:p>
              </w:tc>
              <w:tc>
                <w:tcPr>
                  <w:tcW w:w="936" w:type="dxa"/>
                  <w:tcBorders>
                    <w:tl2br w:val="nil"/>
                    <w:tr2bl w:val="nil"/>
                  </w:tcBorders>
                  <w:vAlign w:val="center"/>
                </w:tcPr>
                <w:p w14:paraId="4D417492">
                  <w:pPr>
                    <w:keepNext w:val="0"/>
                    <w:keepLines w:val="0"/>
                    <w:widowControl/>
                    <w:suppressLineNumbers w:val="0"/>
                    <w:jc w:val="center"/>
                    <w:textAlignment w:val="center"/>
                    <w:rPr>
                      <w:rFonts w:hint="default" w:cs="Times New Roman"/>
                      <w:color w:val="auto"/>
                      <w:sz w:val="21"/>
                      <w:szCs w:val="21"/>
                      <w:highlight w:val="none"/>
                      <w:vertAlign w:val="baseline"/>
                      <w:lang w:val="en-US" w:eastAsia="zh-CN"/>
                    </w:rPr>
                  </w:pPr>
                  <w:r>
                    <w:rPr>
                      <w:rFonts w:hint="eastAsia" w:cs="Times New Roman"/>
                      <w:i w:val="0"/>
                      <w:iCs w:val="0"/>
                      <w:color w:val="auto"/>
                      <w:kern w:val="0"/>
                      <w:sz w:val="21"/>
                      <w:szCs w:val="21"/>
                      <w:u w:val="none"/>
                      <w:lang w:val="en-US" w:eastAsia="zh-CN" w:bidi="ar"/>
                    </w:rPr>
                    <w:t>3952.08</w:t>
                  </w:r>
                </w:p>
              </w:tc>
              <w:tc>
                <w:tcPr>
                  <w:tcW w:w="818" w:type="dxa"/>
                  <w:tcBorders>
                    <w:tl2br w:val="nil"/>
                    <w:tr2bl w:val="nil"/>
                  </w:tcBorders>
                  <w:vAlign w:val="center"/>
                </w:tcPr>
                <w:p w14:paraId="2FD6B621">
                  <w:pPr>
                    <w:jc w:val="center"/>
                    <w:rPr>
                      <w:rFonts w:hint="default" w:ascii="Times New Roman" w:hAnsi="Times New Roman" w:eastAsia="宋体" w:cs="Times New Roman"/>
                      <w:color w:val="auto"/>
                      <w:lang w:val="en-US" w:eastAsia="zh-CN"/>
                    </w:rPr>
                  </w:pPr>
                  <w:r>
                    <w:rPr>
                      <w:rFonts w:hint="eastAsia" w:cs="Times New Roman"/>
                      <w:color w:val="auto"/>
                      <w:lang w:val="en-US" w:eastAsia="zh-CN"/>
                    </w:rPr>
                    <w:t>1</w:t>
                  </w:r>
                </w:p>
              </w:tc>
              <w:tc>
                <w:tcPr>
                  <w:tcW w:w="782" w:type="dxa"/>
                  <w:tcBorders>
                    <w:tl2br w:val="nil"/>
                    <w:tr2bl w:val="nil"/>
                  </w:tcBorders>
                  <w:vAlign w:val="center"/>
                </w:tcPr>
                <w:p w14:paraId="427EBA50">
                  <w:pPr>
                    <w:keepNext w:val="0"/>
                    <w:keepLines w:val="0"/>
                    <w:widowControl/>
                    <w:suppressLineNumbers w:val="0"/>
                    <w:jc w:val="center"/>
                    <w:textAlignment w:val="center"/>
                    <w:rPr>
                      <w:rFonts w:hint="eastAsia" w:ascii="Times New Roman" w:hAnsi="Times New Roman" w:eastAsia="宋体" w:cs="Times New Roman"/>
                      <w:color w:val="auto"/>
                      <w:lang w:val="en-US" w:eastAsia="zh-CN"/>
                    </w:rPr>
                  </w:pPr>
                  <w:r>
                    <w:rPr>
                      <w:rFonts w:hint="eastAsia" w:cs="Times New Roman"/>
                      <w:i w:val="0"/>
                      <w:iCs w:val="0"/>
                      <w:color w:val="auto"/>
                      <w:kern w:val="0"/>
                      <w:sz w:val="21"/>
                      <w:szCs w:val="21"/>
                      <w:u w:val="none"/>
                      <w:lang w:val="en-US" w:eastAsia="zh-CN" w:bidi="ar"/>
                    </w:rPr>
                    <w:t>213</w:t>
                  </w:r>
                </w:p>
              </w:tc>
              <w:tc>
                <w:tcPr>
                  <w:tcW w:w="709" w:type="dxa"/>
                  <w:tcBorders>
                    <w:tl2br w:val="nil"/>
                    <w:tr2bl w:val="nil"/>
                  </w:tcBorders>
                  <w:vAlign w:val="center"/>
                </w:tcPr>
                <w:p w14:paraId="3DDF2EFB">
                  <w:pPr>
                    <w:jc w:val="center"/>
                    <w:rPr>
                      <w:rFonts w:hint="default" w:ascii="Times New Roman" w:hAnsi="Times New Roman" w:eastAsia="宋体" w:cs="Times New Roman"/>
                      <w:color w:val="auto"/>
                      <w:lang w:val="en-US" w:eastAsia="zh-CN"/>
                    </w:rPr>
                  </w:pPr>
                  <w:r>
                    <w:rPr>
                      <w:rFonts w:hint="eastAsia" w:cs="Times New Roman"/>
                      <w:color w:val="auto"/>
                      <w:lang w:val="en-US" w:eastAsia="zh-CN"/>
                    </w:rPr>
                    <w:t>9.03</w:t>
                  </w:r>
                </w:p>
              </w:tc>
              <w:tc>
                <w:tcPr>
                  <w:tcW w:w="918" w:type="dxa"/>
                  <w:tcBorders>
                    <w:tl2br w:val="nil"/>
                    <w:tr2bl w:val="nil"/>
                  </w:tcBorders>
                  <w:vAlign w:val="center"/>
                </w:tcPr>
                <w:p w14:paraId="00160D88">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eastAsia" w:cs="Times New Roman"/>
                      <w:i w:val="0"/>
                      <w:iCs w:val="0"/>
                      <w:color w:val="auto"/>
                      <w:kern w:val="0"/>
                      <w:sz w:val="21"/>
                      <w:szCs w:val="21"/>
                      <w:u w:val="none"/>
                      <w:lang w:val="en-US" w:eastAsia="zh-CN" w:bidi="ar"/>
                    </w:rPr>
                    <w:t>1923.82</w:t>
                  </w:r>
                </w:p>
              </w:tc>
              <w:tc>
                <w:tcPr>
                  <w:tcW w:w="764" w:type="dxa"/>
                  <w:tcBorders>
                    <w:tl2br w:val="nil"/>
                    <w:tr2bl w:val="nil"/>
                  </w:tcBorders>
                  <w:vAlign w:val="center"/>
                </w:tcPr>
                <w:p w14:paraId="7B006E25">
                  <w:pPr>
                    <w:jc w:val="center"/>
                    <w:rPr>
                      <w:rFonts w:hint="default" w:ascii="Times New Roman" w:hAnsi="Times New Roman" w:eastAsia="宋体" w:cs="Times New Roman"/>
                      <w:color w:val="auto"/>
                      <w:lang w:val="en-US" w:eastAsia="zh-CN"/>
                    </w:rPr>
                  </w:pPr>
                  <w:r>
                    <w:rPr>
                      <w:rFonts w:hint="eastAsia" w:cs="Times New Roman"/>
                      <w:color w:val="auto"/>
                      <w:lang w:val="en-US" w:eastAsia="zh-CN"/>
                    </w:rPr>
                    <w:t>9.53</w:t>
                  </w:r>
                </w:p>
              </w:tc>
              <w:tc>
                <w:tcPr>
                  <w:tcW w:w="918" w:type="dxa"/>
                  <w:tcBorders>
                    <w:tl2br w:val="nil"/>
                    <w:tr2bl w:val="nil"/>
                  </w:tcBorders>
                  <w:vAlign w:val="center"/>
                </w:tcPr>
                <w:p w14:paraId="416AFB40">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eastAsia" w:cs="Times New Roman"/>
                      <w:i w:val="0"/>
                      <w:iCs w:val="0"/>
                      <w:color w:val="auto"/>
                      <w:kern w:val="0"/>
                      <w:sz w:val="21"/>
                      <w:szCs w:val="21"/>
                      <w:u w:val="none"/>
                      <w:lang w:val="en-US" w:eastAsia="zh-CN" w:bidi="ar"/>
                    </w:rPr>
                    <w:t>2028.26</w:t>
                  </w:r>
                </w:p>
              </w:tc>
              <w:tc>
                <w:tcPr>
                  <w:tcW w:w="1441" w:type="dxa"/>
                  <w:tcBorders>
                    <w:tl2br w:val="nil"/>
                    <w:tr2bl w:val="nil"/>
                  </w:tcBorders>
                  <w:vAlign w:val="center"/>
                </w:tcPr>
                <w:p w14:paraId="0810745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w:t>
                  </w:r>
                </w:p>
              </w:tc>
            </w:tr>
            <w:tr w14:paraId="3BCEDEF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922" w:type="dxa"/>
                  <w:gridSpan w:val="10"/>
                  <w:tcBorders>
                    <w:tl2br w:val="nil"/>
                    <w:tr2bl w:val="nil"/>
                  </w:tcBorders>
                  <w:vAlign w:val="center"/>
                </w:tcPr>
                <w:p w14:paraId="01788E1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cs="Times New Roman"/>
                      <w:color w:val="FF0000"/>
                      <w:sz w:val="18"/>
                      <w:szCs w:val="18"/>
                      <w:highlight w:val="none"/>
                      <w:vertAlign w:val="baseline"/>
                      <w:lang w:val="en-US" w:eastAsia="zh-CN"/>
                    </w:rPr>
                  </w:pPr>
                  <w:r>
                    <w:rPr>
                      <w:rFonts w:hint="eastAsia" w:cs="Times New Roman"/>
                      <w:color w:val="auto"/>
                      <w:sz w:val="18"/>
                      <w:szCs w:val="18"/>
                      <w:highlight w:val="none"/>
                      <w:vertAlign w:val="baseline"/>
                      <w:lang w:val="en-US" w:eastAsia="zh-CN"/>
                    </w:rPr>
                    <w:t>注：*表示软化水</w:t>
                  </w:r>
                </w:p>
              </w:tc>
            </w:tr>
          </w:tbl>
          <w:p w14:paraId="3800219A"/>
          <w:tbl>
            <w:tblPr>
              <w:tblStyle w:val="21"/>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22"/>
            </w:tblGrid>
            <w:tr w14:paraId="19955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22" w:type="dxa"/>
                  <w:tcBorders>
                    <w:tl2br w:val="nil"/>
                    <w:tr2bl w:val="nil"/>
                  </w:tcBorders>
                </w:tcPr>
                <w:p w14:paraId="71BFE819">
                  <w:pPr>
                    <w:pStyle w:val="43"/>
                    <w:bidi w:val="0"/>
                    <w:ind w:left="0" w:leftChars="0" w:firstLine="0" w:firstLineChars="0"/>
                    <w:jc w:val="center"/>
                    <w:rPr>
                      <w:color w:val="FF0000"/>
                    </w:rPr>
                  </w:pPr>
                  <w:r>
                    <w:drawing>
                      <wp:inline distT="0" distB="0" distL="114300" distR="114300">
                        <wp:extent cx="5538470" cy="2324100"/>
                        <wp:effectExtent l="0" t="0" r="11430" b="0"/>
                        <wp:docPr id="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4"/>
                                <pic:cNvPicPr>
                                  <a:picLocks noChangeAspect="1"/>
                                </pic:cNvPicPr>
                              </pic:nvPicPr>
                              <pic:blipFill>
                                <a:blip r:embed="rId14"/>
                                <a:stretch>
                                  <a:fillRect/>
                                </a:stretch>
                              </pic:blipFill>
                              <pic:spPr>
                                <a:xfrm>
                                  <a:off x="0" y="0"/>
                                  <a:ext cx="5538470" cy="2324100"/>
                                </a:xfrm>
                                <a:prstGeom prst="rect">
                                  <a:avLst/>
                                </a:prstGeom>
                                <a:noFill/>
                                <a:ln>
                                  <a:noFill/>
                                </a:ln>
                              </pic:spPr>
                            </pic:pic>
                          </a:graphicData>
                        </a:graphic>
                      </wp:inline>
                    </w:drawing>
                  </w:r>
                </w:p>
              </w:tc>
            </w:tr>
            <w:tr w14:paraId="0D95F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22" w:type="dxa"/>
                  <w:tcBorders>
                    <w:tl2br w:val="nil"/>
                    <w:tr2bl w:val="nil"/>
                  </w:tcBorders>
                </w:tcPr>
                <w:p w14:paraId="43E88EB4">
                  <w:pPr>
                    <w:pStyle w:val="43"/>
                    <w:bidi w:val="0"/>
                    <w:spacing w:line="240" w:lineRule="auto"/>
                    <w:ind w:left="0" w:leftChars="0" w:firstLine="0" w:firstLineChars="0"/>
                    <w:jc w:val="center"/>
                    <w:rPr>
                      <w:rFonts w:hint="eastAsia"/>
                      <w:b/>
                      <w:bCs/>
                      <w:color w:val="FF0000"/>
                      <w:sz w:val="21"/>
                      <w:szCs w:val="21"/>
                      <w:highlight w:val="none"/>
                      <w:vertAlign w:val="baseline"/>
                      <w:lang w:val="en-US" w:eastAsia="zh-CN"/>
                    </w:rPr>
                  </w:pPr>
                  <w:r>
                    <w:rPr>
                      <w:rFonts w:hint="eastAsia"/>
                      <w:b/>
                      <w:bCs/>
                      <w:color w:val="000000" w:themeColor="text1"/>
                      <w:sz w:val="21"/>
                      <w:szCs w:val="21"/>
                      <w:highlight w:val="none"/>
                      <w:vertAlign w:val="baseline"/>
                      <w:lang w:val="en-US" w:eastAsia="zh-CN"/>
                      <w14:textFill>
                        <w14:solidFill>
                          <w14:schemeClr w14:val="tx1"/>
                        </w14:solidFill>
                      </w14:textFill>
                    </w:rPr>
                    <w:t>图2-1  水平衡图</w:t>
                  </w:r>
                </w:p>
              </w:tc>
            </w:tr>
          </w:tbl>
          <w:p w14:paraId="5B87E5EB">
            <w:pPr>
              <w:pStyle w:val="43"/>
              <w:keepNext w:val="0"/>
              <w:keepLines w:val="0"/>
              <w:pageBreakBefore w:val="0"/>
              <w:widowControl w:val="0"/>
              <w:numPr>
                <w:ilvl w:val="0"/>
                <w:numId w:val="0"/>
              </w:numPr>
              <w:kinsoku/>
              <w:wordWrap/>
              <w:overflowPunct/>
              <w:topLinePunct w:val="0"/>
              <w:autoSpaceDE/>
              <w:autoSpaceDN/>
              <w:bidi w:val="0"/>
              <w:adjustRightInd/>
              <w:snapToGrid/>
              <w:spacing w:before="157" w:beforeLines="50"/>
              <w:ind w:firstLine="480" w:firstLineChars="200"/>
              <w:textAlignment w:val="auto"/>
              <w:rPr>
                <w:rFonts w:hint="eastAsia" w:cs="Times New Roman"/>
                <w:color w:val="000000" w:themeColor="text1"/>
                <w:kern w:val="0"/>
                <w:sz w:val="24"/>
                <w:szCs w:val="24"/>
                <w:highlight w:val="none"/>
                <w:lang w:val="en-US" w:eastAsia="zh-CN"/>
                <w14:textFill>
                  <w14:solidFill>
                    <w14:schemeClr w14:val="tx1"/>
                  </w14:solidFill>
                </w14:textFill>
              </w:rPr>
            </w:pPr>
            <w:r>
              <w:rPr>
                <w:rFonts w:hint="eastAsia" w:cs="Times New Roman"/>
                <w:color w:val="000000" w:themeColor="text1"/>
                <w:kern w:val="0"/>
                <w:sz w:val="24"/>
                <w:szCs w:val="24"/>
                <w:highlight w:val="none"/>
                <w:lang w:val="en-US" w:eastAsia="zh-CN"/>
                <w14:textFill>
                  <w14:solidFill>
                    <w14:schemeClr w14:val="tx1"/>
                  </w14:solidFill>
                </w14:textFill>
              </w:rPr>
              <w:t>（四）采暖工程</w:t>
            </w:r>
          </w:p>
          <w:p w14:paraId="7BED0C75">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default" w:ascii="Times New Roman" w:hAnsi="Times New Roman" w:eastAsia="宋体" w:cs="Times New Roman"/>
                <w:color w:val="FF0000"/>
                <w:kern w:val="2"/>
                <w:sz w:val="24"/>
                <w:szCs w:val="24"/>
                <w:highlight w:val="none"/>
                <w:lang w:val="en-US" w:eastAsia="zh-CN" w:bidi="ar-SA"/>
              </w:rPr>
            </w:pPr>
            <w:r>
              <w:rPr>
                <w:rFonts w:hint="eastAsia" w:cs="Times New Roman"/>
                <w:color w:val="000000" w:themeColor="text1"/>
                <w:kern w:val="2"/>
                <w:sz w:val="24"/>
                <w:szCs w:val="24"/>
                <w:highlight w:val="none"/>
                <w:lang w:val="en-US" w:eastAsia="zh-CN" w:bidi="ar-SA"/>
                <w14:textFill>
                  <w14:solidFill>
                    <w14:schemeClr w14:val="tx1"/>
                  </w14:solidFill>
                </w14:textFill>
              </w:rPr>
              <w:t>项目设置2台</w:t>
            </w:r>
            <w:r>
              <w:rPr>
                <w:rFonts w:hint="eastAsia" w:ascii="Times New Roman" w:hAnsi="Times New Roman" w:cs="Times New Roman"/>
                <w:color w:val="auto"/>
                <w:sz w:val="24"/>
                <w:szCs w:val="24"/>
                <w:vertAlign w:val="baseline"/>
                <w:lang w:val="en-US" w:eastAsia="zh-CN"/>
              </w:rPr>
              <w:t>5.6MW生物质承压热水锅炉，一用一备，实际运行一台锅炉，备用锅炉仅在生产锅炉停运期间使用。</w:t>
            </w:r>
            <w:r>
              <w:rPr>
                <w:rFonts w:hint="eastAsia" w:cs="Times New Roman"/>
                <w:color w:val="000000" w:themeColor="text1"/>
                <w:kern w:val="2"/>
                <w:sz w:val="24"/>
                <w:szCs w:val="24"/>
                <w:highlight w:val="none"/>
                <w:lang w:val="en-US" w:eastAsia="zh-CN" w:bidi="ar-SA"/>
                <w14:textFill>
                  <w14:solidFill>
                    <w14:schemeClr w14:val="tx1"/>
                  </w14:solidFill>
                </w14:textFill>
              </w:rPr>
              <w:t>供热热源为1台</w:t>
            </w:r>
            <w:r>
              <w:rPr>
                <w:rFonts w:hint="eastAsia" w:ascii="Times New Roman" w:hAnsi="Times New Roman" w:cs="Times New Roman"/>
                <w:color w:val="auto"/>
                <w:sz w:val="24"/>
                <w:szCs w:val="24"/>
                <w:vertAlign w:val="baseline"/>
                <w:lang w:val="en-US" w:eastAsia="zh-CN"/>
              </w:rPr>
              <w:t>5.6</w:t>
            </w:r>
            <w:r>
              <w:rPr>
                <w:rFonts w:hint="eastAsia" w:ascii="Times New Roman" w:hAnsi="Times New Roman" w:cs="Times New Roman"/>
                <w:color w:val="000000" w:themeColor="text1"/>
                <w:sz w:val="24"/>
                <w:szCs w:val="24"/>
                <w:vertAlign w:val="baseline"/>
                <w:lang w:val="en-US" w:eastAsia="zh-CN"/>
                <w14:textFill>
                  <w14:solidFill>
                    <w14:schemeClr w14:val="tx1"/>
                  </w14:solidFill>
                </w14:textFill>
              </w:rPr>
              <w:t>MW生物质承压热水锅炉</w:t>
            </w:r>
            <w:r>
              <w:rPr>
                <w:rFonts w:hint="eastAsia" w:cs="Times New Roman"/>
                <w:b w:val="0"/>
                <w:bCs/>
                <w:color w:val="000000" w:themeColor="text1"/>
                <w:sz w:val="24"/>
                <w:szCs w:val="24"/>
                <w:highlight w:val="none"/>
                <w:lang w:val="en-US" w:eastAsia="zh-CN"/>
                <w14:textFill>
                  <w14:solidFill>
                    <w14:schemeClr w14:val="tx1"/>
                  </w14:solidFill>
                </w14:textFill>
              </w:rPr>
              <w:t>，燃料为生物质成型颗粒燃料。</w:t>
            </w:r>
          </w:p>
          <w:p w14:paraId="5C06CB64">
            <w:pPr>
              <w:pStyle w:val="43"/>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cs="Times New Roman"/>
                <w:color w:val="000000" w:themeColor="text1"/>
                <w:kern w:val="0"/>
                <w:sz w:val="24"/>
                <w:szCs w:val="24"/>
                <w:highlight w:val="none"/>
                <w:lang w:val="en-US" w:eastAsia="zh-CN"/>
                <w14:textFill>
                  <w14:solidFill>
                    <w14:schemeClr w14:val="tx1"/>
                  </w14:solidFill>
                </w14:textFill>
              </w:rPr>
            </w:pPr>
            <w:r>
              <w:rPr>
                <w:rFonts w:hint="eastAsia" w:cs="Times New Roman"/>
                <w:color w:val="000000" w:themeColor="text1"/>
                <w:kern w:val="0"/>
                <w:sz w:val="24"/>
                <w:szCs w:val="24"/>
                <w:highlight w:val="none"/>
                <w:lang w:val="en-US" w:eastAsia="zh-CN"/>
                <w14:textFill>
                  <w14:solidFill>
                    <w14:schemeClr w14:val="tx1"/>
                  </w14:solidFill>
                </w14:textFill>
              </w:rPr>
              <w:t>（五）供电工程</w:t>
            </w:r>
          </w:p>
          <w:p w14:paraId="531D424E">
            <w:pPr>
              <w:pStyle w:val="43"/>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cs="Times New Roman"/>
                <w:color w:val="000000" w:themeColor="text1"/>
                <w:kern w:val="0"/>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项目供电由市政电网供给</w:t>
            </w:r>
            <w:r>
              <w:rPr>
                <w:rFonts w:hint="eastAsia" w:cs="Times New Roman"/>
                <w:color w:val="000000" w:themeColor="text1"/>
                <w:kern w:val="0"/>
                <w:sz w:val="24"/>
                <w:szCs w:val="24"/>
                <w:highlight w:val="none"/>
                <w:lang w:val="en-US" w:eastAsia="zh-CN"/>
                <w14:textFill>
                  <w14:solidFill>
                    <w14:schemeClr w14:val="tx1"/>
                  </w14:solidFill>
                </w14:textFill>
              </w:rPr>
              <w:t>。</w:t>
            </w:r>
          </w:p>
          <w:p w14:paraId="0A358126">
            <w:pPr>
              <w:pStyle w:val="43"/>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cs="Times New Roman"/>
                <w:color w:val="000000" w:themeColor="text1"/>
                <w:kern w:val="0"/>
                <w:sz w:val="24"/>
                <w:szCs w:val="24"/>
                <w:highlight w:val="none"/>
                <w:lang w:val="en-US" w:eastAsia="zh-CN"/>
                <w14:textFill>
                  <w14:solidFill>
                    <w14:schemeClr w14:val="tx1"/>
                  </w14:solidFill>
                </w14:textFill>
              </w:rPr>
            </w:pPr>
            <w:r>
              <w:rPr>
                <w:rFonts w:hint="eastAsia" w:cs="Times New Roman"/>
                <w:color w:val="000000" w:themeColor="text1"/>
                <w:kern w:val="0"/>
                <w:sz w:val="24"/>
                <w:szCs w:val="24"/>
                <w:highlight w:val="none"/>
                <w:lang w:val="en-US" w:eastAsia="zh-CN"/>
                <w14:textFill>
                  <w14:solidFill>
                    <w14:schemeClr w14:val="tx1"/>
                  </w14:solidFill>
                </w14:textFill>
              </w:rPr>
              <w:t>（六）管网工程</w:t>
            </w:r>
          </w:p>
          <w:p w14:paraId="315E8DA6">
            <w:pPr>
              <w:pStyle w:val="45"/>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eastAsia" w:cs="Times New Roman"/>
                <w:color w:val="auto"/>
                <w:kern w:val="0"/>
                <w:sz w:val="24"/>
                <w:szCs w:val="24"/>
                <w:highlight w:val="none"/>
                <w:lang w:val="en-US" w:eastAsia="zh-CN"/>
              </w:rPr>
            </w:pPr>
            <w:r>
              <w:rPr>
                <w:rFonts w:hint="eastAsia" w:ascii="Times New Roman" w:hAnsi="Times New Roman" w:cs="Times New Roman"/>
                <w:color w:val="auto"/>
                <w:sz w:val="24"/>
                <w:szCs w:val="24"/>
                <w:highlight w:val="none"/>
                <w:lang w:val="en-US" w:eastAsia="zh-CN"/>
              </w:rPr>
              <w:t>新建采暖供回水主干管道</w:t>
            </w:r>
            <w:r>
              <w:rPr>
                <w:rFonts w:hint="eastAsia" w:cs="Times New Roman"/>
                <w:color w:val="auto"/>
                <w:kern w:val="0"/>
                <w:sz w:val="24"/>
                <w:szCs w:val="24"/>
                <w:highlight w:val="none"/>
                <w:lang w:val="en-US" w:eastAsia="zh-CN"/>
              </w:rPr>
              <w:t>由厂区锅炉房北侧引出，沿着锅炉房东侧向厂区南侧引出厂区，供热管线从南侧厂界外向东侧、向南道接入现有供热主干管，沿着赫真路、满洲路、龙江路至住宅楼及别墅区，11栋住宅楼和9栋别墅合计供热面积约30000m</w:t>
            </w:r>
            <w:r>
              <w:rPr>
                <w:rFonts w:hint="eastAsia" w:cs="Times New Roman"/>
                <w:color w:val="auto"/>
                <w:kern w:val="0"/>
                <w:sz w:val="24"/>
                <w:szCs w:val="24"/>
                <w:highlight w:val="none"/>
                <w:vertAlign w:val="superscript"/>
                <w:lang w:val="en-US" w:eastAsia="zh-CN"/>
              </w:rPr>
              <w:t>2</w:t>
            </w:r>
            <w:r>
              <w:rPr>
                <w:rFonts w:hint="eastAsia" w:cs="Times New Roman"/>
                <w:color w:val="auto"/>
                <w:kern w:val="0"/>
                <w:sz w:val="24"/>
                <w:szCs w:val="24"/>
                <w:highlight w:val="none"/>
                <w:lang w:val="en-US" w:eastAsia="zh-CN"/>
              </w:rPr>
              <w:t>。采暖供回水管道走向见图2-2。</w:t>
            </w:r>
          </w:p>
          <w:p w14:paraId="5D8D91EB">
            <w:pPr>
              <w:pStyle w:val="45"/>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eastAsia" w:cs="Times New Roman"/>
                <w:color w:val="auto"/>
                <w:kern w:val="0"/>
                <w:sz w:val="24"/>
                <w:szCs w:val="24"/>
                <w:highlight w:val="none"/>
                <w:lang w:val="en-US" w:eastAsia="zh-CN"/>
              </w:rPr>
            </w:pPr>
          </w:p>
          <w:p w14:paraId="6FC0CF3D">
            <w:pPr>
              <w:pStyle w:val="45"/>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eastAsia" w:cs="Times New Roman"/>
                <w:color w:val="auto"/>
                <w:kern w:val="0"/>
                <w:sz w:val="24"/>
                <w:szCs w:val="24"/>
                <w:highlight w:val="none"/>
                <w:lang w:val="en-US" w:eastAsia="zh-CN"/>
              </w:rPr>
            </w:pPr>
          </w:p>
          <w:p w14:paraId="72DD7978">
            <w:pPr>
              <w:pStyle w:val="45"/>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eastAsia" w:cs="Times New Roman"/>
                <w:color w:val="auto"/>
                <w:kern w:val="0"/>
                <w:sz w:val="24"/>
                <w:szCs w:val="24"/>
                <w:highlight w:val="none"/>
                <w:lang w:val="en-US" w:eastAsia="zh-CN"/>
              </w:rPr>
            </w:pPr>
          </w:p>
          <w:p w14:paraId="5C104364">
            <w:pPr>
              <w:pStyle w:val="45"/>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eastAsia" w:cs="Times New Roman"/>
                <w:color w:val="auto"/>
                <w:kern w:val="0"/>
                <w:sz w:val="24"/>
                <w:szCs w:val="24"/>
                <w:highlight w:val="none"/>
                <w:lang w:val="en-US" w:eastAsia="zh-CN"/>
              </w:rPr>
            </w:pPr>
          </w:p>
          <w:p w14:paraId="35ED5F88">
            <w:pPr>
              <w:pStyle w:val="45"/>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eastAsia" w:cs="Times New Roman"/>
                <w:color w:val="auto"/>
                <w:kern w:val="0"/>
                <w:sz w:val="24"/>
                <w:szCs w:val="24"/>
                <w:highlight w:val="none"/>
                <w:lang w:val="en-US" w:eastAsia="zh-CN"/>
              </w:rPr>
            </w:pPr>
          </w:p>
          <w:p w14:paraId="2F1662AD">
            <w:pPr>
              <w:pStyle w:val="45"/>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eastAsia" w:cs="Times New Roman"/>
                <w:color w:val="auto"/>
                <w:kern w:val="0"/>
                <w:sz w:val="24"/>
                <w:szCs w:val="24"/>
                <w:highlight w:val="none"/>
                <w:lang w:val="en-US" w:eastAsia="zh-CN"/>
              </w:rPr>
            </w:pPr>
          </w:p>
          <w:p w14:paraId="05249368">
            <w:pPr>
              <w:pStyle w:val="45"/>
              <w:keepNext w:val="0"/>
              <w:keepLines w:val="0"/>
              <w:pageBreakBefore w:val="0"/>
              <w:widowControl w:val="0"/>
              <w:kinsoku/>
              <w:wordWrap/>
              <w:overflowPunct/>
              <w:topLinePunct w:val="0"/>
              <w:autoSpaceDE/>
              <w:autoSpaceDN/>
              <w:bidi w:val="0"/>
              <w:adjustRightInd/>
              <w:snapToGrid/>
              <w:spacing w:before="157" w:beforeLines="50"/>
              <w:ind w:firstLine="480" w:firstLineChars="200"/>
              <w:textAlignment w:val="auto"/>
              <w:rPr>
                <w:rFonts w:hint="default" w:cs="Times New Roman"/>
                <w:color w:val="auto"/>
                <w:kern w:val="0"/>
                <w:sz w:val="24"/>
                <w:szCs w:val="24"/>
                <w:highlight w:val="none"/>
                <w:lang w:val="en-US" w:eastAsia="zh-CN"/>
              </w:rPr>
            </w:pPr>
          </w:p>
          <w:tbl>
            <w:tblPr>
              <w:tblStyle w:val="21"/>
              <w:tblW w:w="892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7"/>
            </w:tblGrid>
            <w:tr w14:paraId="658D1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27" w:type="dxa"/>
                  <w:tcBorders>
                    <w:top w:val="nil"/>
                    <w:left w:val="nil"/>
                    <w:bottom w:val="nil"/>
                    <w:right w:val="nil"/>
                  </w:tcBorders>
                  <w:vAlign w:val="center"/>
                </w:tcPr>
                <w:p w14:paraId="278C80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z w:val="21"/>
                      <w:szCs w:val="21"/>
                      <w:vertAlign w:val="baseline"/>
                      <w:lang w:val="en-US" w:eastAsia="zh-CN"/>
                    </w:rPr>
                  </w:pPr>
                  <w:r>
                    <w:rPr>
                      <w:rFonts w:hint="eastAsia"/>
                      <w:sz w:val="21"/>
                      <w:szCs w:val="21"/>
                      <w:vertAlign w:val="baseline"/>
                      <w:lang w:val="en-US" w:eastAsia="zh-CN"/>
                    </w:rPr>
                    <w:drawing>
                      <wp:inline distT="0" distB="0" distL="114300" distR="114300">
                        <wp:extent cx="5529580" cy="3874135"/>
                        <wp:effectExtent l="0" t="0" r="7620" b="12065"/>
                        <wp:docPr id="22" name="图片 22" descr="69b37d34e572664d3d77d84020caf3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69b37d34e572664d3d77d84020caf3a4"/>
                                <pic:cNvPicPr>
                                  <a:picLocks noChangeAspect="1"/>
                                </pic:cNvPicPr>
                              </pic:nvPicPr>
                              <pic:blipFill>
                                <a:blip r:embed="rId15"/>
                                <a:stretch>
                                  <a:fillRect/>
                                </a:stretch>
                              </pic:blipFill>
                              <pic:spPr>
                                <a:xfrm>
                                  <a:off x="0" y="0"/>
                                  <a:ext cx="5529580" cy="3874135"/>
                                </a:xfrm>
                                <a:prstGeom prst="rect">
                                  <a:avLst/>
                                </a:prstGeom>
                              </pic:spPr>
                            </pic:pic>
                          </a:graphicData>
                        </a:graphic>
                      </wp:inline>
                    </w:drawing>
                  </w:r>
                </w:p>
              </w:tc>
            </w:tr>
            <w:tr w14:paraId="5F3D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927" w:type="dxa"/>
                  <w:tcBorders>
                    <w:top w:val="nil"/>
                    <w:left w:val="nil"/>
                    <w:bottom w:val="nil"/>
                    <w:right w:val="nil"/>
                  </w:tcBorders>
                  <w:vAlign w:val="center"/>
                </w:tcPr>
                <w:p w14:paraId="2AA26D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bCs/>
                      <w:lang w:val="en-US" w:eastAsia="zh-CN"/>
                    </w:rPr>
                  </w:pPr>
                  <w:r>
                    <w:rPr>
                      <w:rFonts w:hint="eastAsia"/>
                      <w:b/>
                      <w:bCs/>
                      <w:lang w:val="en-US" w:eastAsia="zh-CN"/>
                    </w:rPr>
                    <w:t>图2-2  采暖供回水管道走向图</w:t>
                  </w:r>
                </w:p>
              </w:tc>
            </w:tr>
          </w:tbl>
          <w:p w14:paraId="3AFEE8C6">
            <w:pPr>
              <w:pStyle w:val="45"/>
              <w:keepNext w:val="0"/>
              <w:keepLines w:val="0"/>
              <w:pageBreakBefore w:val="0"/>
              <w:widowControl w:val="0"/>
              <w:kinsoku/>
              <w:wordWrap/>
              <w:overflowPunct/>
              <w:topLinePunct w:val="0"/>
              <w:autoSpaceDE/>
              <w:autoSpaceDN/>
              <w:bidi w:val="0"/>
              <w:adjustRightInd/>
              <w:snapToGrid/>
              <w:spacing w:before="157" w:beforeLines="50"/>
              <w:ind w:firstLine="482" w:firstLineChars="200"/>
              <w:textAlignment w:val="auto"/>
              <w:rPr>
                <w:rFonts w:hint="eastAsia" w:ascii="宋体" w:hAnsi="宋体" w:cs="宋体"/>
                <w:b/>
                <w:bCs/>
                <w:color w:val="000000" w:themeColor="text1"/>
                <w:kern w:val="0"/>
                <w:highlight w:val="none"/>
                <w14:textFill>
                  <w14:solidFill>
                    <w14:schemeClr w14:val="tx1"/>
                  </w14:solidFill>
                </w14:textFill>
              </w:rPr>
            </w:pPr>
            <w:r>
              <w:rPr>
                <w:rFonts w:hint="eastAsia" w:ascii="宋体" w:hAnsi="宋体" w:cs="宋体"/>
                <w:b/>
                <w:bCs/>
                <w:color w:val="000000" w:themeColor="text1"/>
                <w:kern w:val="0"/>
                <w:highlight w:val="none"/>
                <w:lang w:val="en-US" w:eastAsia="zh-CN"/>
                <w14:textFill>
                  <w14:solidFill>
                    <w14:schemeClr w14:val="tx1"/>
                  </w14:solidFill>
                </w14:textFill>
              </w:rPr>
              <w:t>六</w:t>
            </w:r>
            <w:r>
              <w:rPr>
                <w:rFonts w:hint="eastAsia" w:ascii="宋体" w:hAnsi="宋体" w:cs="宋体"/>
                <w:b/>
                <w:bCs/>
                <w:color w:val="000000" w:themeColor="text1"/>
                <w:kern w:val="0"/>
                <w:highlight w:val="none"/>
                <w14:textFill>
                  <w14:solidFill>
                    <w14:schemeClr w14:val="tx1"/>
                  </w14:solidFill>
                </w14:textFill>
              </w:rPr>
              <w:t>、项目总平面布置</w:t>
            </w:r>
          </w:p>
          <w:p w14:paraId="5F280F7F">
            <w:pPr>
              <w:pStyle w:val="43"/>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cs="Times New Roman"/>
                <w:color w:val="000000" w:themeColor="text1"/>
                <w:kern w:val="0"/>
                <w:sz w:val="24"/>
                <w:szCs w:val="24"/>
                <w:highlight w:val="none"/>
                <w:u w:val="none"/>
                <w:lang w:val="en-US" w:eastAsia="zh-CN"/>
                <w14:textFill>
                  <w14:solidFill>
                    <w14:schemeClr w14:val="tx1"/>
                  </w14:solidFill>
                </w14:textFill>
              </w:rPr>
            </w:pPr>
            <w:r>
              <w:rPr>
                <w:rFonts w:hint="eastAsia" w:ascii="Times New Roman" w:hAnsi="Times New Roman" w:cs="Times New Roman"/>
                <w:color w:val="000000" w:themeColor="text1"/>
                <w:kern w:val="0"/>
                <w:sz w:val="24"/>
                <w:szCs w:val="24"/>
                <w:highlight w:val="none"/>
                <w:u w:val="none"/>
                <w:lang w:val="en-US" w:eastAsia="zh-CN"/>
                <w14:textFill>
                  <w14:solidFill>
                    <w14:schemeClr w14:val="tx1"/>
                  </w14:solidFill>
                </w14:textFill>
              </w:rPr>
              <w:t>项目位于</w:t>
            </w:r>
            <w:r>
              <w:rPr>
                <w:rFonts w:hint="default" w:ascii="Times New Roman" w:hAnsi="Times New Roman" w:cs="Times New Roman"/>
                <w:color w:val="000000" w:themeColor="text1"/>
                <w:kern w:val="0"/>
                <w:sz w:val="24"/>
                <w:szCs w:val="24"/>
                <w:highlight w:val="none"/>
                <w:u w:val="none"/>
                <w:lang w:val="en-US" w:eastAsia="zh-CN"/>
                <w14:textFill>
                  <w14:solidFill>
                    <w14:schemeClr w14:val="tx1"/>
                  </w14:solidFill>
                </w14:textFill>
              </w:rPr>
              <w:t>黑龙江省</w:t>
            </w:r>
            <w:r>
              <w:rPr>
                <w:rFonts w:hint="eastAsia" w:cs="Times New Roman"/>
                <w:color w:val="000000" w:themeColor="text1"/>
                <w:kern w:val="0"/>
                <w:sz w:val="24"/>
                <w:szCs w:val="24"/>
                <w:highlight w:val="none"/>
                <w:u w:val="none"/>
                <w:lang w:val="en-US" w:eastAsia="zh-CN"/>
                <w14:textFill>
                  <w14:solidFill>
                    <w14:schemeClr w14:val="tx1"/>
                  </w14:solidFill>
                </w14:textFill>
              </w:rPr>
              <w:t>双鸭山</w:t>
            </w:r>
            <w:r>
              <w:rPr>
                <w:rFonts w:hint="default" w:ascii="Times New Roman" w:hAnsi="Times New Roman" w:cs="Times New Roman"/>
                <w:color w:val="000000" w:themeColor="text1"/>
                <w:kern w:val="0"/>
                <w:sz w:val="24"/>
                <w:szCs w:val="24"/>
                <w:highlight w:val="none"/>
                <w:u w:val="none"/>
                <w:lang w:val="en-US" w:eastAsia="zh-CN"/>
                <w14:textFill>
                  <w14:solidFill>
                    <w14:schemeClr w14:val="tx1"/>
                  </w14:solidFill>
                </w14:textFill>
              </w:rPr>
              <w:t>市</w:t>
            </w:r>
            <w:r>
              <w:rPr>
                <w:rFonts w:hint="eastAsia" w:ascii="Times New Roman" w:hAnsi="Times New Roman" w:cs="Times New Roman"/>
                <w:color w:val="000000" w:themeColor="text1"/>
                <w:kern w:val="0"/>
                <w:sz w:val="24"/>
                <w:szCs w:val="24"/>
                <w:highlight w:val="none"/>
                <w:u w:val="none"/>
                <w:lang w:val="en-US" w:eastAsia="zh-CN"/>
                <w14:textFill>
                  <w14:solidFill>
                    <w14:schemeClr w14:val="tx1"/>
                  </w14:solidFill>
                </w14:textFill>
              </w:rPr>
              <w:t>饶河</w:t>
            </w:r>
            <w:r>
              <w:rPr>
                <w:rFonts w:hint="default" w:ascii="Times New Roman" w:hAnsi="Times New Roman" w:cs="Times New Roman"/>
                <w:color w:val="000000" w:themeColor="text1"/>
                <w:kern w:val="0"/>
                <w:sz w:val="24"/>
                <w:szCs w:val="24"/>
                <w:highlight w:val="none"/>
                <w:u w:val="none"/>
                <w:lang w:val="en-US" w:eastAsia="zh-CN"/>
                <w14:textFill>
                  <w14:solidFill>
                    <w14:schemeClr w14:val="tx1"/>
                  </w14:solidFill>
                </w14:textFill>
              </w:rPr>
              <w:t>县</w:t>
            </w:r>
            <w:r>
              <w:rPr>
                <w:rFonts w:hint="eastAsia" w:ascii="Times New Roman" w:hAnsi="Times New Roman" w:cs="Times New Roman"/>
                <w:color w:val="000000" w:themeColor="text1"/>
                <w:kern w:val="0"/>
                <w:sz w:val="24"/>
                <w:szCs w:val="24"/>
                <w:highlight w:val="none"/>
                <w:u w:val="none"/>
                <w:lang w:val="en-US" w:eastAsia="zh-CN"/>
                <w14:textFill>
                  <w14:solidFill>
                    <w14:schemeClr w14:val="tx1"/>
                  </w14:solidFill>
                </w14:textFill>
              </w:rPr>
              <w:t>四排乡四排村，用地现状为建设用地，现状已开发，东侧为空地，南侧为停车场，西、北侧为</w:t>
            </w:r>
            <w:r>
              <w:rPr>
                <w:rFonts w:hint="eastAsia" w:cs="Times New Roman"/>
                <w:color w:val="auto"/>
                <w:kern w:val="2"/>
                <w:sz w:val="24"/>
                <w:szCs w:val="24"/>
                <w:highlight w:val="none"/>
                <w:u w:val="none"/>
                <w:lang w:val="en-US" w:eastAsia="zh-CN" w:bidi="ar-SA"/>
              </w:rPr>
              <w:t>沼泽地</w:t>
            </w:r>
            <w:r>
              <w:rPr>
                <w:rFonts w:hint="eastAsia" w:ascii="Times New Roman" w:hAnsi="Times New Roman" w:cs="Times New Roman"/>
                <w:color w:val="000000" w:themeColor="text1"/>
                <w:kern w:val="0"/>
                <w:sz w:val="24"/>
                <w:szCs w:val="24"/>
                <w:highlight w:val="none"/>
                <w:u w:val="none"/>
                <w:lang w:val="en-US" w:eastAsia="zh-CN"/>
                <w14:textFill>
                  <w14:solidFill>
                    <w14:schemeClr w14:val="tx1"/>
                  </w14:solidFill>
                </w14:textFill>
              </w:rPr>
              <w:t>，厂区内建筑物为锅炉房、综合用房，锅炉房布置于西北侧、综合用房布置于东北侧，厂区出入口位于厂区东侧，厂区道路从出入口沿厂区南侧至西南角处隐形回车场，综合用房南侧约10</w:t>
            </w:r>
            <w:r>
              <w:rPr>
                <w:rFonts w:hint="eastAsia" w:cs="Times New Roman"/>
                <w:color w:val="000000" w:themeColor="text1"/>
                <w:kern w:val="0"/>
                <w:sz w:val="24"/>
                <w:szCs w:val="24"/>
                <w:highlight w:val="none"/>
                <w:u w:val="none"/>
                <w:lang w:val="en-US" w:eastAsia="zh-CN"/>
                <w14:textFill>
                  <w14:solidFill>
                    <w14:schemeClr w14:val="tx1"/>
                  </w14:solidFill>
                </w14:textFill>
              </w:rPr>
              <w:t>m</w:t>
            </w:r>
            <w:r>
              <w:rPr>
                <w:rFonts w:hint="eastAsia" w:ascii="Times New Roman" w:hAnsi="Times New Roman" w:cs="Times New Roman"/>
                <w:color w:val="000000" w:themeColor="text1"/>
                <w:kern w:val="0"/>
                <w:sz w:val="24"/>
                <w:szCs w:val="24"/>
                <w:highlight w:val="none"/>
                <w:u w:val="none"/>
                <w:lang w:val="en-US" w:eastAsia="zh-CN"/>
                <w14:textFill>
                  <w14:solidFill>
                    <w14:schemeClr w14:val="tx1"/>
                  </w14:solidFill>
                </w14:textFill>
              </w:rPr>
              <w:t>处设置2个机动车停车位，机动车停车位东侧相邻为非机动车停车位，共设15个非机动车停车位，</w:t>
            </w:r>
            <w:r>
              <w:rPr>
                <w:rFonts w:hint="default" w:ascii="Times New Roman" w:hAnsi="Times New Roman" w:eastAsia="宋体" w:cs="Times New Roman"/>
                <w:color w:val="000000" w:themeColor="text1"/>
                <w:sz w:val="24"/>
                <w:highlight w:val="none"/>
                <w:lang w:val="zh-CN" w:eastAsia="zh-CN"/>
                <w14:textFill>
                  <w14:solidFill>
                    <w14:schemeClr w14:val="tx1"/>
                  </w14:solidFill>
                </w14:textFill>
              </w:rPr>
              <w:t>项目平面布置功能分区合理，</w:t>
            </w:r>
            <w:r>
              <w:rPr>
                <w:rFonts w:hint="eastAsia" w:cs="Times New Roman"/>
                <w:color w:val="000000" w:themeColor="text1"/>
                <w:sz w:val="24"/>
                <w:highlight w:val="none"/>
                <w:lang w:val="en-US" w:eastAsia="zh-CN"/>
                <w14:textFill>
                  <w14:solidFill>
                    <w14:schemeClr w14:val="tx1"/>
                  </w14:solidFill>
                </w14:textFill>
              </w:rPr>
              <w:t>各</w:t>
            </w:r>
            <w:r>
              <w:rPr>
                <w:rFonts w:hint="default" w:ascii="Times New Roman" w:hAnsi="Times New Roman" w:eastAsia="宋体" w:cs="Times New Roman"/>
                <w:color w:val="000000" w:themeColor="text1"/>
                <w:sz w:val="24"/>
                <w:highlight w:val="none"/>
                <w:lang w:val="zh-CN" w:eastAsia="zh-CN"/>
                <w14:textFill>
                  <w14:solidFill>
                    <w14:schemeClr w14:val="tx1"/>
                  </w14:solidFill>
                </w14:textFill>
              </w:rPr>
              <w:t>建筑物布置均满足</w:t>
            </w:r>
            <w:r>
              <w:rPr>
                <w:rFonts w:hint="eastAsia" w:cs="Times New Roman"/>
                <w:color w:val="000000" w:themeColor="text1"/>
                <w:sz w:val="24"/>
                <w:highlight w:val="none"/>
                <w:lang w:val="en-US" w:eastAsia="zh-CN"/>
                <w14:textFill>
                  <w14:solidFill>
                    <w14:schemeClr w14:val="tx1"/>
                  </w14:solidFill>
                </w14:textFill>
              </w:rPr>
              <w:t>需求</w:t>
            </w:r>
            <w:r>
              <w:rPr>
                <w:rFonts w:hint="default" w:ascii="Times New Roman" w:hAnsi="Times New Roman" w:eastAsia="宋体" w:cs="Times New Roman"/>
                <w:color w:val="000000" w:themeColor="text1"/>
                <w:sz w:val="24"/>
                <w:highlight w:val="none"/>
                <w:lang w:val="zh-CN" w:eastAsia="zh-CN"/>
                <w14:textFill>
                  <w14:solidFill>
                    <w14:schemeClr w14:val="tx1"/>
                  </w14:solidFill>
                </w14:textFill>
              </w:rPr>
              <w:t>。项目所在地道路系统完善，</w:t>
            </w:r>
            <w:r>
              <w:rPr>
                <w:rFonts w:hint="eastAsia" w:ascii="Times New Roman" w:hAnsi="Times New Roman" w:cs="Times New Roman"/>
                <w:color w:val="000000" w:themeColor="text1"/>
                <w:sz w:val="24"/>
                <w:highlight w:val="none"/>
                <w:lang w:val="en-US" w:eastAsia="zh-CN"/>
                <w14:textFill>
                  <w14:solidFill>
                    <w14:schemeClr w14:val="tx1"/>
                  </w14:solidFill>
                </w14:textFill>
              </w:rPr>
              <w:t>有利于项目运行。</w:t>
            </w:r>
            <w:r>
              <w:rPr>
                <w:rFonts w:hint="default" w:ascii="Times New Roman" w:hAnsi="Times New Roman" w:eastAsia="宋体" w:cs="Times New Roman"/>
                <w:color w:val="000000" w:themeColor="text1"/>
                <w:sz w:val="24"/>
                <w:highlight w:val="none"/>
                <w:lang w:val="zh-CN" w:eastAsia="zh-CN"/>
                <w14:textFill>
                  <w14:solidFill>
                    <w14:schemeClr w14:val="tx1"/>
                  </w14:solidFill>
                </w14:textFill>
              </w:rPr>
              <w:t>因此，本项目平面布置合理</w:t>
            </w:r>
            <w:r>
              <w:rPr>
                <w:rFonts w:hint="eastAsia" w:cs="Times New Roman"/>
                <w:color w:val="000000" w:themeColor="text1"/>
                <w:kern w:val="0"/>
                <w:sz w:val="24"/>
                <w:szCs w:val="24"/>
                <w:highlight w:val="none"/>
                <w:u w:val="none"/>
                <w:lang w:val="en-US" w:eastAsia="zh-CN"/>
                <w14:textFill>
                  <w14:solidFill>
                    <w14:schemeClr w14:val="tx1"/>
                  </w14:solidFill>
                </w14:textFill>
              </w:rPr>
              <w:t>。</w:t>
            </w:r>
          </w:p>
          <w:p w14:paraId="0AFDFA2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cs="Times New Roman"/>
                <w:b/>
                <w:bCs/>
                <w:color w:val="000000" w:themeColor="text1"/>
                <w:sz w:val="24"/>
                <w:szCs w:val="24"/>
                <w:highlight w:val="none"/>
                <w:lang w:val="en-US" w:eastAsia="zh-CN"/>
                <w14:textFill>
                  <w14:solidFill>
                    <w14:schemeClr w14:val="tx1"/>
                  </w14:solidFill>
                </w14:textFill>
              </w:rPr>
            </w:pPr>
          </w:p>
          <w:p w14:paraId="2EA73C4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七、</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建设周期及实施</w:t>
            </w:r>
            <w:r>
              <w:rPr>
                <w:rFonts w:hint="eastAsia" w:cs="Times New Roman"/>
                <w:b/>
                <w:bCs/>
                <w:color w:val="000000" w:themeColor="text1"/>
                <w:sz w:val="24"/>
                <w:szCs w:val="24"/>
                <w:highlight w:val="none"/>
                <w:lang w:val="en-US" w:eastAsia="zh-CN"/>
                <w14:textFill>
                  <w14:solidFill>
                    <w14:schemeClr w14:val="tx1"/>
                  </w14:solidFill>
                </w14:textFill>
              </w:rPr>
              <w:t>情况</w:t>
            </w:r>
          </w:p>
          <w:p w14:paraId="7529A3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eastAsia" w:cs="Times New Roman"/>
                <w:color w:val="000000" w:themeColor="text1"/>
                <w:sz w:val="24"/>
                <w:szCs w:val="24"/>
                <w:highlight w:val="none"/>
                <w:lang w:val="en-US" w:eastAsia="zh-CN"/>
                <w14:textFill>
                  <w14:solidFill>
                    <w14:schemeClr w14:val="tx1"/>
                  </w14:solidFill>
                </w14:textFill>
              </w:rPr>
              <w:t>预计2027</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年</w:t>
            </w:r>
            <w:r>
              <w:rPr>
                <w:rFonts w:hint="eastAsia" w:cs="Times New Roman"/>
                <w:color w:val="000000" w:themeColor="text1"/>
                <w:sz w:val="24"/>
                <w:szCs w:val="24"/>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月</w:t>
            </w:r>
            <w:r>
              <w:rPr>
                <w:rFonts w:hint="eastAsia" w:cs="Times New Roman"/>
                <w:color w:val="000000" w:themeColor="text1"/>
                <w:sz w:val="24"/>
                <w:szCs w:val="24"/>
                <w:highlight w:val="none"/>
                <w:lang w:val="en-US" w:eastAsia="zh-CN"/>
                <w14:textFill>
                  <w14:solidFill>
                    <w14:schemeClr w14:val="tx1"/>
                  </w14:solidFill>
                </w14:textFill>
              </w:rPr>
              <w:t>1日供暖。</w:t>
            </w:r>
          </w:p>
        </w:tc>
      </w:tr>
      <w:tr w14:paraId="1573EB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1" w:hRule="atLeast"/>
          <w:jc w:val="center"/>
        </w:trPr>
        <w:tc>
          <w:tcPr>
            <w:tcW w:w="506" w:type="dxa"/>
            <w:noWrap w:val="0"/>
            <w:vAlign w:val="center"/>
          </w:tcPr>
          <w:p w14:paraId="5DEFA98D">
            <w:pPr>
              <w:pStyle w:val="17"/>
              <w:adjustRightInd w:val="0"/>
              <w:snapToGrid w:val="0"/>
              <w:spacing w:before="0" w:beforeAutospacing="0" w:after="0" w:afterAutospacing="0"/>
              <w:jc w:val="center"/>
              <w:rPr>
                <w:rFonts w:cs="宋体"/>
                <w:color w:val="FF0000"/>
                <w:sz w:val="21"/>
                <w:szCs w:val="21"/>
                <w:highlight w:val="none"/>
              </w:rPr>
            </w:pPr>
            <w:r>
              <w:rPr>
                <w:rFonts w:hint="eastAsia" w:cs="宋体"/>
                <w:color w:val="000000" w:themeColor="text1"/>
                <w:sz w:val="24"/>
                <w:szCs w:val="24"/>
                <w:highlight w:val="none"/>
                <w14:textFill>
                  <w14:solidFill>
                    <w14:schemeClr w14:val="tx1"/>
                  </w14:solidFill>
                </w14:textFill>
              </w:rPr>
              <w:t>工艺流程和产排污环节</w:t>
            </w:r>
          </w:p>
        </w:tc>
        <w:tc>
          <w:tcPr>
            <w:tcW w:w="9143" w:type="dxa"/>
            <w:noWrap w:val="0"/>
            <w:vAlign w:val="top"/>
          </w:tcPr>
          <w:p w14:paraId="4D04AC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一、</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施工期工艺流程及产排污环节</w:t>
            </w:r>
          </w:p>
          <w:p w14:paraId="31E3CE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项目新建</w:t>
            </w:r>
            <w:r>
              <w:rPr>
                <w:rFonts w:hint="eastAsia" w:cs="Times New Roman"/>
                <w:b w:val="0"/>
                <w:bCs/>
                <w:color w:val="000000" w:themeColor="text1"/>
                <w:sz w:val="24"/>
                <w:szCs w:val="24"/>
                <w:highlight w:val="none"/>
                <w:lang w:val="en-US" w:eastAsia="zh-CN"/>
                <w14:textFill>
                  <w14:solidFill>
                    <w14:schemeClr w14:val="tx1"/>
                  </w14:solidFill>
                </w14:textFill>
              </w:rPr>
              <w:t>锅炉房、375m</w:t>
            </w:r>
            <w:r>
              <w:rPr>
                <w:rFonts w:hint="eastAsia" w:ascii="Times New Roman" w:hAnsi="Times New Roman" w:cs="Times New Roman"/>
                <w:color w:val="000000" w:themeColor="text1"/>
                <w:sz w:val="24"/>
                <w:szCs w:val="24"/>
                <w:vertAlign w:val="baseline"/>
                <w:lang w:val="en-US" w:eastAsia="zh-CN"/>
                <w14:textFill>
                  <w14:solidFill>
                    <w14:schemeClr w14:val="tx1"/>
                  </w14:solidFill>
                </w14:textFill>
              </w:rPr>
              <w:t>采暖供回水主干管道等</w:t>
            </w:r>
            <w:r>
              <w:rPr>
                <w:rFonts w:hint="eastAsia" w:cs="Times New Roman"/>
                <w:color w:val="000000" w:themeColor="text1"/>
                <w:sz w:val="24"/>
                <w:szCs w:val="24"/>
                <w:vertAlign w:val="baseline"/>
                <w:lang w:val="en-US" w:eastAsia="zh-CN"/>
                <w14:textFill>
                  <w14:solidFill>
                    <w14:schemeClr w14:val="tx1"/>
                  </w14:solidFill>
                </w14:textFill>
              </w:rPr>
              <w:t>、</w:t>
            </w:r>
            <w:r>
              <w:rPr>
                <w:rFonts w:hint="eastAsia" w:ascii="Times New Roman" w:hAnsi="Times New Roman" w:cs="Times New Roman"/>
                <w:color w:val="000000" w:themeColor="text1"/>
                <w:sz w:val="24"/>
                <w:szCs w:val="24"/>
                <w:vertAlign w:val="baseline"/>
                <w:lang w:val="en-US" w:eastAsia="zh-CN"/>
                <w14:textFill>
                  <w14:solidFill>
                    <w14:schemeClr w14:val="tx1"/>
                  </w14:solidFill>
                </w14:textFill>
              </w:rPr>
              <w:t>依托现有厂区内综合用房。构筑物内部装修、设备安装，施工期产污环节，如下图所示。</w:t>
            </w:r>
          </w:p>
          <w:tbl>
            <w:tblPr>
              <w:tblStyle w:val="21"/>
              <w:tblW w:w="892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7"/>
            </w:tblGrid>
            <w:tr w14:paraId="362A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tcBorders>
                    <w:top w:val="nil"/>
                    <w:left w:val="nil"/>
                    <w:bottom w:val="nil"/>
                    <w:right w:val="nil"/>
                  </w:tcBorders>
                </w:tcPr>
                <w:p w14:paraId="3712E63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cs="Times New Roman"/>
                      <w:b w:val="0"/>
                      <w:bCs w:val="0"/>
                      <w:color w:val="000000" w:themeColor="text1"/>
                      <w:sz w:val="24"/>
                      <w:szCs w:val="24"/>
                      <w:highlight w:val="none"/>
                      <w:vertAlign w:val="baseline"/>
                      <w:lang w:val="en-US" w:eastAsia="zh-CN"/>
                      <w14:textFill>
                        <w14:solidFill>
                          <w14:schemeClr w14:val="tx1"/>
                        </w14:solidFill>
                      </w14:textFill>
                    </w:rPr>
                  </w:pPr>
                  <w:r>
                    <w:drawing>
                      <wp:inline distT="0" distB="0" distL="114300" distR="114300">
                        <wp:extent cx="5528945" cy="1610995"/>
                        <wp:effectExtent l="0" t="0" r="8255" b="1905"/>
                        <wp:docPr id="53"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7"/>
                                <pic:cNvPicPr>
                                  <a:picLocks noChangeAspect="1"/>
                                </pic:cNvPicPr>
                              </pic:nvPicPr>
                              <pic:blipFill>
                                <a:blip r:embed="rId16"/>
                                <a:stretch>
                                  <a:fillRect/>
                                </a:stretch>
                              </pic:blipFill>
                              <pic:spPr>
                                <a:xfrm>
                                  <a:off x="0" y="0"/>
                                  <a:ext cx="5528945" cy="1610995"/>
                                </a:xfrm>
                                <a:prstGeom prst="rect">
                                  <a:avLst/>
                                </a:prstGeom>
                                <a:noFill/>
                                <a:ln>
                                  <a:noFill/>
                                </a:ln>
                              </pic:spPr>
                            </pic:pic>
                          </a:graphicData>
                        </a:graphic>
                      </wp:inline>
                    </w:drawing>
                  </w:r>
                </w:p>
              </w:tc>
            </w:tr>
            <w:tr w14:paraId="32A58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tcBorders>
                    <w:top w:val="nil"/>
                    <w:left w:val="nil"/>
                    <w:bottom w:val="nil"/>
                    <w:right w:val="nil"/>
                  </w:tcBorders>
                </w:tcPr>
                <w:p w14:paraId="39D9C05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b/>
                      <w:bCs/>
                      <w:szCs w:val="21"/>
                    </w:rPr>
                    <w:t>图2-</w:t>
                  </w:r>
                  <w:r>
                    <w:rPr>
                      <w:rFonts w:hint="eastAsia"/>
                      <w:b/>
                      <w:bCs/>
                      <w:szCs w:val="21"/>
                      <w:lang w:val="en-US" w:eastAsia="zh-CN"/>
                    </w:rPr>
                    <w:t>3</w:t>
                  </w:r>
                  <w:r>
                    <w:rPr>
                      <w:rFonts w:hint="eastAsia"/>
                      <w:b/>
                      <w:bCs/>
                      <w:szCs w:val="21"/>
                    </w:rPr>
                    <w:t xml:space="preserve">  施工期工艺流程及产污节点图</w:t>
                  </w:r>
                </w:p>
              </w:tc>
            </w:tr>
          </w:tbl>
          <w:p w14:paraId="1B6CEA7F">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eastAsia"/>
                <w:b/>
                <w:bCs/>
                <w:color w:val="auto"/>
                <w:sz w:val="24"/>
              </w:rPr>
            </w:pPr>
            <w:r>
              <w:rPr>
                <w:rFonts w:hint="eastAsia"/>
                <w:b/>
                <w:bCs/>
                <w:color w:val="auto"/>
                <w:sz w:val="24"/>
              </w:rPr>
              <w:t>施工期</w:t>
            </w:r>
            <w:r>
              <w:rPr>
                <w:rFonts w:hint="eastAsia"/>
                <w:b/>
                <w:bCs/>
                <w:color w:val="auto"/>
                <w:sz w:val="24"/>
                <w:lang w:val="en-US" w:eastAsia="zh-CN"/>
              </w:rPr>
              <w:t>工艺流程及</w:t>
            </w:r>
            <w:r>
              <w:rPr>
                <w:rFonts w:hint="eastAsia"/>
                <w:b/>
                <w:bCs/>
                <w:color w:val="auto"/>
                <w:sz w:val="24"/>
              </w:rPr>
              <w:t>产污环节：</w:t>
            </w:r>
          </w:p>
          <w:p w14:paraId="2FFB19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lang w:val="en-US" w:eastAsia="zh-CN"/>
              </w:rPr>
            </w:pPr>
            <w:r>
              <w:rPr>
                <w:rFonts w:hint="eastAsia"/>
                <w:color w:val="auto"/>
                <w:sz w:val="24"/>
                <w:lang w:val="en-US" w:eastAsia="zh-CN"/>
              </w:rPr>
              <w:t>施工准备：主要为场地平整、临时设施搭建、施工材料运输进场，主要产污为施工扬尘、</w:t>
            </w:r>
            <w:r>
              <w:rPr>
                <w:rFonts w:hint="eastAsia"/>
                <w:color w:val="auto"/>
                <w:sz w:val="24"/>
              </w:rPr>
              <w:t>运输车车辆排放尾气及行驶过程带起的扬尘</w:t>
            </w:r>
            <w:r>
              <w:rPr>
                <w:rFonts w:hint="eastAsia"/>
                <w:color w:val="auto"/>
                <w:sz w:val="24"/>
                <w:lang w:eastAsia="zh-CN"/>
              </w:rPr>
              <w:t>、</w:t>
            </w:r>
            <w:r>
              <w:rPr>
                <w:rFonts w:hint="eastAsia"/>
                <w:color w:val="auto"/>
                <w:sz w:val="24"/>
                <w:lang w:val="en-US" w:eastAsia="zh-CN"/>
              </w:rPr>
              <w:t>施工机械噪声、车辆行驶噪声和建筑垃圾。</w:t>
            </w:r>
          </w:p>
          <w:p w14:paraId="7D396C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lang w:val="en-US" w:eastAsia="zh-CN"/>
              </w:rPr>
            </w:pPr>
            <w:r>
              <w:rPr>
                <w:rFonts w:hint="eastAsia"/>
                <w:color w:val="auto"/>
                <w:sz w:val="24"/>
                <w:lang w:val="en-US" w:eastAsia="zh-CN"/>
              </w:rPr>
              <w:t>基础工程：主要为锅炉房基础工程施工，包括土方开挖、地基施工等，主要产污为施工扬尘、施工机械噪声和建筑垃圾。</w:t>
            </w:r>
          </w:p>
          <w:p w14:paraId="4C3C07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lang w:val="en-US" w:eastAsia="zh-CN"/>
              </w:rPr>
            </w:pPr>
            <w:r>
              <w:rPr>
                <w:rFonts w:hint="eastAsia"/>
                <w:color w:val="auto"/>
                <w:sz w:val="24"/>
                <w:lang w:val="en-US" w:eastAsia="zh-CN"/>
              </w:rPr>
              <w:t>主体工程：主要为锅炉房主体工程施工，包括墙体工程、屋面工程、门窗工程等，主要产污为施工扬尘、施工废水、施工机械噪声和建筑垃圾。</w:t>
            </w:r>
          </w:p>
          <w:p w14:paraId="40EB6B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lang w:val="en-US" w:eastAsia="zh-CN"/>
              </w:rPr>
            </w:pPr>
            <w:r>
              <w:rPr>
                <w:rFonts w:hint="eastAsia"/>
                <w:color w:val="auto"/>
                <w:sz w:val="24"/>
                <w:lang w:val="en-US" w:eastAsia="zh-CN"/>
              </w:rPr>
              <w:t>管道工程：主要为新建供热管道，主要产污为地面开挖产生的弃土、地面开挖产生的扬尘、施工机械噪声和建筑垃圾。</w:t>
            </w:r>
          </w:p>
          <w:p w14:paraId="5304E2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lang w:val="en-US" w:eastAsia="zh-CN"/>
              </w:rPr>
            </w:pPr>
            <w:r>
              <w:rPr>
                <w:rFonts w:hint="eastAsia"/>
                <w:color w:val="auto"/>
                <w:sz w:val="24"/>
                <w:lang w:val="en-US" w:eastAsia="zh-CN"/>
              </w:rPr>
              <w:t>装修工程：主要为锅炉房、综合用法的装修工程，包括墙面、地面等装修，主要产污为装修施工噪声；废弃装修材料、装修材料包装等固体废物。</w:t>
            </w:r>
          </w:p>
          <w:p w14:paraId="3AD2D8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lang w:val="en-US" w:eastAsia="zh-CN"/>
              </w:rPr>
            </w:pPr>
            <w:r>
              <w:rPr>
                <w:rFonts w:hint="eastAsia"/>
                <w:color w:val="auto"/>
                <w:sz w:val="24"/>
                <w:lang w:val="en-US" w:eastAsia="zh-CN"/>
              </w:rPr>
              <w:t>设备安装：主要为锅炉房内设备安装，主要产污为设备安装噪声；设备包装等固体废物。</w:t>
            </w:r>
          </w:p>
          <w:p w14:paraId="42FA9B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auto"/>
                <w:sz w:val="24"/>
                <w:lang w:val="en-US" w:eastAsia="zh-CN"/>
              </w:rPr>
            </w:pPr>
            <w:r>
              <w:rPr>
                <w:rFonts w:hint="eastAsia"/>
                <w:color w:val="auto"/>
                <w:sz w:val="24"/>
                <w:lang w:val="en-US" w:eastAsia="zh-CN"/>
              </w:rPr>
              <w:t>其他产污包括施工人</w:t>
            </w:r>
            <w:r>
              <w:rPr>
                <w:rFonts w:hint="eastAsia"/>
                <w:color w:val="auto"/>
                <w:sz w:val="24"/>
                <w:highlight w:val="none"/>
                <w:lang w:val="en-US" w:eastAsia="zh-CN"/>
              </w:rPr>
              <w:t>员生活污水、</w:t>
            </w:r>
            <w:r>
              <w:rPr>
                <w:rFonts w:hint="eastAsia" w:ascii="Times New Roman" w:hAnsi="Times New Roman" w:cs="Times New Roman"/>
                <w:color w:val="auto"/>
                <w:sz w:val="24"/>
                <w:highlight w:val="none"/>
                <w:lang w:val="en-US" w:eastAsia="zh-CN"/>
              </w:rPr>
              <w:t>生活垃圾等，施工人员</w:t>
            </w:r>
            <w:r>
              <w:rPr>
                <w:rFonts w:hint="eastAsia" w:cs="Times New Roman"/>
                <w:color w:val="auto"/>
                <w:sz w:val="24"/>
                <w:highlight w:val="none"/>
                <w:lang w:val="en-US" w:eastAsia="zh-CN"/>
              </w:rPr>
              <w:t>较少</w:t>
            </w:r>
            <w:r>
              <w:rPr>
                <w:rFonts w:hint="eastAsia" w:ascii="Times New Roman" w:hAnsi="Times New Roman" w:cs="Times New Roman"/>
                <w:color w:val="auto"/>
                <w:sz w:val="24"/>
                <w:highlight w:val="none"/>
                <w:lang w:val="en-US" w:eastAsia="zh-CN"/>
              </w:rPr>
              <w:t>生活污水经临时化粪池处理后通过</w:t>
            </w:r>
            <w:r>
              <w:rPr>
                <w:rFonts w:hint="default" w:ascii="Times New Roman" w:hAnsi="Times New Roman" w:cs="Times New Roman"/>
                <w:color w:val="auto"/>
                <w:sz w:val="24"/>
                <w:highlight w:val="none"/>
                <w:lang w:val="en-US" w:eastAsia="zh-CN"/>
              </w:rPr>
              <w:t>吸污车收集后，运至饶河县西林子乡污水处理站</w:t>
            </w:r>
            <w:r>
              <w:rPr>
                <w:rFonts w:hint="eastAsia" w:ascii="Times New Roman" w:hAnsi="Times New Roman" w:cs="Times New Roman"/>
                <w:color w:val="auto"/>
                <w:sz w:val="24"/>
                <w:highlight w:val="none"/>
                <w:lang w:val="en-US" w:eastAsia="zh-CN"/>
              </w:rPr>
              <w:t>；生</w:t>
            </w:r>
            <w:r>
              <w:rPr>
                <w:rFonts w:hint="eastAsia" w:ascii="Times New Roman" w:hAnsi="Times New Roman" w:cs="Times New Roman"/>
                <w:color w:val="auto"/>
                <w:sz w:val="24"/>
                <w:lang w:val="en-US" w:eastAsia="zh-CN"/>
              </w:rPr>
              <w:t>活垃圾委托环卫部门统一清运处置。</w:t>
            </w:r>
          </w:p>
          <w:p w14:paraId="61FE0E9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rPr>
              <w:t>二、</w:t>
            </w:r>
            <w:r>
              <w:rPr>
                <w:rFonts w:hint="default" w:ascii="Times New Roman" w:hAnsi="Times New Roman" w:cs="Times New Roman"/>
                <w:b/>
                <w:bCs/>
                <w:color w:val="auto"/>
                <w:sz w:val="24"/>
                <w:szCs w:val="24"/>
                <w:highlight w:val="none"/>
                <w:lang w:val="en-US" w:eastAsia="zh-CN"/>
              </w:rPr>
              <w:t>运营期工艺流程及产排污环节</w:t>
            </w:r>
          </w:p>
          <w:p w14:paraId="30A160F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本项目运营期工艺流程及产污环节</w:t>
            </w:r>
            <w:r>
              <w:rPr>
                <w:rFonts w:hint="eastAsia" w:cs="Times New Roman"/>
                <w:color w:val="auto"/>
                <w:sz w:val="24"/>
                <w:szCs w:val="24"/>
                <w:highlight w:val="none"/>
                <w:lang w:val="en-US" w:eastAsia="zh-CN"/>
              </w:rPr>
              <w:t>，如下所示</w:t>
            </w:r>
            <w:r>
              <w:rPr>
                <w:rFonts w:hint="default" w:ascii="Times New Roman" w:hAnsi="Times New Roman" w:cs="Times New Roman"/>
                <w:color w:val="auto"/>
                <w:sz w:val="24"/>
                <w:szCs w:val="24"/>
                <w:highlight w:val="none"/>
                <w:lang w:val="en-US" w:eastAsia="zh-CN"/>
              </w:rPr>
              <w:t>。</w:t>
            </w:r>
          </w:p>
          <w:p w14:paraId="07A1EEA3">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（一）运营期工艺流程</w:t>
            </w:r>
          </w:p>
          <w:p w14:paraId="564646F5">
            <w:pPr>
              <w:pStyle w:val="16"/>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1.</w:t>
            </w:r>
            <w:r>
              <w:rPr>
                <w:rFonts w:hint="eastAsia" w:cs="Times New Roman"/>
                <w:bCs/>
                <w:color w:val="auto"/>
                <w:sz w:val="24"/>
                <w:szCs w:val="24"/>
                <w:highlight w:val="none"/>
                <w:lang w:val="en-US" w:eastAsia="zh-CN"/>
              </w:rPr>
              <w:t>运营期</w:t>
            </w:r>
            <w:r>
              <w:rPr>
                <w:rFonts w:hint="eastAsia" w:ascii="Times New Roman" w:hAnsi="Times New Roman" w:cs="Times New Roman"/>
                <w:bCs/>
                <w:color w:val="auto"/>
                <w:sz w:val="24"/>
                <w:szCs w:val="24"/>
                <w:highlight w:val="none"/>
                <w:lang w:val="en-US" w:eastAsia="zh-CN"/>
              </w:rPr>
              <w:t>工艺流程及产污节点</w:t>
            </w:r>
          </w:p>
          <w:tbl>
            <w:tblPr>
              <w:tblStyle w:val="21"/>
              <w:tblW w:w="5000" w:type="pct"/>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27"/>
            </w:tblGrid>
            <w:tr w14:paraId="318E0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45" w:hRule="atLeast"/>
              </w:trPr>
              <w:tc>
                <w:tcPr>
                  <w:tcW w:w="9045" w:type="dxa"/>
                  <w:tcBorders>
                    <w:tl2br w:val="nil"/>
                    <w:tr2bl w:val="nil"/>
                  </w:tcBorders>
                  <w:vAlign w:val="top"/>
                </w:tcPr>
                <w:p w14:paraId="459B1D8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eastAsia="宋体"/>
                      <w:color w:val="FF0000"/>
                      <w:highlight w:val="none"/>
                      <w:vertAlign w:val="baseline"/>
                      <w:lang w:eastAsia="zh-CN"/>
                    </w:rPr>
                  </w:pPr>
                  <w:r>
                    <w:rPr>
                      <w:rFonts w:hint="eastAsia" w:eastAsia="宋体"/>
                      <w:color w:val="FF0000"/>
                      <w:highlight w:val="none"/>
                      <w:vertAlign w:val="baseline"/>
                      <w:lang w:eastAsia="zh-CN"/>
                    </w:rPr>
                    <w:drawing>
                      <wp:inline distT="0" distB="0" distL="114300" distR="114300">
                        <wp:extent cx="5529580" cy="2211705"/>
                        <wp:effectExtent l="0" t="0" r="7620" b="10795"/>
                        <wp:docPr id="18" name="图片 18" descr="151314230747b4d78323e6a3df1c1c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51314230747b4d78323e6a3df1c1c3e"/>
                                <pic:cNvPicPr>
                                  <a:picLocks noChangeAspect="1"/>
                                </pic:cNvPicPr>
                              </pic:nvPicPr>
                              <pic:blipFill>
                                <a:blip r:embed="rId17"/>
                                <a:stretch>
                                  <a:fillRect/>
                                </a:stretch>
                              </pic:blipFill>
                              <pic:spPr>
                                <a:xfrm>
                                  <a:off x="0" y="0"/>
                                  <a:ext cx="5529580" cy="2211705"/>
                                </a:xfrm>
                                <a:prstGeom prst="rect">
                                  <a:avLst/>
                                </a:prstGeom>
                              </pic:spPr>
                            </pic:pic>
                          </a:graphicData>
                        </a:graphic>
                      </wp:inline>
                    </w:drawing>
                  </w:r>
                </w:p>
              </w:tc>
            </w:tr>
            <w:tr w14:paraId="3EBC6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 w:hRule="atLeast"/>
              </w:trPr>
              <w:tc>
                <w:tcPr>
                  <w:tcW w:w="9045" w:type="dxa"/>
                  <w:tcBorders>
                    <w:tl2br w:val="nil"/>
                    <w:tr2bl w:val="nil"/>
                  </w:tcBorders>
                  <w:vAlign w:val="top"/>
                </w:tcPr>
                <w:p w14:paraId="6E700F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FF0000"/>
                      <w:highlight w:val="none"/>
                      <w:vertAlign w:val="baseline"/>
                    </w:rPr>
                  </w:pPr>
                  <w:r>
                    <w:rPr>
                      <w:rFonts w:hint="eastAsia" w:ascii="Times New Roman" w:hAnsi="Times New Roman" w:eastAsia="宋体" w:cs="Times New Roman"/>
                      <w:b/>
                      <w:bCs/>
                      <w:color w:val="auto"/>
                      <w:sz w:val="21"/>
                      <w:szCs w:val="21"/>
                      <w:highlight w:val="none"/>
                      <w:lang w:val="en-US" w:eastAsia="zh-CN"/>
                    </w:rPr>
                    <w:t>图2-</w:t>
                  </w:r>
                  <w:r>
                    <w:rPr>
                      <w:rFonts w:hint="eastAsia" w:cs="Times New Roman"/>
                      <w:b/>
                      <w:bCs/>
                      <w:color w:val="auto"/>
                      <w:sz w:val="21"/>
                      <w:szCs w:val="21"/>
                      <w:highlight w:val="none"/>
                      <w:lang w:val="en-US" w:eastAsia="zh-CN"/>
                    </w:rPr>
                    <w:t>4</w:t>
                  </w:r>
                  <w:r>
                    <w:rPr>
                      <w:rFonts w:hint="eastAsia" w:ascii="Times New Roman" w:hAnsi="Times New Roman" w:eastAsia="宋体" w:cs="Times New Roman"/>
                      <w:b/>
                      <w:bCs/>
                      <w:color w:val="auto"/>
                      <w:sz w:val="21"/>
                      <w:szCs w:val="21"/>
                      <w:highlight w:val="none"/>
                      <w:lang w:val="en-US" w:eastAsia="zh-CN"/>
                    </w:rPr>
                    <w:t xml:space="preserve"> </w:t>
                  </w:r>
                  <w:r>
                    <w:rPr>
                      <w:rFonts w:hint="eastAsia" w:cs="Times New Roman"/>
                      <w:b/>
                      <w:bCs/>
                      <w:color w:val="auto"/>
                      <w:sz w:val="21"/>
                      <w:szCs w:val="21"/>
                      <w:highlight w:val="none"/>
                      <w:lang w:val="en-US" w:eastAsia="zh-CN"/>
                    </w:rPr>
                    <w:t xml:space="preserve"> 运营期</w:t>
                  </w:r>
                  <w:r>
                    <w:rPr>
                      <w:rFonts w:hint="eastAsia" w:ascii="Times New Roman" w:hAnsi="Times New Roman" w:eastAsia="宋体" w:cs="Times New Roman"/>
                      <w:b/>
                      <w:bCs/>
                      <w:color w:val="auto"/>
                      <w:sz w:val="21"/>
                      <w:szCs w:val="21"/>
                      <w:highlight w:val="none"/>
                      <w:lang w:val="en-US" w:eastAsia="zh-CN"/>
                    </w:rPr>
                    <w:t>工艺流程及产污节点</w:t>
                  </w:r>
                </w:p>
              </w:tc>
            </w:tr>
          </w:tbl>
          <w:p w14:paraId="516B066E">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default" w:eastAsia="宋体"/>
                <w:b/>
                <w:bCs/>
                <w:color w:val="auto"/>
                <w:sz w:val="24"/>
                <w:szCs w:val="24"/>
                <w:highlight w:val="none"/>
                <w:lang w:val="en-US" w:eastAsia="zh-CN"/>
              </w:rPr>
            </w:pPr>
            <w:r>
              <w:rPr>
                <w:rFonts w:hint="eastAsia"/>
                <w:b/>
                <w:bCs/>
                <w:color w:val="auto"/>
                <w:sz w:val="24"/>
                <w:szCs w:val="24"/>
                <w:highlight w:val="none"/>
                <w:lang w:val="en-US" w:eastAsia="zh-CN"/>
              </w:rPr>
              <w:t>运营期工艺流程及产污环节：</w:t>
            </w:r>
          </w:p>
          <w:p w14:paraId="6C6E11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生物质成型燃料运输至燃料贮存间，通过螺旋上料机</w:t>
            </w:r>
            <w:r>
              <w:rPr>
                <w:rFonts w:hint="default" w:ascii="Times New Roman" w:hAnsi="Times New Roman" w:eastAsia="宋体" w:cs="Times New Roman"/>
                <w:b w:val="0"/>
                <w:bCs w:val="0"/>
                <w:color w:val="auto"/>
                <w:sz w:val="24"/>
                <w:szCs w:val="24"/>
                <w:highlight w:val="none"/>
              </w:rPr>
              <w:t>送入生物质</w:t>
            </w:r>
            <w:r>
              <w:rPr>
                <w:rFonts w:hint="eastAsia" w:cs="Times New Roman"/>
                <w:b w:val="0"/>
                <w:bCs w:val="0"/>
                <w:color w:val="auto"/>
                <w:sz w:val="24"/>
                <w:szCs w:val="24"/>
                <w:highlight w:val="none"/>
                <w:lang w:val="en-US" w:eastAsia="zh-CN"/>
              </w:rPr>
              <w:t>承压</w:t>
            </w:r>
            <w:r>
              <w:rPr>
                <w:rFonts w:hint="default" w:ascii="Times New Roman" w:hAnsi="Times New Roman" w:eastAsia="宋体" w:cs="Times New Roman"/>
                <w:b w:val="0"/>
                <w:bCs w:val="0"/>
                <w:color w:val="auto"/>
                <w:sz w:val="24"/>
                <w:szCs w:val="24"/>
                <w:highlight w:val="none"/>
              </w:rPr>
              <w:t>热水锅炉炉膛内进行燃烧。燃料燃烧释放的热量将锅炉受热面内的循环水加热。燃烧过程中产生的</w:t>
            </w:r>
            <w:r>
              <w:rPr>
                <w:rFonts w:hint="eastAsia" w:ascii="Times New Roman" w:hAnsi="Times New Roman" w:cs="Times New Roman"/>
                <w:b w:val="0"/>
                <w:bCs w:val="0"/>
                <w:color w:val="auto"/>
                <w:sz w:val="24"/>
                <w:szCs w:val="24"/>
                <w:highlight w:val="none"/>
                <w:lang w:val="en-US" w:eastAsia="zh-CN"/>
              </w:rPr>
              <w:t>锅炉</w:t>
            </w:r>
            <w:r>
              <w:rPr>
                <w:rFonts w:hint="default" w:ascii="Times New Roman" w:hAnsi="Times New Roman" w:eastAsia="宋体" w:cs="Times New Roman"/>
                <w:b w:val="0"/>
                <w:bCs w:val="0"/>
                <w:color w:val="auto"/>
                <w:sz w:val="24"/>
                <w:szCs w:val="24"/>
                <w:highlight w:val="none"/>
              </w:rPr>
              <w:t>灰渣（固废）</w:t>
            </w:r>
            <w:r>
              <w:rPr>
                <w:rFonts w:hint="eastAsia" w:ascii="Times New Roman" w:hAnsi="Times New Roman" w:cs="Times New Roman"/>
                <w:b w:val="0"/>
                <w:bCs w:val="0"/>
                <w:color w:val="auto"/>
                <w:sz w:val="24"/>
                <w:szCs w:val="24"/>
                <w:highlight w:val="none"/>
                <w:lang w:val="en-US" w:eastAsia="zh-CN"/>
              </w:rPr>
              <w:t>暂存于灰渣暂存间，</w:t>
            </w:r>
            <w:r>
              <w:rPr>
                <w:rFonts w:hint="default" w:ascii="Times New Roman" w:hAnsi="Times New Roman" w:eastAsia="宋体" w:cs="Times New Roman"/>
                <w:b w:val="0"/>
                <w:bCs w:val="0"/>
                <w:color w:val="auto"/>
                <w:sz w:val="24"/>
                <w:szCs w:val="24"/>
                <w:highlight w:val="none"/>
              </w:rPr>
              <w:t>定期清理外运综合利用；锅炉运行过程中会产生一定的噪声及少量定期排污水（废水）</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项目采用新鲜水（市政自来水）作为水源，</w:t>
            </w:r>
            <w:r>
              <w:rPr>
                <w:rFonts w:hint="eastAsia" w:ascii="Times New Roman" w:hAnsi="Times New Roman" w:eastAsia="宋体" w:cs="Times New Roman"/>
                <w:b w:val="0"/>
                <w:bCs w:val="0"/>
                <w:color w:val="auto"/>
                <w:sz w:val="24"/>
                <w:szCs w:val="24"/>
                <w:highlight w:val="none"/>
                <w:lang w:val="en-US" w:eastAsia="zh-CN"/>
              </w:rPr>
              <w:t>通过全自动软化水装置</w:t>
            </w:r>
            <w:r>
              <w:rPr>
                <w:rFonts w:hint="eastAsia" w:ascii="Times New Roman" w:hAnsi="Times New Roman" w:cs="Times New Roman"/>
                <w:b w:val="0"/>
                <w:bCs w:val="0"/>
                <w:color w:val="auto"/>
                <w:sz w:val="24"/>
                <w:szCs w:val="24"/>
                <w:highlight w:val="none"/>
                <w:lang w:val="en-US" w:eastAsia="zh-CN"/>
              </w:rPr>
              <w:t>使用树脂离子交换法进行处理，去除新鲜水中的</w:t>
            </w:r>
            <w:r>
              <w:rPr>
                <w:rFonts w:hint="default" w:ascii="Times New Roman" w:hAnsi="Times New Roman" w:cs="Times New Roman"/>
                <w:b w:val="0"/>
                <w:bCs w:val="0"/>
                <w:color w:val="auto"/>
                <w:sz w:val="24"/>
                <w:szCs w:val="24"/>
                <w:highlight w:val="none"/>
                <w:lang w:val="en-US" w:eastAsia="zh-CN"/>
              </w:rPr>
              <w:t>钙镁离子后作为锅炉补水。</w:t>
            </w:r>
            <w:r>
              <w:rPr>
                <w:rFonts w:hint="eastAsia" w:ascii="Times New Roman" w:hAnsi="Times New Roman" w:cs="Times New Roman"/>
                <w:b w:val="0"/>
                <w:bCs w:val="0"/>
                <w:color w:val="auto"/>
                <w:sz w:val="24"/>
                <w:szCs w:val="24"/>
                <w:highlight w:val="none"/>
                <w:lang w:val="en-US" w:eastAsia="zh-CN"/>
              </w:rPr>
              <w:t>锅炉烟气采用“旋风多管陶瓷除尘器+布袋除尘器”处理后通过35米高烟囱（DA001）高空排放。</w:t>
            </w:r>
          </w:p>
          <w:p w14:paraId="62C775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rPr>
            </w:pPr>
            <w:r>
              <w:rPr>
                <w:rFonts w:hint="default" w:ascii="Times New Roman" w:hAnsi="Times New Roman" w:cs="Times New Roman"/>
                <w:b w:val="0"/>
                <w:bCs w:val="0"/>
                <w:color w:val="auto"/>
                <w:sz w:val="24"/>
                <w:szCs w:val="24"/>
                <w:highlight w:val="none"/>
                <w:lang w:val="en-US" w:eastAsia="zh-CN"/>
              </w:rPr>
              <w:t>锅炉产生的高温热水</w:t>
            </w:r>
            <w:r>
              <w:rPr>
                <w:rFonts w:hint="eastAsia" w:ascii="Times New Roman" w:hAnsi="Times New Roman" w:cs="Times New Roman"/>
                <w:b w:val="0"/>
                <w:bCs w:val="0"/>
                <w:color w:val="auto"/>
                <w:sz w:val="24"/>
                <w:szCs w:val="24"/>
                <w:highlight w:val="none"/>
                <w:lang w:val="en-US" w:eastAsia="zh-CN"/>
              </w:rPr>
              <w:t>经厂区</w:t>
            </w:r>
            <w:r>
              <w:rPr>
                <w:rFonts w:hint="default" w:ascii="Times New Roman" w:hAnsi="Times New Roman" w:cs="Times New Roman"/>
                <w:b w:val="0"/>
                <w:bCs w:val="0"/>
                <w:color w:val="auto"/>
                <w:sz w:val="24"/>
                <w:szCs w:val="24"/>
                <w:highlight w:val="none"/>
                <w:lang w:val="en-US" w:eastAsia="zh-CN"/>
              </w:rPr>
              <w:t>供热管网输送至</w:t>
            </w:r>
            <w:r>
              <w:rPr>
                <w:rFonts w:hint="eastAsia" w:ascii="Times New Roman" w:hAnsi="Times New Roman" w:cs="Times New Roman"/>
                <w:b w:val="0"/>
                <w:bCs w:val="0"/>
                <w:color w:val="auto"/>
                <w:sz w:val="24"/>
                <w:szCs w:val="24"/>
                <w:highlight w:val="none"/>
                <w:lang w:val="en-US" w:eastAsia="zh-CN"/>
              </w:rPr>
              <w:t>板式换热机组</w:t>
            </w:r>
            <w:r>
              <w:rPr>
                <w:rFonts w:hint="default" w:ascii="Times New Roman" w:hAnsi="Times New Roman" w:cs="Times New Roman"/>
                <w:b w:val="0"/>
                <w:bCs w:val="0"/>
                <w:color w:val="auto"/>
                <w:sz w:val="24"/>
                <w:szCs w:val="24"/>
                <w:highlight w:val="none"/>
                <w:lang w:val="en-US" w:eastAsia="zh-CN"/>
              </w:rPr>
              <w:t>。</w:t>
            </w:r>
            <w:r>
              <w:rPr>
                <w:rFonts w:hint="eastAsia" w:ascii="Times New Roman" w:hAnsi="Times New Roman" w:cs="Times New Roman"/>
                <w:b w:val="0"/>
                <w:bCs w:val="0"/>
                <w:color w:val="auto"/>
                <w:sz w:val="24"/>
                <w:szCs w:val="24"/>
                <w:highlight w:val="none"/>
                <w:lang w:val="en-US" w:eastAsia="zh-CN"/>
              </w:rPr>
              <w:t>板式换热机组内将厂区</w:t>
            </w:r>
            <w:r>
              <w:rPr>
                <w:rFonts w:hint="default" w:ascii="Times New Roman" w:hAnsi="Times New Roman" w:cs="Times New Roman"/>
                <w:b w:val="0"/>
                <w:bCs w:val="0"/>
                <w:color w:val="auto"/>
                <w:sz w:val="24"/>
                <w:szCs w:val="24"/>
                <w:highlight w:val="none"/>
                <w:lang w:val="en-US" w:eastAsia="zh-CN"/>
              </w:rPr>
              <w:t>供热管网（一次网）的高温热水与</w:t>
            </w:r>
            <w:r>
              <w:rPr>
                <w:rFonts w:hint="eastAsia" w:ascii="Times New Roman" w:hAnsi="Times New Roman" w:cs="Times New Roman"/>
                <w:b w:val="0"/>
                <w:bCs w:val="0"/>
                <w:color w:val="auto"/>
                <w:sz w:val="24"/>
                <w:szCs w:val="24"/>
                <w:highlight w:val="none"/>
                <w:lang w:val="en-US" w:eastAsia="zh-CN"/>
              </w:rPr>
              <w:t>厂区外</w:t>
            </w:r>
            <w:r>
              <w:rPr>
                <w:rFonts w:hint="default" w:ascii="Times New Roman" w:hAnsi="Times New Roman" w:cs="Times New Roman"/>
                <w:b w:val="0"/>
                <w:bCs w:val="0"/>
                <w:color w:val="auto"/>
                <w:sz w:val="24"/>
                <w:szCs w:val="24"/>
                <w:highlight w:val="none"/>
                <w:lang w:val="en-US" w:eastAsia="zh-CN"/>
              </w:rPr>
              <w:t>供热管网（二次网）的循环水进行间接换热。换热过程中</w:t>
            </w:r>
            <w:r>
              <w:rPr>
                <w:rFonts w:hint="eastAsia" w:ascii="Times New Roman" w:hAnsi="Times New Roman" w:cs="Times New Roman"/>
                <w:b w:val="0"/>
                <w:bCs w:val="0"/>
                <w:color w:val="auto"/>
                <w:sz w:val="24"/>
                <w:szCs w:val="24"/>
                <w:highlight w:val="none"/>
                <w:lang w:val="en-US" w:eastAsia="zh-CN"/>
              </w:rPr>
              <w:t>循环水泵</w:t>
            </w:r>
            <w:r>
              <w:rPr>
                <w:rFonts w:hint="default" w:ascii="Times New Roman" w:hAnsi="Times New Roman" w:cs="Times New Roman"/>
                <w:b w:val="0"/>
                <w:bCs w:val="0"/>
                <w:color w:val="auto"/>
                <w:sz w:val="24"/>
                <w:szCs w:val="24"/>
                <w:highlight w:val="none"/>
                <w:lang w:val="en-US" w:eastAsia="zh-CN"/>
              </w:rPr>
              <w:t>产生一定的噪声。换热后的热水经由</w:t>
            </w:r>
            <w:r>
              <w:rPr>
                <w:rFonts w:hint="eastAsia" w:ascii="Times New Roman" w:hAnsi="Times New Roman" w:cs="Times New Roman"/>
                <w:b w:val="0"/>
                <w:bCs w:val="0"/>
                <w:color w:val="auto"/>
                <w:sz w:val="24"/>
                <w:szCs w:val="24"/>
                <w:highlight w:val="none"/>
                <w:lang w:val="en-US" w:eastAsia="zh-CN"/>
              </w:rPr>
              <w:t>厂区外</w:t>
            </w:r>
            <w:r>
              <w:rPr>
                <w:rFonts w:hint="default" w:ascii="Times New Roman" w:hAnsi="Times New Roman" w:cs="Times New Roman"/>
                <w:b w:val="0"/>
                <w:bCs w:val="0"/>
                <w:color w:val="auto"/>
                <w:sz w:val="24"/>
                <w:szCs w:val="24"/>
                <w:highlight w:val="none"/>
                <w:lang w:val="en-US" w:eastAsia="zh-CN"/>
              </w:rPr>
              <w:t>供热管网</w:t>
            </w:r>
            <w:r>
              <w:rPr>
                <w:rFonts w:hint="eastAsia" w:ascii="Times New Roman" w:hAnsi="Times New Roman" w:cs="Times New Roman"/>
                <w:b w:val="0"/>
                <w:bCs w:val="0"/>
                <w:color w:val="auto"/>
                <w:sz w:val="24"/>
                <w:szCs w:val="24"/>
                <w:highlight w:val="none"/>
                <w:lang w:val="en-US" w:eastAsia="zh-CN"/>
              </w:rPr>
              <w:t>运送至四排乡居民区，</w:t>
            </w:r>
            <w:r>
              <w:rPr>
                <w:rFonts w:hint="default" w:ascii="Times New Roman" w:hAnsi="Times New Roman" w:eastAsia="宋体" w:cs="Times New Roman"/>
                <w:b w:val="0"/>
                <w:bCs w:val="0"/>
                <w:color w:val="auto"/>
                <w:sz w:val="24"/>
                <w:szCs w:val="24"/>
                <w:highlight w:val="none"/>
              </w:rPr>
              <w:t>为终端用户提供生活供热。降温后的回水通过管网返回换热器，形成闭式循环。</w:t>
            </w:r>
          </w:p>
          <w:p w14:paraId="45C1BF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cs="Times New Roman"/>
                <w:color w:val="auto"/>
                <w:sz w:val="24"/>
                <w:szCs w:val="24"/>
                <w:highlight w:val="none"/>
                <w:lang w:val="en-US" w:eastAsia="zh-CN"/>
              </w:rPr>
            </w:pPr>
            <w:r>
              <w:rPr>
                <w:rFonts w:hint="eastAsia" w:cs="Times New Roman"/>
                <w:b/>
                <w:bCs/>
                <w:color w:val="auto"/>
                <w:sz w:val="24"/>
                <w:szCs w:val="24"/>
                <w:highlight w:val="none"/>
                <w:lang w:val="en-US" w:eastAsia="zh-CN"/>
              </w:rPr>
              <w:t>（二）</w:t>
            </w:r>
            <w:r>
              <w:rPr>
                <w:rFonts w:hint="default" w:ascii="Times New Roman" w:hAnsi="Times New Roman" w:cs="Times New Roman"/>
                <w:b/>
                <w:bCs/>
                <w:color w:val="auto"/>
                <w:sz w:val="24"/>
                <w:szCs w:val="24"/>
                <w:highlight w:val="none"/>
                <w:lang w:val="en-US" w:eastAsia="zh-CN"/>
              </w:rPr>
              <w:t>产污</w:t>
            </w:r>
            <w:r>
              <w:rPr>
                <w:rFonts w:hint="eastAsia" w:cs="Times New Roman"/>
                <w:b/>
                <w:bCs/>
                <w:color w:val="auto"/>
                <w:sz w:val="24"/>
                <w:szCs w:val="24"/>
                <w:highlight w:val="none"/>
                <w:lang w:val="en-US" w:eastAsia="zh-CN"/>
              </w:rPr>
              <w:t>环节</w:t>
            </w:r>
          </w:p>
          <w:p w14:paraId="7D51A1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本项目产污工序及污染因子，详见下表。</w:t>
            </w:r>
          </w:p>
          <w:p w14:paraId="4F3CAB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4"/>
                <w:highlight w:val="none"/>
              </w:rPr>
            </w:pPr>
          </w:p>
          <w:p w14:paraId="5EBC54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4"/>
                <w:highlight w:val="none"/>
              </w:rPr>
            </w:pPr>
          </w:p>
          <w:p w14:paraId="535BD3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4"/>
                <w:highlight w:val="none"/>
              </w:rPr>
            </w:pPr>
          </w:p>
          <w:p w14:paraId="3091DB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4"/>
                <w:highlight w:val="none"/>
              </w:rPr>
            </w:pPr>
          </w:p>
          <w:p w14:paraId="62F250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4"/>
                <w:highlight w:val="none"/>
              </w:rPr>
            </w:pPr>
          </w:p>
          <w:p w14:paraId="73391F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4"/>
                <w:highlight w:val="none"/>
              </w:rPr>
            </w:pPr>
            <w:r>
              <w:rPr>
                <w:rFonts w:hint="default" w:ascii="Times New Roman" w:hAnsi="Times New Roman" w:eastAsia="宋体" w:cs="Times New Roman"/>
                <w:b/>
                <w:bCs/>
                <w:color w:val="auto"/>
                <w:sz w:val="21"/>
                <w:szCs w:val="24"/>
                <w:highlight w:val="none"/>
              </w:rPr>
              <w:t>表2-</w:t>
            </w:r>
            <w:r>
              <w:rPr>
                <w:rFonts w:hint="eastAsia" w:cs="Times New Roman"/>
                <w:b/>
                <w:bCs/>
                <w:color w:val="auto"/>
                <w:sz w:val="21"/>
                <w:szCs w:val="24"/>
                <w:highlight w:val="none"/>
                <w:lang w:val="en-US" w:eastAsia="zh-CN"/>
              </w:rPr>
              <w:t>7</w:t>
            </w:r>
            <w:r>
              <w:rPr>
                <w:rFonts w:hint="default" w:ascii="Times New Roman" w:hAnsi="Times New Roman" w:eastAsia="宋体" w:cs="Times New Roman"/>
                <w:b/>
                <w:bCs/>
                <w:color w:val="auto"/>
                <w:sz w:val="21"/>
                <w:szCs w:val="24"/>
                <w:highlight w:val="none"/>
                <w:lang w:val="en-US" w:eastAsia="zh-CN"/>
              </w:rPr>
              <w:t xml:space="preserve">  </w:t>
            </w:r>
            <w:r>
              <w:rPr>
                <w:rFonts w:hint="default" w:ascii="Times New Roman" w:hAnsi="Times New Roman" w:eastAsia="宋体" w:cs="Times New Roman"/>
                <w:b/>
                <w:bCs/>
                <w:color w:val="auto"/>
                <w:sz w:val="21"/>
                <w:szCs w:val="24"/>
                <w:highlight w:val="none"/>
              </w:rPr>
              <w:t>项目运营期主要产污工序及污染物对照表</w:t>
            </w:r>
          </w:p>
          <w:tbl>
            <w:tblPr>
              <w:tblStyle w:val="20"/>
              <w:tblW w:w="8930"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96"/>
              <w:gridCol w:w="720"/>
              <w:gridCol w:w="2313"/>
              <w:gridCol w:w="2576"/>
              <w:gridCol w:w="2825"/>
            </w:tblGrid>
            <w:tr w14:paraId="6757AE3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16" w:type="dxa"/>
                  <w:gridSpan w:val="2"/>
                  <w:tcBorders>
                    <w:tl2br w:val="nil"/>
                    <w:tr2bl w:val="nil"/>
                  </w:tcBorders>
                  <w:noWrap w:val="0"/>
                  <w:vAlign w:val="center"/>
                </w:tcPr>
                <w:p w14:paraId="63D41913">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类型</w:t>
                  </w:r>
                </w:p>
              </w:tc>
              <w:tc>
                <w:tcPr>
                  <w:tcW w:w="2313" w:type="dxa"/>
                  <w:tcBorders>
                    <w:tl2br w:val="nil"/>
                    <w:tr2bl w:val="nil"/>
                  </w:tcBorders>
                  <w:noWrap w:val="0"/>
                  <w:vAlign w:val="center"/>
                </w:tcPr>
                <w:p w14:paraId="6B641A04">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污染工序</w:t>
                  </w:r>
                </w:p>
              </w:tc>
              <w:tc>
                <w:tcPr>
                  <w:tcW w:w="2576" w:type="dxa"/>
                  <w:tcBorders>
                    <w:tl2br w:val="nil"/>
                    <w:tr2bl w:val="nil"/>
                  </w:tcBorders>
                  <w:noWrap w:val="0"/>
                  <w:vAlign w:val="center"/>
                </w:tcPr>
                <w:p w14:paraId="45A3AA6C">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污染种类</w:t>
                  </w:r>
                </w:p>
              </w:tc>
              <w:tc>
                <w:tcPr>
                  <w:tcW w:w="2825" w:type="dxa"/>
                  <w:tcBorders>
                    <w:tl2br w:val="nil"/>
                    <w:tr2bl w:val="nil"/>
                  </w:tcBorders>
                  <w:noWrap w:val="0"/>
                  <w:vAlign w:val="center"/>
                </w:tcPr>
                <w:p w14:paraId="646A12BA">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主要污染物</w:t>
                  </w:r>
                </w:p>
              </w:tc>
            </w:tr>
            <w:tr w14:paraId="414E6BF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6" w:type="dxa"/>
                  <w:vMerge w:val="restart"/>
                  <w:tcBorders>
                    <w:tl2br w:val="nil"/>
                    <w:tr2bl w:val="nil"/>
                  </w:tcBorders>
                  <w:noWrap w:val="0"/>
                  <w:vAlign w:val="center"/>
                </w:tcPr>
                <w:p w14:paraId="53BD31B6">
                  <w:pPr>
                    <w:keepNext w:val="0"/>
                    <w:keepLines w:val="0"/>
                    <w:pageBreakBefore w:val="0"/>
                    <w:kinsoku/>
                    <w:wordWrap/>
                    <w:overflowPunct/>
                    <w:topLinePunct w:val="0"/>
                    <w:autoSpaceDE/>
                    <w:autoSpaceDN/>
                    <w:bidi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运营期</w:t>
                  </w:r>
                </w:p>
              </w:tc>
              <w:tc>
                <w:tcPr>
                  <w:tcW w:w="720" w:type="dxa"/>
                  <w:tcBorders>
                    <w:tl2br w:val="nil"/>
                    <w:tr2bl w:val="nil"/>
                  </w:tcBorders>
                  <w:noWrap w:val="0"/>
                  <w:vAlign w:val="center"/>
                </w:tcPr>
                <w:p w14:paraId="13B768F1">
                  <w:pPr>
                    <w:keepNext w:val="0"/>
                    <w:keepLines w:val="0"/>
                    <w:pageBreakBefore w:val="0"/>
                    <w:widowControl/>
                    <w:kinsoku/>
                    <w:wordWrap/>
                    <w:overflowPunct/>
                    <w:topLinePunct w:val="0"/>
                    <w:autoSpaceDE/>
                    <w:autoSpaceDN/>
                    <w:bidi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废气</w:t>
                  </w:r>
                </w:p>
              </w:tc>
              <w:tc>
                <w:tcPr>
                  <w:tcW w:w="2313" w:type="dxa"/>
                  <w:tcBorders>
                    <w:tl2br w:val="nil"/>
                    <w:tr2bl w:val="nil"/>
                  </w:tcBorders>
                  <w:noWrap w:val="0"/>
                  <w:vAlign w:val="center"/>
                </w:tcPr>
                <w:p w14:paraId="66B8998B">
                  <w:pPr>
                    <w:keepNext w:val="0"/>
                    <w:keepLines w:val="0"/>
                    <w:pageBreakBefore w:val="0"/>
                    <w:widowControl/>
                    <w:kinsoku/>
                    <w:wordWrap/>
                    <w:overflowPunct/>
                    <w:topLinePunct w:val="0"/>
                    <w:autoSpaceDE/>
                    <w:autoSpaceDN/>
                    <w:bidi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锅炉运行</w:t>
                  </w:r>
                </w:p>
              </w:tc>
              <w:tc>
                <w:tcPr>
                  <w:tcW w:w="2576" w:type="dxa"/>
                  <w:tcBorders>
                    <w:tl2br w:val="nil"/>
                    <w:tr2bl w:val="nil"/>
                  </w:tcBorders>
                  <w:noWrap w:val="0"/>
                  <w:vAlign w:val="center"/>
                </w:tcPr>
                <w:p w14:paraId="439C597A">
                  <w:pPr>
                    <w:keepNext w:val="0"/>
                    <w:keepLines w:val="0"/>
                    <w:pageBreakBefore w:val="0"/>
                    <w:widowControl/>
                    <w:kinsoku/>
                    <w:wordWrap/>
                    <w:overflowPunct/>
                    <w:topLinePunct w:val="0"/>
                    <w:autoSpaceDE/>
                    <w:autoSpaceDN/>
                    <w:bidi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G1锅炉烟气</w:t>
                  </w:r>
                </w:p>
              </w:tc>
              <w:tc>
                <w:tcPr>
                  <w:tcW w:w="2825" w:type="dxa"/>
                  <w:tcBorders>
                    <w:tl2br w:val="nil"/>
                    <w:tr2bl w:val="nil"/>
                  </w:tcBorders>
                  <w:noWrap w:val="0"/>
                  <w:vAlign w:val="center"/>
                </w:tcPr>
                <w:p w14:paraId="1B1D16BA">
                  <w:pPr>
                    <w:keepNext w:val="0"/>
                    <w:keepLines w:val="0"/>
                    <w:pageBreakBefore w:val="0"/>
                    <w:widowControl/>
                    <w:kinsoku/>
                    <w:wordWrap/>
                    <w:overflowPunct/>
                    <w:topLinePunct w:val="0"/>
                    <w:autoSpaceDE/>
                    <w:autoSpaceDN/>
                    <w:bidi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颗粒物、二氧化硫</w:t>
                  </w:r>
                  <w:r>
                    <w:rPr>
                      <w:rFonts w:hint="eastAsia"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氮氧化物、</w:t>
                  </w:r>
                  <w:r>
                    <w:rPr>
                      <w:rFonts w:hint="eastAsia" w:ascii="Times New Roman" w:hAnsi="Times New Roman" w:eastAsia="宋体" w:cs="Times New Roman"/>
                      <w:color w:val="auto"/>
                      <w:sz w:val="21"/>
                      <w:szCs w:val="21"/>
                      <w:highlight w:val="none"/>
                      <w:lang w:val="en-US" w:eastAsia="zh-CN"/>
                    </w:rPr>
                    <w:t>汞及其化合物、林格曼黑度</w:t>
                  </w:r>
                </w:p>
              </w:tc>
            </w:tr>
            <w:tr w14:paraId="10B7668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6" w:type="dxa"/>
                  <w:vMerge w:val="continue"/>
                  <w:tcBorders>
                    <w:tl2br w:val="nil"/>
                    <w:tr2bl w:val="nil"/>
                  </w:tcBorders>
                  <w:noWrap w:val="0"/>
                  <w:vAlign w:val="center"/>
                </w:tcPr>
                <w:p w14:paraId="33CF4979">
                  <w:pPr>
                    <w:keepNext w:val="0"/>
                    <w:keepLines w:val="0"/>
                    <w:pageBreakBefore w:val="0"/>
                    <w:kinsoku/>
                    <w:wordWrap/>
                    <w:overflowPunct/>
                    <w:topLinePunct w:val="0"/>
                    <w:autoSpaceDE/>
                    <w:autoSpaceDN/>
                    <w:bidi w:val="0"/>
                    <w:jc w:val="center"/>
                    <w:rPr>
                      <w:rFonts w:hint="default" w:ascii="Times New Roman" w:hAnsi="Times New Roman" w:cs="Times New Roman"/>
                      <w:color w:val="auto"/>
                      <w:sz w:val="21"/>
                      <w:szCs w:val="21"/>
                      <w:highlight w:val="none"/>
                    </w:rPr>
                  </w:pPr>
                </w:p>
              </w:tc>
              <w:tc>
                <w:tcPr>
                  <w:tcW w:w="720" w:type="dxa"/>
                  <w:vMerge w:val="restart"/>
                  <w:tcBorders>
                    <w:tl2br w:val="nil"/>
                    <w:tr2bl w:val="nil"/>
                  </w:tcBorders>
                  <w:noWrap w:val="0"/>
                  <w:vAlign w:val="center"/>
                </w:tcPr>
                <w:p w14:paraId="5BA0FE25">
                  <w:pPr>
                    <w:keepNext w:val="0"/>
                    <w:keepLines w:val="0"/>
                    <w:pageBreakBefore w:val="0"/>
                    <w:kinsoku/>
                    <w:wordWrap/>
                    <w:overflowPunct/>
                    <w:topLinePunct w:val="0"/>
                    <w:autoSpaceDE/>
                    <w:autoSpaceDN/>
                    <w:bidi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w:t>
                  </w:r>
                </w:p>
              </w:tc>
              <w:tc>
                <w:tcPr>
                  <w:tcW w:w="2313" w:type="dxa"/>
                  <w:tcBorders>
                    <w:tl2br w:val="nil"/>
                    <w:tr2bl w:val="nil"/>
                  </w:tcBorders>
                  <w:noWrap w:val="0"/>
                  <w:vAlign w:val="center"/>
                </w:tcPr>
                <w:p w14:paraId="75B8FCFB">
                  <w:pPr>
                    <w:keepNext w:val="0"/>
                    <w:keepLines w:val="0"/>
                    <w:pageBreakBefore w:val="0"/>
                    <w:kinsoku/>
                    <w:wordWrap/>
                    <w:overflowPunct/>
                    <w:topLinePunct w:val="0"/>
                    <w:autoSpaceDE/>
                    <w:autoSpaceDN/>
                    <w:bidi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职工办公</w:t>
                  </w:r>
                </w:p>
              </w:tc>
              <w:tc>
                <w:tcPr>
                  <w:tcW w:w="2576" w:type="dxa"/>
                  <w:tcBorders>
                    <w:tl2br w:val="nil"/>
                    <w:tr2bl w:val="nil"/>
                  </w:tcBorders>
                  <w:noWrap w:val="0"/>
                  <w:vAlign w:val="center"/>
                </w:tcPr>
                <w:p w14:paraId="2F3160E9">
                  <w:pPr>
                    <w:keepNext w:val="0"/>
                    <w:keepLines w:val="0"/>
                    <w:pageBreakBefore w:val="0"/>
                    <w:widowControl/>
                    <w:kinsoku/>
                    <w:wordWrap/>
                    <w:overflowPunct/>
                    <w:topLinePunct w:val="0"/>
                    <w:autoSpaceDE/>
                    <w:autoSpaceDN/>
                    <w:bidi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w:t>
                  </w:r>
                  <w:r>
                    <w:rPr>
                      <w:rFonts w:hint="eastAsia" w:ascii="Times New Roman" w:hAnsi="Times New Roman" w:cs="Times New Roman"/>
                      <w:color w:val="auto"/>
                      <w:sz w:val="21"/>
                      <w:szCs w:val="21"/>
                      <w:highlight w:val="none"/>
                      <w:lang w:val="en-US" w:eastAsia="zh-CN"/>
                    </w:rPr>
                    <w:t>1</w:t>
                  </w:r>
                  <w:r>
                    <w:rPr>
                      <w:rFonts w:hint="default" w:ascii="Times New Roman" w:hAnsi="Times New Roman" w:cs="Times New Roman"/>
                      <w:color w:val="auto"/>
                      <w:sz w:val="21"/>
                      <w:szCs w:val="21"/>
                      <w:highlight w:val="none"/>
                      <w:lang w:val="en-US" w:eastAsia="zh-CN"/>
                    </w:rPr>
                    <w:t>生活污水</w:t>
                  </w:r>
                </w:p>
              </w:tc>
              <w:tc>
                <w:tcPr>
                  <w:tcW w:w="2825" w:type="dxa"/>
                  <w:tcBorders>
                    <w:tl2br w:val="nil"/>
                    <w:tr2bl w:val="nil"/>
                  </w:tcBorders>
                  <w:noWrap w:val="0"/>
                  <w:vAlign w:val="center"/>
                </w:tcPr>
                <w:p w14:paraId="0947886B">
                  <w:pPr>
                    <w:keepNext w:val="0"/>
                    <w:keepLines w:val="0"/>
                    <w:pageBreakBefore w:val="0"/>
                    <w:widowControl/>
                    <w:kinsoku/>
                    <w:wordWrap/>
                    <w:overflowPunct/>
                    <w:topLinePunct w:val="0"/>
                    <w:autoSpaceDE/>
                    <w:autoSpaceDN/>
                    <w:bidi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COD、BOD</w:t>
                  </w:r>
                  <w:r>
                    <w:rPr>
                      <w:rFonts w:hint="eastAsia" w:ascii="Times New Roman" w:hAnsi="Times New Roman" w:cs="Times New Roman"/>
                      <w:color w:val="auto"/>
                      <w:sz w:val="21"/>
                      <w:szCs w:val="21"/>
                      <w:highlight w:val="none"/>
                      <w:vertAlign w:val="subscript"/>
                      <w:lang w:val="en-US" w:eastAsia="zh-CN"/>
                    </w:rPr>
                    <w:t>5</w:t>
                  </w:r>
                  <w:r>
                    <w:rPr>
                      <w:rFonts w:hint="eastAsia" w:ascii="Times New Roman" w:hAnsi="Times New Roman" w:cs="Times New Roman"/>
                      <w:color w:val="auto"/>
                      <w:sz w:val="21"/>
                      <w:szCs w:val="21"/>
                      <w:highlight w:val="none"/>
                      <w:vertAlign w:val="baseline"/>
                      <w:lang w:val="en-US" w:eastAsia="zh-CN"/>
                    </w:rPr>
                    <w:t>、NH</w:t>
                  </w:r>
                  <w:r>
                    <w:rPr>
                      <w:rFonts w:hint="eastAsia" w:ascii="Times New Roman" w:hAnsi="Times New Roman" w:cs="Times New Roman"/>
                      <w:color w:val="auto"/>
                      <w:sz w:val="21"/>
                      <w:szCs w:val="21"/>
                      <w:highlight w:val="none"/>
                      <w:vertAlign w:val="subscript"/>
                      <w:lang w:val="en-US" w:eastAsia="zh-CN"/>
                    </w:rPr>
                    <w:t>3</w:t>
                  </w:r>
                  <w:r>
                    <w:rPr>
                      <w:rFonts w:hint="eastAsia" w:ascii="Times New Roman" w:hAnsi="Times New Roman" w:cs="Times New Roman"/>
                      <w:color w:val="auto"/>
                      <w:sz w:val="21"/>
                      <w:szCs w:val="21"/>
                      <w:highlight w:val="none"/>
                      <w:vertAlign w:val="baseline"/>
                      <w:lang w:val="en-US" w:eastAsia="zh-CN"/>
                    </w:rPr>
                    <w:t>-N、SS、</w:t>
                  </w:r>
                  <w:r>
                    <w:rPr>
                      <w:rFonts w:hint="eastAsia" w:cs="Times New Roman"/>
                      <w:color w:val="auto"/>
                      <w:sz w:val="21"/>
                      <w:szCs w:val="21"/>
                      <w:highlight w:val="none"/>
                      <w:vertAlign w:val="baseline"/>
                      <w:lang w:val="en-US" w:eastAsia="zh-CN"/>
                    </w:rPr>
                    <w:t>TN、TP</w:t>
                  </w:r>
                </w:p>
              </w:tc>
            </w:tr>
            <w:tr w14:paraId="17F631C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496" w:type="dxa"/>
                  <w:vMerge w:val="continue"/>
                  <w:tcBorders>
                    <w:tl2br w:val="nil"/>
                    <w:tr2bl w:val="nil"/>
                  </w:tcBorders>
                  <w:noWrap w:val="0"/>
                  <w:vAlign w:val="center"/>
                </w:tcPr>
                <w:p w14:paraId="25878793">
                  <w:pPr>
                    <w:keepNext w:val="0"/>
                    <w:keepLines w:val="0"/>
                    <w:pageBreakBefore w:val="0"/>
                    <w:kinsoku/>
                    <w:wordWrap/>
                    <w:overflowPunct/>
                    <w:topLinePunct w:val="0"/>
                    <w:autoSpaceDE/>
                    <w:autoSpaceDN/>
                    <w:bidi w:val="0"/>
                    <w:jc w:val="center"/>
                    <w:rPr>
                      <w:rFonts w:hint="default" w:ascii="Times New Roman" w:hAnsi="Times New Roman" w:cs="Times New Roman"/>
                      <w:color w:val="auto"/>
                      <w:sz w:val="21"/>
                      <w:szCs w:val="21"/>
                      <w:highlight w:val="none"/>
                    </w:rPr>
                  </w:pPr>
                </w:p>
              </w:tc>
              <w:tc>
                <w:tcPr>
                  <w:tcW w:w="720" w:type="dxa"/>
                  <w:vMerge w:val="continue"/>
                  <w:tcBorders>
                    <w:tl2br w:val="nil"/>
                    <w:tr2bl w:val="nil"/>
                  </w:tcBorders>
                  <w:noWrap w:val="0"/>
                  <w:vAlign w:val="center"/>
                </w:tcPr>
                <w:p w14:paraId="2DA2752D">
                  <w:pPr>
                    <w:keepNext w:val="0"/>
                    <w:keepLines w:val="0"/>
                    <w:pageBreakBefore w:val="0"/>
                    <w:kinsoku/>
                    <w:wordWrap/>
                    <w:overflowPunct/>
                    <w:topLinePunct w:val="0"/>
                    <w:autoSpaceDE/>
                    <w:autoSpaceDN/>
                    <w:bidi w:val="0"/>
                    <w:snapToGrid w:val="0"/>
                    <w:jc w:val="center"/>
                    <w:rPr>
                      <w:rFonts w:hint="default" w:ascii="Times New Roman" w:hAnsi="Times New Roman" w:cs="Times New Roman"/>
                      <w:color w:val="auto"/>
                      <w:sz w:val="21"/>
                      <w:szCs w:val="21"/>
                      <w:highlight w:val="none"/>
                    </w:rPr>
                  </w:pPr>
                </w:p>
              </w:tc>
              <w:tc>
                <w:tcPr>
                  <w:tcW w:w="2313" w:type="dxa"/>
                  <w:tcBorders>
                    <w:tl2br w:val="nil"/>
                    <w:tr2bl w:val="nil"/>
                  </w:tcBorders>
                  <w:noWrap w:val="0"/>
                  <w:vAlign w:val="center"/>
                </w:tcPr>
                <w:p w14:paraId="6F768465">
                  <w:pPr>
                    <w:keepNext w:val="0"/>
                    <w:keepLines w:val="0"/>
                    <w:pageBreakBefore w:val="0"/>
                    <w:kinsoku/>
                    <w:wordWrap/>
                    <w:overflowPunct/>
                    <w:topLinePunct w:val="0"/>
                    <w:autoSpaceDE/>
                    <w:autoSpaceDN/>
                    <w:bidi w:val="0"/>
                    <w:snapToGrid w:val="0"/>
                    <w:jc w:val="center"/>
                    <w:rPr>
                      <w:rFonts w:hint="default"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锅炉、软化水</w:t>
                  </w:r>
                  <w:r>
                    <w:rPr>
                      <w:rFonts w:hint="eastAsia" w:cs="Times New Roman"/>
                      <w:color w:val="auto"/>
                      <w:sz w:val="21"/>
                      <w:szCs w:val="21"/>
                      <w:highlight w:val="none"/>
                      <w:lang w:val="en-US" w:eastAsia="zh-CN"/>
                    </w:rPr>
                    <w:t>制备</w:t>
                  </w:r>
                  <w:r>
                    <w:rPr>
                      <w:rFonts w:hint="eastAsia" w:ascii="Times New Roman" w:hAnsi="Times New Roman" w:eastAsia="宋体" w:cs="Times New Roman"/>
                      <w:color w:val="auto"/>
                      <w:sz w:val="21"/>
                      <w:szCs w:val="21"/>
                      <w:highlight w:val="none"/>
                      <w:lang w:val="en-US" w:eastAsia="zh-CN"/>
                    </w:rPr>
                    <w:t>系统</w:t>
                  </w:r>
                </w:p>
              </w:tc>
              <w:tc>
                <w:tcPr>
                  <w:tcW w:w="2576" w:type="dxa"/>
                  <w:tcBorders>
                    <w:tl2br w:val="nil"/>
                    <w:tr2bl w:val="nil"/>
                  </w:tcBorders>
                  <w:noWrap w:val="0"/>
                  <w:vAlign w:val="center"/>
                </w:tcPr>
                <w:p w14:paraId="621EA4A7">
                  <w:pPr>
                    <w:keepNext w:val="0"/>
                    <w:keepLines w:val="0"/>
                    <w:pageBreakBefore w:val="0"/>
                    <w:widowControl/>
                    <w:kinsoku/>
                    <w:wordWrap/>
                    <w:overflowPunct/>
                    <w:topLinePunct w:val="0"/>
                    <w:autoSpaceDE/>
                    <w:autoSpaceDN/>
                    <w:bidi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W2</w:t>
                  </w:r>
                  <w:r>
                    <w:rPr>
                      <w:rFonts w:hint="default" w:ascii="Times New Roman" w:hAnsi="Times New Roman" w:eastAsia="宋体" w:cs="Times New Roman"/>
                      <w:color w:val="auto"/>
                      <w:sz w:val="21"/>
                      <w:szCs w:val="21"/>
                      <w:highlight w:val="none"/>
                      <w:lang w:val="en-US" w:eastAsia="zh-CN"/>
                    </w:rPr>
                    <w:t>锅炉排</w:t>
                  </w:r>
                  <w:r>
                    <w:rPr>
                      <w:rFonts w:hint="default" w:ascii="Times New Roman" w:hAnsi="Times New Roman" w:eastAsia="宋体" w:cs="Times New Roman"/>
                      <w:color w:val="auto"/>
                      <w:sz w:val="21"/>
                      <w:szCs w:val="21"/>
                      <w:highlight w:val="none"/>
                    </w:rPr>
                    <w:t>污水</w:t>
                  </w:r>
                  <w:r>
                    <w:rPr>
                      <w:rFonts w:hint="default" w:ascii="Times New Roman" w:hAnsi="Times New Roman" w:eastAsia="宋体" w:cs="Times New Roman"/>
                      <w:color w:val="auto"/>
                      <w:sz w:val="21"/>
                      <w:szCs w:val="21"/>
                      <w:highlight w:val="none"/>
                      <w:lang w:val="en-US" w:eastAsia="zh-CN"/>
                    </w:rPr>
                    <w:t>及软化处理废水</w:t>
                  </w:r>
                </w:p>
              </w:tc>
              <w:tc>
                <w:tcPr>
                  <w:tcW w:w="2825" w:type="dxa"/>
                  <w:tcBorders>
                    <w:tl2br w:val="nil"/>
                    <w:tr2bl w:val="nil"/>
                  </w:tcBorders>
                  <w:noWrap w:val="0"/>
                  <w:vAlign w:val="center"/>
                </w:tcPr>
                <w:p w14:paraId="50DD53CB">
                  <w:pPr>
                    <w:keepNext w:val="0"/>
                    <w:keepLines w:val="0"/>
                    <w:pageBreakBefore w:val="0"/>
                    <w:widowControl/>
                    <w:kinsoku/>
                    <w:wordWrap/>
                    <w:overflowPunct/>
                    <w:topLinePunct w:val="0"/>
                    <w:autoSpaceDE/>
                    <w:autoSpaceDN/>
                    <w:bidi w:val="0"/>
                    <w:jc w:val="center"/>
                    <w:textAlignment w:val="center"/>
                    <w:rPr>
                      <w:rFonts w:hint="default" w:ascii="Times New Roman" w:hAnsi="Times New Roman" w:cs="Times New Roman"/>
                      <w:color w:val="auto"/>
                      <w:sz w:val="21"/>
                      <w:szCs w:val="21"/>
                      <w:highlight w:val="none"/>
                      <w:vertAlign w:val="baseline"/>
                      <w:lang w:val="en-US" w:eastAsia="zh-CN"/>
                    </w:rPr>
                  </w:pPr>
                  <w:r>
                    <w:rPr>
                      <w:rFonts w:hint="eastAsia" w:cs="Times New Roman"/>
                      <w:color w:val="auto"/>
                      <w:sz w:val="21"/>
                      <w:szCs w:val="21"/>
                      <w:highlight w:val="none"/>
                      <w:lang w:val="en-US" w:eastAsia="zh-CN"/>
                    </w:rPr>
                    <w:t>pH</w:t>
                  </w:r>
                  <w:r>
                    <w:rPr>
                      <w:rFonts w:hint="eastAsia" w:ascii="Times New Roman" w:hAnsi="Times New Roman" w:cs="Times New Roman"/>
                      <w:color w:val="auto"/>
                      <w:sz w:val="21"/>
                      <w:szCs w:val="21"/>
                      <w:highlight w:val="none"/>
                      <w:lang w:val="en-US" w:eastAsia="zh-CN"/>
                    </w:rPr>
                    <w:t>、COD、SS</w:t>
                  </w:r>
                  <w:r>
                    <w:rPr>
                      <w:rFonts w:hint="eastAsia" w:cs="Times New Roman"/>
                      <w:color w:val="auto"/>
                      <w:sz w:val="21"/>
                      <w:szCs w:val="21"/>
                      <w:highlight w:val="none"/>
                      <w:lang w:val="en-US" w:eastAsia="zh-CN"/>
                    </w:rPr>
                    <w:t>、</w:t>
                  </w:r>
                  <w:r>
                    <w:rPr>
                      <w:rFonts w:hint="eastAsia"/>
                      <w:color w:val="auto"/>
                      <w:highlight w:val="none"/>
                      <w:lang w:val="en-US" w:eastAsia="zh-CN"/>
                    </w:rPr>
                    <w:t>溶解性总固体（TDS）</w:t>
                  </w:r>
                </w:p>
              </w:tc>
            </w:tr>
            <w:tr w14:paraId="202F389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496" w:type="dxa"/>
                  <w:vMerge w:val="continue"/>
                  <w:tcBorders>
                    <w:tl2br w:val="nil"/>
                    <w:tr2bl w:val="nil"/>
                  </w:tcBorders>
                  <w:noWrap w:val="0"/>
                  <w:vAlign w:val="center"/>
                </w:tcPr>
                <w:p w14:paraId="0928F7B9">
                  <w:pPr>
                    <w:keepNext w:val="0"/>
                    <w:keepLines w:val="0"/>
                    <w:pageBreakBefore w:val="0"/>
                    <w:kinsoku/>
                    <w:wordWrap/>
                    <w:overflowPunct/>
                    <w:topLinePunct w:val="0"/>
                    <w:autoSpaceDE/>
                    <w:autoSpaceDN/>
                    <w:bidi w:val="0"/>
                    <w:jc w:val="center"/>
                    <w:rPr>
                      <w:rFonts w:hint="default" w:ascii="Times New Roman" w:hAnsi="Times New Roman" w:cs="Times New Roman"/>
                      <w:color w:val="FF0000"/>
                      <w:sz w:val="21"/>
                      <w:szCs w:val="21"/>
                      <w:highlight w:val="none"/>
                    </w:rPr>
                  </w:pPr>
                </w:p>
              </w:tc>
              <w:tc>
                <w:tcPr>
                  <w:tcW w:w="720" w:type="dxa"/>
                  <w:tcBorders>
                    <w:tl2br w:val="nil"/>
                    <w:tr2bl w:val="nil"/>
                  </w:tcBorders>
                  <w:noWrap w:val="0"/>
                  <w:vAlign w:val="center"/>
                </w:tcPr>
                <w:p w14:paraId="0420449D">
                  <w:pPr>
                    <w:keepNext w:val="0"/>
                    <w:keepLines w:val="0"/>
                    <w:pageBreakBefore w:val="0"/>
                    <w:kinsoku/>
                    <w:wordWrap/>
                    <w:overflowPunct/>
                    <w:topLinePunct w:val="0"/>
                    <w:autoSpaceDE/>
                    <w:autoSpaceDN/>
                    <w:bidi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噪声</w:t>
                  </w:r>
                </w:p>
              </w:tc>
              <w:tc>
                <w:tcPr>
                  <w:tcW w:w="2313" w:type="dxa"/>
                  <w:tcBorders>
                    <w:tl2br w:val="nil"/>
                    <w:tr2bl w:val="nil"/>
                  </w:tcBorders>
                  <w:noWrap w:val="0"/>
                  <w:vAlign w:val="center"/>
                </w:tcPr>
                <w:p w14:paraId="5EA63EA2">
                  <w:pPr>
                    <w:keepNext w:val="0"/>
                    <w:keepLines w:val="0"/>
                    <w:pageBreakBefore w:val="0"/>
                    <w:kinsoku/>
                    <w:wordWrap/>
                    <w:overflowPunct/>
                    <w:topLinePunct w:val="0"/>
                    <w:autoSpaceDE/>
                    <w:autoSpaceDN/>
                    <w:bidi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设备运行</w:t>
                  </w:r>
                </w:p>
              </w:tc>
              <w:tc>
                <w:tcPr>
                  <w:tcW w:w="2576" w:type="dxa"/>
                  <w:tcBorders>
                    <w:tl2br w:val="nil"/>
                    <w:tr2bl w:val="nil"/>
                  </w:tcBorders>
                  <w:noWrap w:val="0"/>
                  <w:vAlign w:val="center"/>
                </w:tcPr>
                <w:p w14:paraId="02694B38">
                  <w:pPr>
                    <w:keepNext w:val="0"/>
                    <w:keepLines w:val="0"/>
                    <w:pageBreakBefore w:val="0"/>
                    <w:widowControl/>
                    <w:kinsoku/>
                    <w:wordWrap/>
                    <w:overflowPunct/>
                    <w:topLinePunct w:val="0"/>
                    <w:autoSpaceDE/>
                    <w:autoSpaceDN/>
                    <w:bidi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N1设备运行噪声</w:t>
                  </w:r>
                </w:p>
              </w:tc>
              <w:tc>
                <w:tcPr>
                  <w:tcW w:w="2825" w:type="dxa"/>
                  <w:tcBorders>
                    <w:tl2br w:val="nil"/>
                    <w:tr2bl w:val="nil"/>
                  </w:tcBorders>
                  <w:noWrap w:val="0"/>
                  <w:vAlign w:val="center"/>
                </w:tcPr>
                <w:p w14:paraId="07A8E8EB">
                  <w:pPr>
                    <w:keepNext w:val="0"/>
                    <w:keepLines w:val="0"/>
                    <w:pageBreakBefore w:val="0"/>
                    <w:widowControl/>
                    <w:kinsoku/>
                    <w:wordWrap/>
                    <w:overflowPunct/>
                    <w:topLinePunct w:val="0"/>
                    <w:autoSpaceDE/>
                    <w:autoSpaceDN/>
                    <w:bidi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机械噪声</w:t>
                  </w:r>
                </w:p>
              </w:tc>
            </w:tr>
            <w:tr w14:paraId="1767D09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6" w:type="dxa"/>
                  <w:vMerge w:val="continue"/>
                  <w:tcBorders>
                    <w:tl2br w:val="nil"/>
                    <w:tr2bl w:val="nil"/>
                  </w:tcBorders>
                  <w:noWrap w:val="0"/>
                  <w:vAlign w:val="center"/>
                </w:tcPr>
                <w:p w14:paraId="1E338957">
                  <w:pPr>
                    <w:keepNext w:val="0"/>
                    <w:keepLines w:val="0"/>
                    <w:pageBreakBefore w:val="0"/>
                    <w:kinsoku/>
                    <w:wordWrap/>
                    <w:overflowPunct/>
                    <w:topLinePunct w:val="0"/>
                    <w:autoSpaceDE/>
                    <w:autoSpaceDN/>
                    <w:bidi w:val="0"/>
                    <w:jc w:val="center"/>
                    <w:rPr>
                      <w:rFonts w:hint="default" w:ascii="Times New Roman" w:hAnsi="Times New Roman" w:cs="Times New Roman"/>
                      <w:color w:val="FF0000"/>
                      <w:sz w:val="21"/>
                      <w:szCs w:val="21"/>
                      <w:highlight w:val="none"/>
                    </w:rPr>
                  </w:pPr>
                </w:p>
              </w:tc>
              <w:tc>
                <w:tcPr>
                  <w:tcW w:w="720" w:type="dxa"/>
                  <w:vMerge w:val="restart"/>
                  <w:tcBorders>
                    <w:tl2br w:val="nil"/>
                    <w:tr2bl w:val="nil"/>
                  </w:tcBorders>
                  <w:noWrap w:val="0"/>
                  <w:vAlign w:val="center"/>
                </w:tcPr>
                <w:p w14:paraId="156CA9B8">
                  <w:pPr>
                    <w:keepNext w:val="0"/>
                    <w:keepLines w:val="0"/>
                    <w:pageBreakBefore w:val="0"/>
                    <w:kinsoku/>
                    <w:wordWrap/>
                    <w:overflowPunct/>
                    <w:topLinePunct w:val="0"/>
                    <w:autoSpaceDE/>
                    <w:autoSpaceDN/>
                    <w:bidi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固体废物</w:t>
                  </w:r>
                </w:p>
              </w:tc>
              <w:tc>
                <w:tcPr>
                  <w:tcW w:w="2313" w:type="dxa"/>
                  <w:tcBorders>
                    <w:tl2br w:val="nil"/>
                    <w:tr2bl w:val="nil"/>
                  </w:tcBorders>
                  <w:noWrap w:val="0"/>
                  <w:vAlign w:val="center"/>
                </w:tcPr>
                <w:p w14:paraId="362C62B1">
                  <w:pPr>
                    <w:keepNext w:val="0"/>
                    <w:keepLines w:val="0"/>
                    <w:pageBreakBefore w:val="0"/>
                    <w:kinsoku/>
                    <w:wordWrap/>
                    <w:overflowPunct/>
                    <w:topLinePunct w:val="0"/>
                    <w:autoSpaceDE/>
                    <w:autoSpaceDN/>
                    <w:bidi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生活垃圾</w:t>
                  </w:r>
                </w:p>
              </w:tc>
              <w:tc>
                <w:tcPr>
                  <w:tcW w:w="2576" w:type="dxa"/>
                  <w:tcBorders>
                    <w:tl2br w:val="nil"/>
                    <w:tr2bl w:val="nil"/>
                  </w:tcBorders>
                  <w:noWrap w:val="0"/>
                  <w:vAlign w:val="center"/>
                </w:tcPr>
                <w:p w14:paraId="57E70E6D">
                  <w:pPr>
                    <w:keepNext w:val="0"/>
                    <w:keepLines w:val="0"/>
                    <w:pageBreakBefore w:val="0"/>
                    <w:widowControl/>
                    <w:kinsoku/>
                    <w:wordWrap/>
                    <w:overflowPunct/>
                    <w:topLinePunct w:val="0"/>
                    <w:autoSpaceDE/>
                    <w:autoSpaceDN/>
                    <w:bidi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S1</w:t>
                  </w:r>
                  <w:r>
                    <w:rPr>
                      <w:rFonts w:hint="eastAsia" w:ascii="Times New Roman" w:hAnsi="Times New Roman" w:eastAsia="宋体" w:cs="Times New Roman"/>
                      <w:color w:val="auto"/>
                      <w:sz w:val="21"/>
                      <w:szCs w:val="21"/>
                      <w:highlight w:val="none"/>
                      <w:lang w:val="en-US" w:eastAsia="zh-CN"/>
                    </w:rPr>
                    <w:t>生活垃圾</w:t>
                  </w:r>
                </w:p>
              </w:tc>
              <w:tc>
                <w:tcPr>
                  <w:tcW w:w="2825" w:type="dxa"/>
                  <w:tcBorders>
                    <w:tl2br w:val="nil"/>
                    <w:tr2bl w:val="nil"/>
                  </w:tcBorders>
                  <w:noWrap w:val="0"/>
                  <w:vAlign w:val="center"/>
                </w:tcPr>
                <w:p w14:paraId="2A713D4C">
                  <w:pPr>
                    <w:keepNext w:val="0"/>
                    <w:keepLines w:val="0"/>
                    <w:pageBreakBefore w:val="0"/>
                    <w:widowControl/>
                    <w:kinsoku/>
                    <w:wordWrap/>
                    <w:overflowPunct/>
                    <w:topLinePunct w:val="0"/>
                    <w:autoSpaceDE/>
                    <w:autoSpaceDN/>
                    <w:bidi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企业职工生活垃圾</w:t>
                  </w:r>
                </w:p>
              </w:tc>
            </w:tr>
            <w:tr w14:paraId="5E6309A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496" w:type="dxa"/>
                  <w:vMerge w:val="continue"/>
                  <w:tcBorders>
                    <w:tl2br w:val="nil"/>
                    <w:tr2bl w:val="nil"/>
                  </w:tcBorders>
                  <w:noWrap w:val="0"/>
                  <w:vAlign w:val="center"/>
                </w:tcPr>
                <w:p w14:paraId="3AB67476">
                  <w:pPr>
                    <w:keepNext w:val="0"/>
                    <w:keepLines w:val="0"/>
                    <w:pageBreakBefore w:val="0"/>
                    <w:kinsoku/>
                    <w:wordWrap/>
                    <w:overflowPunct/>
                    <w:topLinePunct w:val="0"/>
                    <w:autoSpaceDE/>
                    <w:autoSpaceDN/>
                    <w:bidi w:val="0"/>
                    <w:jc w:val="center"/>
                    <w:rPr>
                      <w:rFonts w:hint="default" w:ascii="Times New Roman" w:hAnsi="Times New Roman" w:cs="Times New Roman"/>
                      <w:color w:val="FF0000"/>
                      <w:sz w:val="21"/>
                      <w:szCs w:val="21"/>
                      <w:highlight w:val="none"/>
                    </w:rPr>
                  </w:pPr>
                </w:p>
              </w:tc>
              <w:tc>
                <w:tcPr>
                  <w:tcW w:w="720" w:type="dxa"/>
                  <w:vMerge w:val="continue"/>
                  <w:tcBorders>
                    <w:tl2br w:val="nil"/>
                    <w:tr2bl w:val="nil"/>
                  </w:tcBorders>
                  <w:noWrap w:val="0"/>
                  <w:vAlign w:val="center"/>
                </w:tcPr>
                <w:p w14:paraId="6C70E77E">
                  <w:pPr>
                    <w:keepNext w:val="0"/>
                    <w:keepLines w:val="0"/>
                    <w:pageBreakBefore w:val="0"/>
                    <w:kinsoku/>
                    <w:wordWrap/>
                    <w:overflowPunct/>
                    <w:topLinePunct w:val="0"/>
                    <w:autoSpaceDE/>
                    <w:autoSpaceDN/>
                    <w:bidi w:val="0"/>
                    <w:snapToGrid w:val="0"/>
                    <w:jc w:val="center"/>
                    <w:rPr>
                      <w:rFonts w:hint="default" w:ascii="Times New Roman" w:hAnsi="Times New Roman" w:cs="Times New Roman"/>
                      <w:color w:val="auto"/>
                      <w:sz w:val="21"/>
                      <w:szCs w:val="21"/>
                      <w:highlight w:val="none"/>
                    </w:rPr>
                  </w:pPr>
                </w:p>
              </w:tc>
              <w:tc>
                <w:tcPr>
                  <w:tcW w:w="2313" w:type="dxa"/>
                  <w:tcBorders>
                    <w:tl2br w:val="nil"/>
                    <w:tr2bl w:val="nil"/>
                  </w:tcBorders>
                  <w:noWrap w:val="0"/>
                  <w:vAlign w:val="center"/>
                </w:tcPr>
                <w:p w14:paraId="03605B8C">
                  <w:pPr>
                    <w:keepNext w:val="0"/>
                    <w:keepLines w:val="0"/>
                    <w:pageBreakBefore w:val="0"/>
                    <w:kinsoku/>
                    <w:wordWrap/>
                    <w:overflowPunct/>
                    <w:topLinePunct w:val="0"/>
                    <w:autoSpaceDE/>
                    <w:autoSpaceDN/>
                    <w:bidi w:val="0"/>
                    <w:snapToGrid w:val="0"/>
                    <w:jc w:val="center"/>
                    <w:rPr>
                      <w:rFonts w:hint="default" w:ascii="Times New Roman" w:hAnsi="Times New Roman" w:eastAsia="宋体" w:cs="Times New Roman"/>
                      <w:color w:val="auto"/>
                      <w:sz w:val="21"/>
                      <w:szCs w:val="21"/>
                      <w:highlight w:val="none"/>
                      <w:lang w:val="en-US" w:eastAsia="zh-CN"/>
                    </w:rPr>
                  </w:pPr>
                  <w:r>
                    <w:rPr>
                      <w:rFonts w:hint="default"/>
                      <w:color w:val="auto"/>
                      <w:sz w:val="21"/>
                      <w:szCs w:val="21"/>
                      <w:highlight w:val="none"/>
                      <w:lang w:val="en-US" w:eastAsia="zh-CN"/>
                    </w:rPr>
                    <w:t>锅炉本体及除尘设施</w:t>
                  </w:r>
                </w:p>
              </w:tc>
              <w:tc>
                <w:tcPr>
                  <w:tcW w:w="2576" w:type="dxa"/>
                  <w:tcBorders>
                    <w:tl2br w:val="nil"/>
                    <w:tr2bl w:val="nil"/>
                  </w:tcBorders>
                  <w:noWrap w:val="0"/>
                  <w:vAlign w:val="center"/>
                </w:tcPr>
                <w:p w14:paraId="71E677BA">
                  <w:pPr>
                    <w:keepNext w:val="0"/>
                    <w:keepLines w:val="0"/>
                    <w:pageBreakBefore w:val="0"/>
                    <w:widowControl/>
                    <w:kinsoku/>
                    <w:wordWrap/>
                    <w:overflowPunct/>
                    <w:topLinePunct w:val="0"/>
                    <w:autoSpaceDE/>
                    <w:autoSpaceDN/>
                    <w:bidi w:val="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S2</w:t>
                  </w:r>
                  <w:r>
                    <w:rPr>
                      <w:rFonts w:hint="eastAsia" w:cs="Times New Roman"/>
                      <w:color w:val="auto"/>
                      <w:kern w:val="0"/>
                      <w:sz w:val="21"/>
                      <w:szCs w:val="21"/>
                      <w:highlight w:val="none"/>
                      <w:lang w:val="en-US" w:eastAsia="zh-CN" w:bidi="ar-SA"/>
                    </w:rPr>
                    <w:t>锅炉灰渣</w:t>
                  </w:r>
                </w:p>
              </w:tc>
              <w:tc>
                <w:tcPr>
                  <w:tcW w:w="2825" w:type="dxa"/>
                  <w:tcBorders>
                    <w:tl2br w:val="nil"/>
                    <w:tr2bl w:val="nil"/>
                  </w:tcBorders>
                  <w:noWrap w:val="0"/>
                  <w:vAlign w:val="center"/>
                </w:tcPr>
                <w:p w14:paraId="3EB4D64B">
                  <w:pPr>
                    <w:keepNext w:val="0"/>
                    <w:keepLines w:val="0"/>
                    <w:pageBreakBefore w:val="0"/>
                    <w:widowControl/>
                    <w:kinsoku/>
                    <w:wordWrap/>
                    <w:overflowPunct/>
                    <w:topLinePunct w:val="0"/>
                    <w:autoSpaceDE/>
                    <w:autoSpaceDN/>
                    <w:bidi w:val="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锅炉炉渣、布袋除尘器收尘</w:t>
                  </w:r>
                </w:p>
              </w:tc>
            </w:tr>
            <w:tr w14:paraId="77A820F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6" w:type="dxa"/>
                  <w:vMerge w:val="continue"/>
                  <w:tcBorders>
                    <w:tl2br w:val="nil"/>
                    <w:tr2bl w:val="nil"/>
                  </w:tcBorders>
                  <w:noWrap w:val="0"/>
                  <w:vAlign w:val="center"/>
                </w:tcPr>
                <w:p w14:paraId="1D6B06EE">
                  <w:pPr>
                    <w:keepNext w:val="0"/>
                    <w:keepLines w:val="0"/>
                    <w:pageBreakBefore w:val="0"/>
                    <w:kinsoku/>
                    <w:wordWrap/>
                    <w:overflowPunct/>
                    <w:topLinePunct w:val="0"/>
                    <w:autoSpaceDE/>
                    <w:autoSpaceDN/>
                    <w:bidi w:val="0"/>
                    <w:jc w:val="center"/>
                    <w:rPr>
                      <w:rFonts w:hint="default" w:ascii="Times New Roman" w:hAnsi="Times New Roman" w:cs="Times New Roman"/>
                      <w:color w:val="FF0000"/>
                      <w:sz w:val="21"/>
                      <w:szCs w:val="21"/>
                      <w:highlight w:val="none"/>
                    </w:rPr>
                  </w:pPr>
                </w:p>
              </w:tc>
              <w:tc>
                <w:tcPr>
                  <w:tcW w:w="720" w:type="dxa"/>
                  <w:vMerge w:val="continue"/>
                  <w:tcBorders>
                    <w:tl2br w:val="nil"/>
                    <w:tr2bl w:val="nil"/>
                  </w:tcBorders>
                  <w:noWrap w:val="0"/>
                  <w:vAlign w:val="center"/>
                </w:tcPr>
                <w:p w14:paraId="315611EA">
                  <w:pPr>
                    <w:keepNext w:val="0"/>
                    <w:keepLines w:val="0"/>
                    <w:pageBreakBefore w:val="0"/>
                    <w:kinsoku/>
                    <w:wordWrap/>
                    <w:overflowPunct/>
                    <w:topLinePunct w:val="0"/>
                    <w:autoSpaceDE/>
                    <w:autoSpaceDN/>
                    <w:bidi w:val="0"/>
                    <w:snapToGrid w:val="0"/>
                    <w:jc w:val="center"/>
                    <w:rPr>
                      <w:rFonts w:hint="default" w:ascii="Times New Roman" w:hAnsi="Times New Roman" w:cs="Times New Roman"/>
                      <w:color w:val="auto"/>
                      <w:sz w:val="21"/>
                      <w:szCs w:val="21"/>
                      <w:highlight w:val="none"/>
                    </w:rPr>
                  </w:pPr>
                </w:p>
              </w:tc>
              <w:tc>
                <w:tcPr>
                  <w:tcW w:w="2313" w:type="dxa"/>
                  <w:tcBorders>
                    <w:tl2br w:val="nil"/>
                    <w:tr2bl w:val="nil"/>
                  </w:tcBorders>
                  <w:noWrap w:val="0"/>
                  <w:vAlign w:val="center"/>
                </w:tcPr>
                <w:p w14:paraId="43490E41">
                  <w:pPr>
                    <w:keepNext w:val="0"/>
                    <w:keepLines w:val="0"/>
                    <w:pageBreakBefore w:val="0"/>
                    <w:kinsoku/>
                    <w:wordWrap/>
                    <w:overflowPunct/>
                    <w:topLinePunct w:val="0"/>
                    <w:autoSpaceDE/>
                    <w:autoSpaceDN/>
                    <w:bidi w:val="0"/>
                    <w:snapToGrid w:val="0"/>
                    <w:jc w:val="center"/>
                    <w:rPr>
                      <w:rFonts w:hint="default" w:ascii="Times New Roman" w:hAnsi="Times New Roman" w:cs="Times New Roman"/>
                      <w:color w:val="auto"/>
                      <w:sz w:val="21"/>
                      <w:szCs w:val="21"/>
                      <w:highlight w:val="none"/>
                      <w:lang w:val="en-US" w:eastAsia="zh-CN"/>
                    </w:rPr>
                  </w:pPr>
                  <w:r>
                    <w:rPr>
                      <w:rFonts w:hint="eastAsia"/>
                      <w:color w:val="auto"/>
                      <w:sz w:val="21"/>
                      <w:szCs w:val="21"/>
                      <w:highlight w:val="none"/>
                      <w:lang w:val="en-US" w:eastAsia="zh-CN"/>
                    </w:rPr>
                    <w:t>废气处理</w:t>
                  </w:r>
                </w:p>
              </w:tc>
              <w:tc>
                <w:tcPr>
                  <w:tcW w:w="2576" w:type="dxa"/>
                  <w:tcBorders>
                    <w:tl2br w:val="nil"/>
                    <w:tr2bl w:val="nil"/>
                  </w:tcBorders>
                  <w:noWrap w:val="0"/>
                  <w:vAlign w:val="center"/>
                </w:tcPr>
                <w:p w14:paraId="33ECF924">
                  <w:pPr>
                    <w:keepNext w:val="0"/>
                    <w:keepLines w:val="0"/>
                    <w:pageBreakBefore w:val="0"/>
                    <w:widowControl/>
                    <w:kinsoku/>
                    <w:wordWrap/>
                    <w:overflowPunct/>
                    <w:topLinePunct w:val="0"/>
                    <w:autoSpaceDE/>
                    <w:autoSpaceDN/>
                    <w:bidi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S3废弃除尘布袋</w:t>
                  </w:r>
                </w:p>
              </w:tc>
              <w:tc>
                <w:tcPr>
                  <w:tcW w:w="2825" w:type="dxa"/>
                  <w:tcBorders>
                    <w:tl2br w:val="nil"/>
                    <w:tr2bl w:val="nil"/>
                  </w:tcBorders>
                  <w:noWrap w:val="0"/>
                  <w:vAlign w:val="center"/>
                </w:tcPr>
                <w:p w14:paraId="75F3F83A">
                  <w:pPr>
                    <w:keepNext w:val="0"/>
                    <w:keepLines w:val="0"/>
                    <w:pageBreakBefore w:val="0"/>
                    <w:widowControl/>
                    <w:kinsoku/>
                    <w:wordWrap/>
                    <w:overflowPunct/>
                    <w:topLinePunct w:val="0"/>
                    <w:autoSpaceDE/>
                    <w:autoSpaceDN/>
                    <w:bidi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破损除尘布袋</w:t>
                  </w:r>
                </w:p>
              </w:tc>
            </w:tr>
            <w:tr w14:paraId="2D330F0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6" w:type="dxa"/>
                  <w:vMerge w:val="continue"/>
                  <w:tcBorders>
                    <w:tl2br w:val="nil"/>
                    <w:tr2bl w:val="nil"/>
                  </w:tcBorders>
                  <w:noWrap w:val="0"/>
                  <w:vAlign w:val="center"/>
                </w:tcPr>
                <w:p w14:paraId="340FD567">
                  <w:pPr>
                    <w:keepNext w:val="0"/>
                    <w:keepLines w:val="0"/>
                    <w:pageBreakBefore w:val="0"/>
                    <w:kinsoku/>
                    <w:wordWrap/>
                    <w:overflowPunct/>
                    <w:topLinePunct w:val="0"/>
                    <w:autoSpaceDE/>
                    <w:autoSpaceDN/>
                    <w:bidi w:val="0"/>
                    <w:jc w:val="center"/>
                    <w:rPr>
                      <w:rFonts w:hint="default" w:ascii="Times New Roman" w:hAnsi="Times New Roman" w:cs="Times New Roman"/>
                      <w:color w:val="FF0000"/>
                      <w:sz w:val="21"/>
                      <w:szCs w:val="21"/>
                      <w:highlight w:val="none"/>
                    </w:rPr>
                  </w:pPr>
                </w:p>
              </w:tc>
              <w:tc>
                <w:tcPr>
                  <w:tcW w:w="720" w:type="dxa"/>
                  <w:vMerge w:val="continue"/>
                  <w:tcBorders>
                    <w:tl2br w:val="nil"/>
                    <w:tr2bl w:val="nil"/>
                  </w:tcBorders>
                  <w:noWrap w:val="0"/>
                  <w:vAlign w:val="center"/>
                </w:tcPr>
                <w:p w14:paraId="36EEDDAE">
                  <w:pPr>
                    <w:keepNext w:val="0"/>
                    <w:keepLines w:val="0"/>
                    <w:pageBreakBefore w:val="0"/>
                    <w:kinsoku/>
                    <w:wordWrap/>
                    <w:overflowPunct/>
                    <w:topLinePunct w:val="0"/>
                    <w:autoSpaceDE/>
                    <w:autoSpaceDN/>
                    <w:bidi w:val="0"/>
                    <w:snapToGrid w:val="0"/>
                    <w:jc w:val="center"/>
                    <w:rPr>
                      <w:rFonts w:hint="default" w:ascii="Times New Roman" w:hAnsi="Times New Roman" w:cs="Times New Roman"/>
                      <w:color w:val="auto"/>
                      <w:sz w:val="21"/>
                      <w:szCs w:val="21"/>
                      <w:highlight w:val="none"/>
                    </w:rPr>
                  </w:pPr>
                </w:p>
              </w:tc>
              <w:tc>
                <w:tcPr>
                  <w:tcW w:w="2313" w:type="dxa"/>
                  <w:tcBorders>
                    <w:tl2br w:val="nil"/>
                    <w:tr2bl w:val="nil"/>
                  </w:tcBorders>
                  <w:noWrap w:val="0"/>
                  <w:vAlign w:val="center"/>
                </w:tcPr>
                <w:p w14:paraId="4C1DC25D">
                  <w:pPr>
                    <w:keepNext w:val="0"/>
                    <w:keepLines w:val="0"/>
                    <w:pageBreakBefore w:val="0"/>
                    <w:kinsoku/>
                    <w:wordWrap/>
                    <w:overflowPunct/>
                    <w:topLinePunct w:val="0"/>
                    <w:autoSpaceDE/>
                    <w:autoSpaceDN/>
                    <w:bidi w:val="0"/>
                    <w:snapToGrid w:val="0"/>
                    <w:jc w:val="center"/>
                    <w:rPr>
                      <w:rFonts w:hint="default"/>
                      <w:color w:val="auto"/>
                      <w:sz w:val="21"/>
                      <w:szCs w:val="21"/>
                      <w:highlight w:val="none"/>
                      <w:lang w:val="en-US" w:eastAsia="zh-CN"/>
                    </w:rPr>
                  </w:pPr>
                  <w:r>
                    <w:rPr>
                      <w:rFonts w:hint="eastAsia"/>
                      <w:color w:val="auto"/>
                      <w:sz w:val="21"/>
                      <w:szCs w:val="21"/>
                      <w:highlight w:val="none"/>
                      <w:lang w:val="en-US" w:eastAsia="zh-CN"/>
                    </w:rPr>
                    <w:t>外购燃料包装</w:t>
                  </w:r>
                </w:p>
              </w:tc>
              <w:tc>
                <w:tcPr>
                  <w:tcW w:w="2576" w:type="dxa"/>
                  <w:tcBorders>
                    <w:tl2br w:val="nil"/>
                    <w:tr2bl w:val="nil"/>
                  </w:tcBorders>
                  <w:noWrap w:val="0"/>
                  <w:vAlign w:val="center"/>
                </w:tcPr>
                <w:p w14:paraId="1574E4AC">
                  <w:pPr>
                    <w:keepNext w:val="0"/>
                    <w:keepLines w:val="0"/>
                    <w:pageBreakBefore w:val="0"/>
                    <w:widowControl/>
                    <w:kinsoku/>
                    <w:wordWrap/>
                    <w:overflowPunct/>
                    <w:topLinePunct w:val="0"/>
                    <w:autoSpaceDE/>
                    <w:autoSpaceDN/>
                    <w:bidi w:val="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S4废弃包装物</w:t>
                  </w:r>
                </w:p>
              </w:tc>
              <w:tc>
                <w:tcPr>
                  <w:tcW w:w="2825" w:type="dxa"/>
                  <w:tcBorders>
                    <w:tl2br w:val="nil"/>
                    <w:tr2bl w:val="nil"/>
                  </w:tcBorders>
                  <w:noWrap w:val="0"/>
                  <w:vAlign w:val="center"/>
                </w:tcPr>
                <w:p w14:paraId="727B4D28">
                  <w:pPr>
                    <w:keepNext w:val="0"/>
                    <w:keepLines w:val="0"/>
                    <w:pageBreakBefore w:val="0"/>
                    <w:widowControl/>
                    <w:kinsoku/>
                    <w:wordWrap/>
                    <w:overflowPunct/>
                    <w:topLinePunct w:val="0"/>
                    <w:autoSpaceDE/>
                    <w:autoSpaceDN/>
                    <w:bidi w:val="0"/>
                    <w:jc w:val="center"/>
                    <w:textAlignment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废弃包装物</w:t>
                  </w:r>
                </w:p>
              </w:tc>
            </w:tr>
            <w:tr w14:paraId="6CE061D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6" w:type="dxa"/>
                  <w:vMerge w:val="continue"/>
                  <w:tcBorders>
                    <w:tl2br w:val="nil"/>
                    <w:tr2bl w:val="nil"/>
                  </w:tcBorders>
                  <w:noWrap w:val="0"/>
                  <w:vAlign w:val="center"/>
                </w:tcPr>
                <w:p w14:paraId="5ECB43D2">
                  <w:pPr>
                    <w:keepNext w:val="0"/>
                    <w:keepLines w:val="0"/>
                    <w:pageBreakBefore w:val="0"/>
                    <w:kinsoku/>
                    <w:wordWrap/>
                    <w:overflowPunct/>
                    <w:topLinePunct w:val="0"/>
                    <w:autoSpaceDE/>
                    <w:autoSpaceDN/>
                    <w:bidi w:val="0"/>
                    <w:jc w:val="center"/>
                    <w:rPr>
                      <w:rFonts w:hint="default" w:ascii="Times New Roman" w:hAnsi="Times New Roman" w:cs="Times New Roman"/>
                      <w:color w:val="FF0000"/>
                      <w:sz w:val="21"/>
                      <w:szCs w:val="21"/>
                      <w:highlight w:val="none"/>
                    </w:rPr>
                  </w:pPr>
                </w:p>
              </w:tc>
              <w:tc>
                <w:tcPr>
                  <w:tcW w:w="720" w:type="dxa"/>
                  <w:vMerge w:val="continue"/>
                  <w:tcBorders>
                    <w:tl2br w:val="nil"/>
                    <w:tr2bl w:val="nil"/>
                  </w:tcBorders>
                  <w:noWrap w:val="0"/>
                  <w:vAlign w:val="center"/>
                </w:tcPr>
                <w:p w14:paraId="07A5A864">
                  <w:pPr>
                    <w:keepNext w:val="0"/>
                    <w:keepLines w:val="0"/>
                    <w:pageBreakBefore w:val="0"/>
                    <w:kinsoku/>
                    <w:wordWrap/>
                    <w:overflowPunct/>
                    <w:topLinePunct w:val="0"/>
                    <w:autoSpaceDE/>
                    <w:autoSpaceDN/>
                    <w:bidi w:val="0"/>
                    <w:snapToGrid w:val="0"/>
                    <w:jc w:val="center"/>
                    <w:rPr>
                      <w:rFonts w:hint="default" w:ascii="Times New Roman" w:hAnsi="Times New Roman" w:cs="Times New Roman"/>
                      <w:color w:val="auto"/>
                      <w:sz w:val="21"/>
                      <w:szCs w:val="21"/>
                      <w:highlight w:val="none"/>
                    </w:rPr>
                  </w:pPr>
                </w:p>
              </w:tc>
              <w:tc>
                <w:tcPr>
                  <w:tcW w:w="2313" w:type="dxa"/>
                  <w:tcBorders>
                    <w:tl2br w:val="nil"/>
                    <w:tr2bl w:val="nil"/>
                  </w:tcBorders>
                  <w:noWrap w:val="0"/>
                  <w:vAlign w:val="center"/>
                </w:tcPr>
                <w:p w14:paraId="725E299A">
                  <w:pPr>
                    <w:keepNext w:val="0"/>
                    <w:keepLines w:val="0"/>
                    <w:pageBreakBefore w:val="0"/>
                    <w:widowControl/>
                    <w:kinsoku/>
                    <w:wordWrap/>
                    <w:overflowPunct/>
                    <w:topLinePunct w:val="0"/>
                    <w:autoSpaceDE/>
                    <w:autoSpaceDN/>
                    <w:bidi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软化水系统</w:t>
                  </w:r>
                </w:p>
              </w:tc>
              <w:tc>
                <w:tcPr>
                  <w:tcW w:w="2576" w:type="dxa"/>
                  <w:tcBorders>
                    <w:tl2br w:val="nil"/>
                    <w:tr2bl w:val="nil"/>
                  </w:tcBorders>
                  <w:noWrap w:val="0"/>
                  <w:vAlign w:val="center"/>
                </w:tcPr>
                <w:p w14:paraId="1BC2D2A9">
                  <w:pPr>
                    <w:keepNext w:val="0"/>
                    <w:keepLines w:val="0"/>
                    <w:pageBreakBefore w:val="0"/>
                    <w:widowControl/>
                    <w:kinsoku/>
                    <w:wordWrap/>
                    <w:overflowPunct/>
                    <w:topLinePunct w:val="0"/>
                    <w:autoSpaceDE/>
                    <w:autoSpaceDN/>
                    <w:bidi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S</w:t>
                  </w:r>
                  <w:r>
                    <w:rPr>
                      <w:rFonts w:hint="eastAsia" w:cs="Times New Roman"/>
                      <w:color w:val="auto"/>
                      <w:sz w:val="21"/>
                      <w:szCs w:val="21"/>
                      <w:highlight w:val="none"/>
                      <w:lang w:val="en-US" w:eastAsia="zh-CN"/>
                    </w:rPr>
                    <w:t>5</w:t>
                  </w:r>
                  <w:r>
                    <w:rPr>
                      <w:rFonts w:hint="eastAsia" w:cs="Times New Roman"/>
                      <w:color w:val="auto"/>
                      <w:kern w:val="0"/>
                      <w:sz w:val="21"/>
                      <w:szCs w:val="21"/>
                      <w:highlight w:val="none"/>
                      <w:lang w:val="en-US" w:eastAsia="zh-CN" w:bidi="ar-SA"/>
                    </w:rPr>
                    <w:t>废弃离子交换树脂</w:t>
                  </w:r>
                </w:p>
              </w:tc>
              <w:tc>
                <w:tcPr>
                  <w:tcW w:w="2825" w:type="dxa"/>
                  <w:tcBorders>
                    <w:tl2br w:val="nil"/>
                    <w:tr2bl w:val="nil"/>
                  </w:tcBorders>
                  <w:noWrap w:val="0"/>
                  <w:vAlign w:val="center"/>
                </w:tcPr>
                <w:p w14:paraId="598E8EB4">
                  <w:pPr>
                    <w:keepNext w:val="0"/>
                    <w:keepLines w:val="0"/>
                    <w:pageBreakBefore w:val="0"/>
                    <w:widowControl/>
                    <w:kinsoku/>
                    <w:wordWrap/>
                    <w:overflowPunct/>
                    <w:topLinePunct w:val="0"/>
                    <w:autoSpaceDE/>
                    <w:autoSpaceDN/>
                    <w:bidi w:val="0"/>
                    <w:jc w:val="center"/>
                    <w:textAlignment w:val="center"/>
                    <w:rPr>
                      <w:rFonts w:hint="default" w:cs="Times New Roman"/>
                      <w:color w:val="auto"/>
                      <w:sz w:val="21"/>
                      <w:szCs w:val="21"/>
                      <w:highlight w:val="none"/>
                      <w:lang w:val="en-US" w:eastAsia="zh-CN"/>
                    </w:rPr>
                  </w:pPr>
                  <w:r>
                    <w:rPr>
                      <w:rFonts w:hint="eastAsia" w:cs="Times New Roman"/>
                      <w:color w:val="auto"/>
                      <w:kern w:val="0"/>
                      <w:sz w:val="21"/>
                      <w:szCs w:val="21"/>
                      <w:highlight w:val="none"/>
                      <w:lang w:val="en-US" w:eastAsia="zh-CN" w:bidi="ar-SA"/>
                    </w:rPr>
                    <w:t>废弃离子交换树脂</w:t>
                  </w:r>
                </w:p>
              </w:tc>
            </w:tr>
          </w:tbl>
          <w:p w14:paraId="5A6F0081">
            <w:pPr>
              <w:rPr>
                <w:rFonts w:hint="default"/>
                <w:color w:val="FF0000"/>
                <w:highlight w:val="none"/>
                <w:lang w:val="en-US"/>
              </w:rPr>
            </w:pPr>
          </w:p>
          <w:p w14:paraId="4D58F431">
            <w:pPr>
              <w:rPr>
                <w:rFonts w:hint="default"/>
                <w:color w:val="FF0000"/>
                <w:highlight w:val="none"/>
                <w:lang w:val="en-US"/>
              </w:rPr>
            </w:pPr>
          </w:p>
        </w:tc>
      </w:tr>
      <w:tr w14:paraId="03490E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1" w:hRule="atLeast"/>
          <w:jc w:val="center"/>
        </w:trPr>
        <w:tc>
          <w:tcPr>
            <w:tcW w:w="506" w:type="dxa"/>
            <w:noWrap w:val="0"/>
            <w:vAlign w:val="center"/>
          </w:tcPr>
          <w:p w14:paraId="56B2779E">
            <w:pPr>
              <w:pStyle w:val="17"/>
              <w:adjustRightInd w:val="0"/>
              <w:snapToGrid w:val="0"/>
              <w:spacing w:before="0" w:beforeAutospacing="0" w:after="0" w:afterAutospacing="0"/>
              <w:jc w:val="center"/>
              <w:rPr>
                <w:rFonts w:cs="宋体"/>
                <w:color w:val="FF0000"/>
                <w:sz w:val="21"/>
                <w:szCs w:val="21"/>
                <w:highlight w:val="none"/>
              </w:rPr>
            </w:pPr>
            <w:r>
              <w:rPr>
                <w:rFonts w:hint="eastAsia" w:cs="宋体"/>
                <w:bCs/>
                <w:color w:val="000000" w:themeColor="text1"/>
                <w:kern w:val="2"/>
                <w:sz w:val="24"/>
                <w:szCs w:val="24"/>
                <w:highlight w:val="none"/>
                <w14:textFill>
                  <w14:solidFill>
                    <w14:schemeClr w14:val="tx1"/>
                  </w14:solidFill>
                </w14:textFill>
              </w:rPr>
              <w:t>与项目有关的原有环境污染问题</w:t>
            </w:r>
          </w:p>
        </w:tc>
        <w:tc>
          <w:tcPr>
            <w:tcW w:w="9143" w:type="dxa"/>
            <w:noWrap w:val="0"/>
            <w:vAlign w:val="center"/>
          </w:tcPr>
          <w:p w14:paraId="53B6E173">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ascii="Times New Roman" w:hAnsi="Times New Roman" w:eastAsia="宋体" w:cs="Times New Roman"/>
                <w:b w:val="0"/>
                <w:bCs w:val="0"/>
                <w:color w:val="FF0000"/>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厂区现状</w:t>
            </w:r>
            <w:r>
              <w:rPr>
                <w:rFonts w:hint="eastAsia" w:ascii="Times New Roman" w:hAnsi="Times New Roman" w:cs="Times New Roman"/>
                <w:color w:val="auto"/>
                <w:sz w:val="24"/>
                <w:szCs w:val="24"/>
                <w:highlight w:val="none"/>
                <w:lang w:val="en-US" w:eastAsia="zh-CN"/>
              </w:rPr>
              <w:t>情况</w:t>
            </w:r>
            <w:r>
              <w:rPr>
                <w:rFonts w:hint="eastAsia" w:ascii="Times New Roman" w:hAnsi="Times New Roman" w:eastAsia="宋体" w:cs="Times New Roman"/>
                <w:color w:val="auto"/>
                <w:sz w:val="24"/>
                <w:szCs w:val="24"/>
                <w:highlight w:val="none"/>
                <w:lang w:val="en-US" w:eastAsia="zh-CN"/>
              </w:rPr>
              <w:t>为</w:t>
            </w:r>
            <w:r>
              <w:rPr>
                <w:rFonts w:hint="eastAsia" w:ascii="Times New Roman" w:hAnsi="Times New Roman" w:cs="Times New Roman"/>
                <w:color w:val="auto"/>
                <w:sz w:val="24"/>
                <w:szCs w:val="24"/>
                <w:highlight w:val="none"/>
                <w:lang w:val="en-US" w:eastAsia="zh-CN"/>
              </w:rPr>
              <w:t>硬化地面、</w:t>
            </w:r>
            <w:r>
              <w:rPr>
                <w:rFonts w:hint="eastAsia" w:ascii="Times New Roman" w:hAnsi="Times New Roman" w:eastAsia="宋体" w:cs="Times New Roman"/>
                <w:color w:val="auto"/>
                <w:sz w:val="24"/>
                <w:szCs w:val="24"/>
                <w:highlight w:val="none"/>
                <w:lang w:val="en-US" w:eastAsia="zh-CN"/>
              </w:rPr>
              <w:t>空置建筑物</w:t>
            </w:r>
            <w:r>
              <w:rPr>
                <w:rFonts w:hint="eastAsia" w:ascii="Times New Roman" w:hAnsi="Times New Roman" w:cs="Times New Roman"/>
                <w:color w:val="auto"/>
                <w:sz w:val="24"/>
                <w:szCs w:val="24"/>
                <w:highlight w:val="none"/>
                <w:lang w:val="en-US" w:eastAsia="zh-CN"/>
              </w:rPr>
              <w:t>，</w:t>
            </w:r>
            <w:r>
              <w:rPr>
                <w:color w:val="auto"/>
                <w:sz w:val="24"/>
              </w:rPr>
              <w:t>无与本项目有关的原有环境污染问题。</w:t>
            </w:r>
          </w:p>
        </w:tc>
      </w:tr>
    </w:tbl>
    <w:p w14:paraId="414E750E">
      <w:pPr>
        <w:pStyle w:val="17"/>
        <w:jc w:val="center"/>
        <w:rPr>
          <w:rFonts w:ascii="黑体" w:hAnsi="黑体" w:eastAsia="黑体"/>
          <w:snapToGrid w:val="0"/>
          <w:color w:val="FF0000"/>
          <w:sz w:val="36"/>
          <w:szCs w:val="36"/>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40B9BB70">
      <w:pPr>
        <w:pStyle w:val="17"/>
        <w:jc w:val="center"/>
        <w:outlineLvl w:val="0"/>
        <w:rPr>
          <w:rFonts w:ascii="黑体" w:hAnsi="黑体" w:eastAsia="黑体"/>
          <w:snapToGrid w:val="0"/>
          <w:color w:val="auto"/>
          <w:sz w:val="30"/>
          <w:szCs w:val="30"/>
          <w:highlight w:val="none"/>
        </w:rPr>
      </w:pPr>
      <w:bookmarkStart w:id="7" w:name="_Toc21209"/>
      <w:r>
        <w:rPr>
          <w:rFonts w:hint="eastAsia" w:ascii="黑体" w:hAnsi="黑体" w:eastAsia="黑体"/>
          <w:snapToGrid w:val="0"/>
          <w:color w:val="auto"/>
          <w:sz w:val="30"/>
          <w:szCs w:val="30"/>
          <w:highlight w:val="none"/>
        </w:rPr>
        <w:t>三、区域环境质量现状、环境保护目标及评价标准</w:t>
      </w:r>
      <w:bookmarkEnd w:id="7"/>
    </w:p>
    <w:tbl>
      <w:tblPr>
        <w:tblStyle w:val="20"/>
        <w:tblW w:w="961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28"/>
        <w:gridCol w:w="8985"/>
      </w:tblGrid>
      <w:tr w14:paraId="396BEE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398" w:hRule="atLeast"/>
          <w:jc w:val="center"/>
        </w:trPr>
        <w:tc>
          <w:tcPr>
            <w:tcW w:w="628" w:type="dxa"/>
            <w:noWrap w:val="0"/>
            <w:vAlign w:val="center"/>
          </w:tcPr>
          <w:p w14:paraId="60425BDB">
            <w:pPr>
              <w:adjustRightInd w:val="0"/>
              <w:snapToGrid w:val="0"/>
              <w:jc w:val="center"/>
              <w:rPr>
                <w:rFonts w:ascii="宋体" w:hAnsi="宋体" w:cs="宋体"/>
                <w:color w:val="FF0000"/>
                <w:kern w:val="0"/>
                <w:szCs w:val="21"/>
                <w:highlight w:val="none"/>
              </w:rPr>
            </w:pPr>
            <w:r>
              <w:rPr>
                <w:rFonts w:hint="eastAsia" w:ascii="宋体" w:hAnsi="宋体" w:cs="宋体"/>
                <w:color w:val="auto"/>
                <w:kern w:val="0"/>
                <w:sz w:val="24"/>
                <w:szCs w:val="24"/>
                <w:highlight w:val="none"/>
              </w:rPr>
              <w:t>区域环境质量现状</w:t>
            </w:r>
          </w:p>
        </w:tc>
        <w:tc>
          <w:tcPr>
            <w:tcW w:w="8985" w:type="dxa"/>
            <w:noWrap w:val="0"/>
            <w:vAlign w:val="top"/>
          </w:tcPr>
          <w:p w14:paraId="29FE2B5D">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default" w:eastAsia="宋体"/>
                <w:b/>
                <w:bCs/>
                <w:color w:val="auto"/>
                <w:sz w:val="24"/>
                <w:szCs w:val="24"/>
                <w:highlight w:val="none"/>
                <w:lang w:val="en-US" w:eastAsia="zh-CN"/>
              </w:rPr>
            </w:pPr>
            <w:r>
              <w:rPr>
                <w:rFonts w:hint="eastAsia"/>
                <w:b/>
                <w:bCs/>
                <w:color w:val="auto"/>
                <w:sz w:val="24"/>
                <w:szCs w:val="24"/>
                <w:highlight w:val="none"/>
                <w:lang w:val="en-US" w:eastAsia="zh-CN"/>
              </w:rPr>
              <w:t>一、环境空气</w:t>
            </w:r>
          </w:p>
          <w:p w14:paraId="2575C2E1">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default" w:eastAsia="宋体"/>
                <w:b/>
                <w:bCs/>
                <w:color w:val="auto"/>
                <w:sz w:val="24"/>
                <w:szCs w:val="24"/>
                <w:highlight w:val="none"/>
                <w:lang w:val="en-US" w:eastAsia="zh-CN"/>
              </w:rPr>
            </w:pPr>
            <w:r>
              <w:rPr>
                <w:rFonts w:hint="eastAsia"/>
                <w:b/>
                <w:bCs/>
                <w:color w:val="auto"/>
                <w:sz w:val="24"/>
                <w:szCs w:val="24"/>
                <w:highlight w:val="none"/>
                <w:lang w:eastAsia="zh-CN"/>
              </w:rPr>
              <w:t>（</w:t>
            </w:r>
            <w:r>
              <w:rPr>
                <w:rFonts w:hint="eastAsia"/>
                <w:b/>
                <w:bCs/>
                <w:color w:val="auto"/>
                <w:sz w:val="24"/>
                <w:szCs w:val="24"/>
                <w:highlight w:val="none"/>
                <w:lang w:val="en-US" w:eastAsia="zh-CN"/>
              </w:rPr>
              <w:t>一</w:t>
            </w:r>
            <w:r>
              <w:rPr>
                <w:rFonts w:hint="eastAsia"/>
                <w:b/>
                <w:bCs/>
                <w:color w:val="auto"/>
                <w:sz w:val="24"/>
                <w:szCs w:val="24"/>
                <w:highlight w:val="none"/>
                <w:lang w:eastAsia="zh-CN"/>
              </w:rPr>
              <w:t>）</w:t>
            </w:r>
            <w:r>
              <w:rPr>
                <w:rFonts w:hint="eastAsia"/>
                <w:b/>
                <w:bCs/>
                <w:color w:val="auto"/>
                <w:sz w:val="24"/>
                <w:szCs w:val="24"/>
                <w:highlight w:val="none"/>
                <w:lang w:val="en-US" w:eastAsia="zh-CN"/>
              </w:rPr>
              <w:t>基本污染物</w:t>
            </w:r>
          </w:p>
          <w:p w14:paraId="1495C8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根据《环境影响评价技术导则大气环境》（HJ2.2-2018）的要求，城市环境空气质量达标情况评价指标为</w:t>
            </w:r>
            <w:r>
              <w:rPr>
                <w:rFonts w:hint="default" w:ascii="Times New Roman" w:hAnsi="Times New Roman" w:cs="Times New Roman"/>
                <w:color w:val="auto"/>
                <w:sz w:val="24"/>
                <w:highlight w:val="none"/>
              </w:rPr>
              <w:t>SO</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、NO</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、PM</w:t>
            </w:r>
            <w:r>
              <w:rPr>
                <w:rFonts w:hint="default" w:ascii="Times New Roman" w:hAnsi="Times New Roman" w:cs="Times New Roman"/>
                <w:color w:val="auto"/>
                <w:sz w:val="24"/>
                <w:highlight w:val="none"/>
                <w:vertAlign w:val="subscript"/>
              </w:rPr>
              <w:t>10</w:t>
            </w:r>
            <w:r>
              <w:rPr>
                <w:rFonts w:hint="default" w:ascii="Times New Roman" w:hAnsi="Times New Roman" w:cs="Times New Roman"/>
                <w:color w:val="auto"/>
                <w:sz w:val="24"/>
                <w:highlight w:val="none"/>
              </w:rPr>
              <w:t>、PM</w:t>
            </w:r>
            <w:r>
              <w:rPr>
                <w:rFonts w:hint="default" w:ascii="Times New Roman" w:hAnsi="Times New Roman" w:cs="Times New Roman"/>
                <w:color w:val="auto"/>
                <w:sz w:val="24"/>
                <w:highlight w:val="none"/>
                <w:vertAlign w:val="subscript"/>
              </w:rPr>
              <w:t>2.5</w:t>
            </w:r>
            <w:r>
              <w:rPr>
                <w:rFonts w:hint="default" w:ascii="Times New Roman" w:hAnsi="Times New Roman" w:cs="Times New Roman"/>
                <w:color w:val="auto"/>
                <w:sz w:val="24"/>
                <w:highlight w:val="none"/>
              </w:rPr>
              <w:t>、CO和O</w:t>
            </w:r>
            <w:r>
              <w:rPr>
                <w:rFonts w:hint="default" w:ascii="Times New Roman" w:hAnsi="Times New Roman" w:cs="Times New Roman"/>
                <w:color w:val="auto"/>
                <w:sz w:val="24"/>
                <w:highlight w:val="none"/>
                <w:vertAlign w:val="subscript"/>
              </w:rPr>
              <w:t>3</w:t>
            </w:r>
            <w:r>
              <w:rPr>
                <w:rFonts w:hint="default" w:ascii="Times New Roman" w:hAnsi="Times New Roman" w:cs="Times New Roman"/>
                <w:color w:val="auto"/>
                <w:sz w:val="24"/>
                <w:highlight w:val="none"/>
              </w:rPr>
              <w:t>，六项污染物全部达标即为城市环境空气质量达标。项目所在区域达标判定，优先采用国家或地方生态环境主管部门公开发布的评价基准年环境质量公告或环境质量报</w:t>
            </w:r>
            <w:r>
              <w:rPr>
                <w:rFonts w:hint="default" w:ascii="Times New Roman" w:hAnsi="Times New Roman" w:cs="Times New Roman"/>
                <w:color w:val="auto"/>
                <w:sz w:val="24"/>
                <w:szCs w:val="24"/>
                <w:highlight w:val="none"/>
              </w:rPr>
              <w:t>告中的数据或结论。</w:t>
            </w:r>
          </w:p>
          <w:p w14:paraId="0D48274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s="Times New Roman"/>
                <w:color w:val="auto"/>
                <w:sz w:val="24"/>
                <w:szCs w:val="24"/>
                <w:highlight w:val="none"/>
                <w:lang w:val="en-US" w:eastAsia="zh-CN"/>
              </w:rPr>
            </w:pPr>
            <w:r>
              <w:rPr>
                <w:rFonts w:hint="eastAsia" w:ascii="Times New Roman" w:hAnsi="Times New Roman" w:cs="Times New Roman"/>
                <w:color w:val="auto"/>
                <w:sz w:val="24"/>
                <w:highlight w:val="none"/>
                <w:lang w:val="en-US" w:eastAsia="zh-CN"/>
              </w:rPr>
              <w:t>项目位于</w:t>
            </w:r>
            <w:r>
              <w:rPr>
                <w:rFonts w:hint="default" w:ascii="Times New Roman" w:hAnsi="Times New Roman" w:cs="Times New Roman"/>
                <w:color w:val="auto"/>
                <w:sz w:val="24"/>
                <w:highlight w:val="none"/>
                <w:lang w:val="en-US" w:eastAsia="zh-CN"/>
              </w:rPr>
              <w:t>黑龙江</w:t>
            </w:r>
            <w:r>
              <w:rPr>
                <w:rFonts w:hint="default" w:ascii="Times New Roman" w:hAnsi="Times New Roman" w:cs="Times New Roman"/>
                <w:color w:val="auto"/>
                <w:sz w:val="24"/>
                <w:highlight w:val="none"/>
              </w:rPr>
              <w:t>省</w:t>
            </w:r>
            <w:r>
              <w:rPr>
                <w:rFonts w:hint="eastAsia" w:cs="Times New Roman"/>
                <w:color w:val="auto"/>
                <w:sz w:val="24"/>
                <w:highlight w:val="none"/>
                <w:lang w:val="en-US" w:eastAsia="zh-CN"/>
              </w:rPr>
              <w:t>双鸭山</w:t>
            </w:r>
            <w:r>
              <w:rPr>
                <w:rFonts w:hint="default" w:ascii="Times New Roman" w:hAnsi="Times New Roman" w:cs="Times New Roman"/>
                <w:color w:val="auto"/>
                <w:sz w:val="24"/>
                <w:highlight w:val="none"/>
              </w:rPr>
              <w:t>市</w:t>
            </w:r>
            <w:r>
              <w:rPr>
                <w:rFonts w:hint="eastAsia" w:ascii="Times New Roman" w:hAnsi="Times New Roman" w:cs="Times New Roman"/>
                <w:color w:val="auto"/>
                <w:sz w:val="24"/>
                <w:highlight w:val="none"/>
                <w:lang w:val="en-US" w:eastAsia="zh-CN"/>
              </w:rPr>
              <w:t>饶河</w:t>
            </w:r>
            <w:r>
              <w:rPr>
                <w:rFonts w:hint="default" w:ascii="Times New Roman" w:hAnsi="Times New Roman" w:cs="Times New Roman"/>
                <w:color w:val="auto"/>
                <w:sz w:val="24"/>
                <w:highlight w:val="none"/>
              </w:rPr>
              <w:t>县</w:t>
            </w:r>
            <w:r>
              <w:rPr>
                <w:rFonts w:hint="eastAsia" w:ascii="Times New Roman" w:hAnsi="Times New Roman" w:cs="Times New Roman"/>
                <w:color w:val="auto"/>
                <w:sz w:val="24"/>
                <w:highlight w:val="none"/>
                <w:lang w:val="en-US" w:eastAsia="zh-CN"/>
              </w:rPr>
              <w:t>四排乡四排村</w:t>
            </w:r>
            <w:r>
              <w:rPr>
                <w:rFonts w:hint="default"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根据</w:t>
            </w:r>
            <w:r>
              <w:rPr>
                <w:rFonts w:ascii="Times New Roman" w:hAnsi="Times New Roman" w:eastAsia="宋体" w:cs="Times New Roman"/>
                <w:color w:val="auto"/>
                <w:sz w:val="24"/>
                <w:szCs w:val="24"/>
              </w:rPr>
              <w:t>双鸭山市生态环境局发布</w:t>
            </w:r>
            <w:r>
              <w:rPr>
                <w:rFonts w:hint="eastAsia" w:ascii="Times New Roman" w:hAnsi="Times New Roman" w:cs="Times New Roman"/>
                <w:color w:val="auto"/>
                <w:sz w:val="24"/>
                <w:highlight w:val="none"/>
                <w:lang w:val="en-US" w:eastAsia="zh-CN"/>
              </w:rPr>
              <w:t>《2025年双鸭山市环境空气质量状况》，2025年双鸭山市区监测天数为365天，达标天数为342天。本年空气质量一级优231天，二级良111天，三级轻度污染20天，四至六级中度、重度、严重污染3天，优良率93.69%。</w:t>
            </w:r>
            <w:r>
              <w:rPr>
                <w:rFonts w:hint="eastAsia" w:cs="Times New Roman"/>
                <w:color w:val="auto"/>
                <w:sz w:val="24"/>
                <w:szCs w:val="24"/>
                <w:highlight w:val="none"/>
                <w:lang w:val="en-US" w:eastAsia="zh-CN"/>
              </w:rPr>
              <w:t>双鸭山市全域2025年空气质量现状达标情况详见下表。</w:t>
            </w:r>
          </w:p>
          <w:p w14:paraId="4616CB48">
            <w:pPr>
              <w:bidi w:val="0"/>
              <w:spacing w:line="240" w:lineRule="auto"/>
              <w:jc w:val="center"/>
              <w:rPr>
                <w:rFonts w:hint="default" w:ascii="Times New Roman" w:hAnsi="Times New Roman" w:eastAsia="宋体" w:cs="Times New Roman"/>
                <w:b/>
                <w:bCs/>
                <w:color w:val="auto"/>
                <w:sz w:val="21"/>
                <w:szCs w:val="24"/>
                <w:highlight w:val="none"/>
                <w:lang w:val="en-US" w:eastAsia="zh-CN"/>
              </w:rPr>
            </w:pPr>
            <w:r>
              <w:rPr>
                <w:rFonts w:hint="default" w:ascii="Times New Roman" w:hAnsi="Times New Roman" w:eastAsia="宋体" w:cs="Times New Roman"/>
                <w:b/>
                <w:bCs/>
                <w:color w:val="auto"/>
                <w:sz w:val="21"/>
                <w:szCs w:val="24"/>
                <w:highlight w:val="none"/>
                <w:lang w:val="en-US" w:eastAsia="zh-CN"/>
              </w:rPr>
              <w:t>表3-1</w:t>
            </w:r>
            <w:r>
              <w:rPr>
                <w:rFonts w:hint="eastAsia" w:cs="Times New Roman"/>
                <w:b/>
                <w:bCs/>
                <w:color w:val="auto"/>
                <w:sz w:val="21"/>
                <w:szCs w:val="24"/>
                <w:highlight w:val="none"/>
                <w:lang w:val="en-US" w:eastAsia="zh-CN"/>
              </w:rPr>
              <w:t xml:space="preserve"> </w:t>
            </w:r>
            <w:r>
              <w:rPr>
                <w:rFonts w:hint="default" w:ascii="Times New Roman" w:hAnsi="Times New Roman" w:eastAsia="宋体" w:cs="Times New Roman"/>
                <w:b/>
                <w:bCs/>
                <w:color w:val="auto"/>
                <w:sz w:val="21"/>
                <w:szCs w:val="24"/>
                <w:highlight w:val="none"/>
                <w:lang w:val="en-US" w:eastAsia="zh-CN"/>
              </w:rPr>
              <w:t xml:space="preserve"> 区域空气质量现状评价表</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6" w:space="0"/>
              </w:tblBorders>
              <w:tblLayout w:type="fixed"/>
              <w:tblCellMar>
                <w:top w:w="0" w:type="dxa"/>
                <w:left w:w="108" w:type="dxa"/>
                <w:bottom w:w="0" w:type="dxa"/>
                <w:right w:w="108" w:type="dxa"/>
              </w:tblCellMar>
            </w:tblPr>
            <w:tblGrid>
              <w:gridCol w:w="1139"/>
              <w:gridCol w:w="2973"/>
              <w:gridCol w:w="1299"/>
              <w:gridCol w:w="1368"/>
              <w:gridCol w:w="924"/>
              <w:gridCol w:w="1066"/>
            </w:tblGrid>
            <w:tr w14:paraId="5257D458">
              <w:tblPrEx>
                <w:tblBorders>
                  <w:top w:val="single" w:color="auto" w:sz="8" w:space="0"/>
                  <w:left w:val="none" w:color="auto" w:sz="0" w:space="0"/>
                  <w:bottom w:val="single" w:color="auto" w:sz="8"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jc w:val="center"/>
              </w:trPr>
              <w:tc>
                <w:tcPr>
                  <w:tcW w:w="649" w:type="pct"/>
                  <w:tcBorders>
                    <w:tl2br w:val="nil"/>
                    <w:tr2bl w:val="nil"/>
                  </w:tcBorders>
                  <w:noWrap/>
                  <w:vAlign w:val="center"/>
                </w:tcPr>
                <w:p w14:paraId="498AB038">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w:t>
                  </w:r>
                </w:p>
              </w:tc>
              <w:tc>
                <w:tcPr>
                  <w:tcW w:w="1695" w:type="pct"/>
                  <w:tcBorders>
                    <w:tl2br w:val="nil"/>
                    <w:tr2bl w:val="nil"/>
                  </w:tcBorders>
                  <w:noWrap/>
                  <w:vAlign w:val="center"/>
                </w:tcPr>
                <w:p w14:paraId="267EC2CB">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eastAsia="宋体" w:cs="Times New Roman"/>
                      <w:b/>
                      <w:bCs/>
                      <w:color w:val="auto"/>
                      <w:sz w:val="21"/>
                      <w:szCs w:val="21"/>
                      <w:highlight w:val="none"/>
                    </w:rPr>
                  </w:pPr>
                  <w:r>
                    <w:rPr>
                      <w:rFonts w:hint="eastAsia" w:cs="Times New Roman"/>
                      <w:b/>
                      <w:bCs/>
                      <w:color w:val="auto"/>
                      <w:sz w:val="21"/>
                      <w:szCs w:val="21"/>
                      <w:highlight w:val="none"/>
                      <w:lang w:eastAsia="zh-CN"/>
                    </w:rPr>
                    <w:t>年度</w:t>
                  </w:r>
                  <w:r>
                    <w:rPr>
                      <w:rFonts w:hint="default" w:ascii="Times New Roman" w:hAnsi="Times New Roman" w:eastAsia="宋体" w:cs="Times New Roman"/>
                      <w:b/>
                      <w:bCs/>
                      <w:color w:val="auto"/>
                      <w:sz w:val="21"/>
                      <w:szCs w:val="21"/>
                      <w:highlight w:val="none"/>
                    </w:rPr>
                    <w:t>评价指标</w:t>
                  </w:r>
                </w:p>
              </w:tc>
              <w:tc>
                <w:tcPr>
                  <w:tcW w:w="740" w:type="pct"/>
                  <w:tcBorders>
                    <w:tl2br w:val="nil"/>
                    <w:tr2bl w:val="nil"/>
                  </w:tcBorders>
                  <w:noWrap/>
                  <w:vAlign w:val="center"/>
                </w:tcPr>
                <w:p w14:paraId="32195C9A">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现状浓度</w:t>
                  </w:r>
                </w:p>
                <w:p w14:paraId="5630507C">
                  <w:pPr>
                    <w:keepNext w:val="0"/>
                    <w:keepLines w:val="0"/>
                    <w:pageBreakBefore w:val="0"/>
                    <w:widowControl w:val="0"/>
                    <w:kinsoku/>
                    <w:wordWrap/>
                    <w:overflowPunct/>
                    <w:topLinePunct w:val="0"/>
                    <w:autoSpaceDE/>
                    <w:autoSpaceDN/>
                    <w:bidi w:val="0"/>
                    <w:jc w:val="center"/>
                    <w:textAlignment w:val="auto"/>
                    <w:rPr>
                      <w:rFonts w:hint="eastAsia" w:ascii="Times New Roman" w:hAnsi="Times New Roman" w:eastAsia="宋体" w:cs="Times New Roman"/>
                      <w:b/>
                      <w:bCs/>
                      <w:color w:val="auto"/>
                      <w:sz w:val="21"/>
                      <w:szCs w:val="21"/>
                      <w:highlight w:val="none"/>
                      <w:lang w:eastAsia="zh-CN"/>
                    </w:rPr>
                  </w:pPr>
                  <w:r>
                    <w:rPr>
                      <w:rFonts w:hint="eastAsia"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μg/m</w:t>
                  </w:r>
                  <w:r>
                    <w:rPr>
                      <w:rFonts w:hint="default" w:ascii="Times New Roman" w:hAnsi="Times New Roman" w:eastAsia="宋体" w:cs="Times New Roman"/>
                      <w:b/>
                      <w:bCs/>
                      <w:color w:val="auto"/>
                      <w:sz w:val="21"/>
                      <w:szCs w:val="21"/>
                      <w:highlight w:val="none"/>
                      <w:vertAlign w:val="superscript"/>
                    </w:rPr>
                    <w:t>3</w:t>
                  </w:r>
                  <w:r>
                    <w:rPr>
                      <w:rFonts w:hint="eastAsia" w:cs="Times New Roman"/>
                      <w:b/>
                      <w:bCs/>
                      <w:color w:val="auto"/>
                      <w:sz w:val="21"/>
                      <w:szCs w:val="21"/>
                      <w:highlight w:val="none"/>
                      <w:lang w:eastAsia="zh-CN"/>
                    </w:rPr>
                    <w:t>）</w:t>
                  </w:r>
                </w:p>
              </w:tc>
              <w:tc>
                <w:tcPr>
                  <w:tcW w:w="780" w:type="pct"/>
                  <w:tcBorders>
                    <w:tl2br w:val="nil"/>
                    <w:tr2bl w:val="nil"/>
                  </w:tcBorders>
                  <w:noWrap/>
                  <w:vAlign w:val="center"/>
                </w:tcPr>
                <w:p w14:paraId="3D733D71">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标准值</w:t>
                  </w:r>
                </w:p>
                <w:p w14:paraId="75D08193">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（μg/m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w:t>
                  </w:r>
                </w:p>
              </w:tc>
              <w:tc>
                <w:tcPr>
                  <w:tcW w:w="526" w:type="pct"/>
                  <w:tcBorders>
                    <w:tl2br w:val="nil"/>
                    <w:tr2bl w:val="nil"/>
                  </w:tcBorders>
                  <w:noWrap/>
                  <w:vAlign w:val="center"/>
                </w:tcPr>
                <w:p w14:paraId="6609C014">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占标率</w:t>
                  </w:r>
                </w:p>
                <w:p w14:paraId="6247A481">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w:t>
                  </w:r>
                </w:p>
              </w:tc>
              <w:tc>
                <w:tcPr>
                  <w:tcW w:w="607" w:type="pct"/>
                  <w:tcBorders>
                    <w:tl2br w:val="nil"/>
                    <w:tr2bl w:val="nil"/>
                  </w:tcBorders>
                  <w:noWrap/>
                  <w:vAlign w:val="center"/>
                </w:tcPr>
                <w:p w14:paraId="569848BE">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达标情况</w:t>
                  </w:r>
                </w:p>
              </w:tc>
            </w:tr>
            <w:tr w14:paraId="76FC8171">
              <w:tblPrEx>
                <w:tblBorders>
                  <w:top w:val="single" w:color="auto" w:sz="8" w:space="0"/>
                  <w:left w:val="none" w:color="auto" w:sz="0" w:space="0"/>
                  <w:bottom w:val="single" w:color="auto" w:sz="8"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jc w:val="center"/>
              </w:trPr>
              <w:tc>
                <w:tcPr>
                  <w:tcW w:w="649" w:type="pct"/>
                  <w:tcBorders>
                    <w:tl2br w:val="nil"/>
                    <w:tr2bl w:val="nil"/>
                  </w:tcBorders>
                  <w:noWrap/>
                  <w:vAlign w:val="center"/>
                </w:tcPr>
                <w:p w14:paraId="4E6172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sz w:val="21"/>
                      <w:szCs w:val="21"/>
                      <w:highlight w:val="none"/>
                    </w:rPr>
                    <w:t>PM</w:t>
                  </w:r>
                  <w:r>
                    <w:rPr>
                      <w:rFonts w:hint="default" w:ascii="Times New Roman" w:hAnsi="Times New Roman" w:cs="Times New Roman"/>
                      <w:color w:val="auto"/>
                      <w:sz w:val="21"/>
                      <w:szCs w:val="21"/>
                      <w:highlight w:val="none"/>
                      <w:vertAlign w:val="subscript"/>
                    </w:rPr>
                    <w:t>2.5</w:t>
                  </w:r>
                </w:p>
              </w:tc>
              <w:tc>
                <w:tcPr>
                  <w:tcW w:w="1695" w:type="pct"/>
                  <w:tcBorders>
                    <w:tl2br w:val="nil"/>
                    <w:tr2bl w:val="nil"/>
                  </w:tcBorders>
                  <w:noWrap/>
                  <w:vAlign w:val="center"/>
                </w:tcPr>
                <w:p w14:paraId="2AF788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sz w:val="21"/>
                      <w:szCs w:val="21"/>
                      <w:highlight w:val="none"/>
                    </w:rPr>
                    <w:t>年平均质量浓度</w:t>
                  </w:r>
                </w:p>
              </w:tc>
              <w:tc>
                <w:tcPr>
                  <w:tcW w:w="740" w:type="pct"/>
                  <w:tcBorders>
                    <w:tl2br w:val="nil"/>
                    <w:tr2bl w:val="nil"/>
                  </w:tcBorders>
                  <w:noWrap/>
                  <w:vAlign w:val="center"/>
                </w:tcPr>
                <w:p w14:paraId="4B9EB3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w:t>
                  </w:r>
                  <w:r>
                    <w:rPr>
                      <w:rFonts w:hint="eastAsia" w:cs="Times New Roman"/>
                      <w:color w:val="auto"/>
                      <w:sz w:val="21"/>
                      <w:szCs w:val="21"/>
                      <w:highlight w:val="none"/>
                      <w:lang w:val="en-US" w:eastAsia="zh-CN"/>
                    </w:rPr>
                    <w:t>7</w:t>
                  </w:r>
                </w:p>
              </w:tc>
              <w:tc>
                <w:tcPr>
                  <w:tcW w:w="780" w:type="pct"/>
                  <w:tcBorders>
                    <w:tl2br w:val="nil"/>
                    <w:tr2bl w:val="nil"/>
                  </w:tcBorders>
                  <w:noWrap/>
                  <w:vAlign w:val="center"/>
                </w:tcPr>
                <w:p w14:paraId="410E63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30</w:t>
                  </w:r>
                </w:p>
              </w:tc>
              <w:tc>
                <w:tcPr>
                  <w:tcW w:w="526" w:type="pct"/>
                  <w:tcBorders>
                    <w:tl2br w:val="nil"/>
                    <w:tr2bl w:val="nil"/>
                  </w:tcBorders>
                  <w:noWrap/>
                  <w:vAlign w:val="center"/>
                </w:tcPr>
                <w:p w14:paraId="46CA0C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90.0</w:t>
                  </w:r>
                </w:p>
              </w:tc>
              <w:tc>
                <w:tcPr>
                  <w:tcW w:w="607" w:type="pct"/>
                  <w:tcBorders>
                    <w:tl2br w:val="nil"/>
                    <w:tr2bl w:val="nil"/>
                  </w:tcBorders>
                  <w:noWrap/>
                  <w:vAlign w:val="center"/>
                </w:tcPr>
                <w:p w14:paraId="754D9E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0D8CB4E3">
              <w:tblPrEx>
                <w:tblBorders>
                  <w:top w:val="single" w:color="auto" w:sz="8" w:space="0"/>
                  <w:left w:val="none" w:color="auto" w:sz="0" w:space="0"/>
                  <w:bottom w:val="single" w:color="auto" w:sz="8"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jc w:val="center"/>
              </w:trPr>
              <w:tc>
                <w:tcPr>
                  <w:tcW w:w="649" w:type="pct"/>
                  <w:tcBorders>
                    <w:tl2br w:val="nil"/>
                    <w:tr2bl w:val="nil"/>
                  </w:tcBorders>
                  <w:noWrap/>
                  <w:vAlign w:val="center"/>
                </w:tcPr>
                <w:p w14:paraId="0F56A2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sz w:val="21"/>
                      <w:szCs w:val="21"/>
                      <w:highlight w:val="none"/>
                    </w:rPr>
                    <w:t>PM</w:t>
                  </w:r>
                  <w:r>
                    <w:rPr>
                      <w:rFonts w:hint="default" w:ascii="Times New Roman" w:hAnsi="Times New Roman" w:cs="Times New Roman"/>
                      <w:color w:val="auto"/>
                      <w:sz w:val="21"/>
                      <w:szCs w:val="21"/>
                      <w:highlight w:val="none"/>
                      <w:vertAlign w:val="subscript"/>
                    </w:rPr>
                    <w:t>10</w:t>
                  </w:r>
                </w:p>
              </w:tc>
              <w:tc>
                <w:tcPr>
                  <w:tcW w:w="1695" w:type="pct"/>
                  <w:tcBorders>
                    <w:tl2br w:val="nil"/>
                    <w:tr2bl w:val="nil"/>
                  </w:tcBorders>
                  <w:noWrap/>
                  <w:vAlign w:val="center"/>
                </w:tcPr>
                <w:p w14:paraId="6B69C2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sz w:val="21"/>
                      <w:szCs w:val="21"/>
                      <w:highlight w:val="none"/>
                    </w:rPr>
                    <w:t>年平均质量浓度</w:t>
                  </w:r>
                </w:p>
              </w:tc>
              <w:tc>
                <w:tcPr>
                  <w:tcW w:w="740" w:type="pct"/>
                  <w:tcBorders>
                    <w:tl2br w:val="nil"/>
                    <w:tr2bl w:val="nil"/>
                  </w:tcBorders>
                  <w:noWrap/>
                  <w:vAlign w:val="center"/>
                </w:tcPr>
                <w:p w14:paraId="417734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42</w:t>
                  </w:r>
                </w:p>
              </w:tc>
              <w:tc>
                <w:tcPr>
                  <w:tcW w:w="780" w:type="pct"/>
                  <w:tcBorders>
                    <w:tl2br w:val="nil"/>
                    <w:tr2bl w:val="nil"/>
                  </w:tcBorders>
                  <w:noWrap/>
                  <w:vAlign w:val="center"/>
                </w:tcPr>
                <w:p w14:paraId="406A1E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60</w:t>
                  </w:r>
                </w:p>
              </w:tc>
              <w:tc>
                <w:tcPr>
                  <w:tcW w:w="526" w:type="pct"/>
                  <w:tcBorders>
                    <w:tl2br w:val="nil"/>
                    <w:tr2bl w:val="nil"/>
                  </w:tcBorders>
                  <w:noWrap/>
                  <w:vAlign w:val="center"/>
                </w:tcPr>
                <w:p w14:paraId="57E8C5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70.0</w:t>
                  </w:r>
                </w:p>
              </w:tc>
              <w:tc>
                <w:tcPr>
                  <w:tcW w:w="607" w:type="pct"/>
                  <w:tcBorders>
                    <w:tl2br w:val="nil"/>
                    <w:tr2bl w:val="nil"/>
                  </w:tcBorders>
                  <w:noWrap/>
                  <w:vAlign w:val="center"/>
                </w:tcPr>
                <w:p w14:paraId="712704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2A4BBD98">
              <w:tblPrEx>
                <w:tblBorders>
                  <w:top w:val="single" w:color="auto" w:sz="8" w:space="0"/>
                  <w:left w:val="none" w:color="auto" w:sz="0" w:space="0"/>
                  <w:bottom w:val="single" w:color="auto" w:sz="8"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jc w:val="center"/>
              </w:trPr>
              <w:tc>
                <w:tcPr>
                  <w:tcW w:w="649" w:type="pct"/>
                  <w:tcBorders>
                    <w:tl2br w:val="nil"/>
                    <w:tr2bl w:val="nil"/>
                  </w:tcBorders>
                  <w:noWrap/>
                  <w:vAlign w:val="center"/>
                </w:tcPr>
                <w:p w14:paraId="466A76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2</w:t>
                  </w:r>
                </w:p>
              </w:tc>
              <w:tc>
                <w:tcPr>
                  <w:tcW w:w="1695" w:type="pct"/>
                  <w:tcBorders>
                    <w:tl2br w:val="nil"/>
                    <w:tr2bl w:val="nil"/>
                  </w:tcBorders>
                  <w:noWrap/>
                  <w:vAlign w:val="center"/>
                </w:tcPr>
                <w:p w14:paraId="684673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sz w:val="21"/>
                      <w:szCs w:val="21"/>
                      <w:highlight w:val="none"/>
                    </w:rPr>
                    <w:t>年平均质量浓度</w:t>
                  </w:r>
                </w:p>
              </w:tc>
              <w:tc>
                <w:tcPr>
                  <w:tcW w:w="740" w:type="pct"/>
                  <w:tcBorders>
                    <w:tl2br w:val="nil"/>
                    <w:tr2bl w:val="nil"/>
                  </w:tcBorders>
                  <w:noWrap/>
                  <w:vAlign w:val="center"/>
                </w:tcPr>
                <w:p w14:paraId="6F56FD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w:t>
                  </w:r>
                  <w:r>
                    <w:rPr>
                      <w:rFonts w:hint="eastAsia" w:cs="Times New Roman"/>
                      <w:color w:val="auto"/>
                      <w:sz w:val="21"/>
                      <w:szCs w:val="21"/>
                      <w:highlight w:val="none"/>
                      <w:lang w:val="en-US" w:eastAsia="zh-CN"/>
                    </w:rPr>
                    <w:t>5</w:t>
                  </w:r>
                </w:p>
              </w:tc>
              <w:tc>
                <w:tcPr>
                  <w:tcW w:w="780" w:type="pct"/>
                  <w:tcBorders>
                    <w:tl2br w:val="nil"/>
                    <w:tr2bl w:val="nil"/>
                  </w:tcBorders>
                  <w:noWrap/>
                  <w:vAlign w:val="center"/>
                </w:tcPr>
                <w:p w14:paraId="352F41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rPr>
                    <w:t>40</w:t>
                  </w:r>
                </w:p>
              </w:tc>
              <w:tc>
                <w:tcPr>
                  <w:tcW w:w="526" w:type="pct"/>
                  <w:tcBorders>
                    <w:tl2br w:val="nil"/>
                    <w:tr2bl w:val="nil"/>
                  </w:tcBorders>
                  <w:noWrap/>
                  <w:vAlign w:val="center"/>
                </w:tcPr>
                <w:p w14:paraId="4A50AD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 xml:space="preserve">37.5 </w:t>
                  </w:r>
                </w:p>
              </w:tc>
              <w:tc>
                <w:tcPr>
                  <w:tcW w:w="607" w:type="pct"/>
                  <w:tcBorders>
                    <w:tl2br w:val="nil"/>
                    <w:tr2bl w:val="nil"/>
                  </w:tcBorders>
                  <w:noWrap/>
                  <w:vAlign w:val="center"/>
                </w:tcPr>
                <w:p w14:paraId="37D783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507499E5">
              <w:tblPrEx>
                <w:tblBorders>
                  <w:top w:val="single" w:color="auto" w:sz="8" w:space="0"/>
                  <w:left w:val="none" w:color="auto" w:sz="0" w:space="0"/>
                  <w:bottom w:val="single" w:color="auto" w:sz="8"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jc w:val="center"/>
              </w:trPr>
              <w:tc>
                <w:tcPr>
                  <w:tcW w:w="649" w:type="pct"/>
                  <w:tcBorders>
                    <w:tl2br w:val="nil"/>
                    <w:tr2bl w:val="nil"/>
                  </w:tcBorders>
                  <w:noWrap/>
                  <w:vAlign w:val="center"/>
                </w:tcPr>
                <w:p w14:paraId="11F96A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sz w:val="21"/>
                      <w:szCs w:val="21"/>
                      <w:highlight w:val="none"/>
                    </w:rPr>
                    <w:t>SO</w:t>
                  </w:r>
                  <w:r>
                    <w:rPr>
                      <w:rFonts w:hint="default" w:ascii="Times New Roman" w:hAnsi="Times New Roman" w:cs="Times New Roman"/>
                      <w:color w:val="auto"/>
                      <w:sz w:val="21"/>
                      <w:szCs w:val="21"/>
                      <w:highlight w:val="none"/>
                      <w:vertAlign w:val="subscript"/>
                    </w:rPr>
                    <w:t>2</w:t>
                  </w:r>
                </w:p>
              </w:tc>
              <w:tc>
                <w:tcPr>
                  <w:tcW w:w="1695" w:type="pct"/>
                  <w:tcBorders>
                    <w:tl2br w:val="nil"/>
                    <w:tr2bl w:val="nil"/>
                  </w:tcBorders>
                  <w:noWrap/>
                  <w:vAlign w:val="center"/>
                </w:tcPr>
                <w:p w14:paraId="6730AC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sz w:val="21"/>
                      <w:szCs w:val="21"/>
                      <w:highlight w:val="none"/>
                    </w:rPr>
                    <w:t>年平均质量浓度</w:t>
                  </w:r>
                </w:p>
              </w:tc>
              <w:tc>
                <w:tcPr>
                  <w:tcW w:w="740" w:type="pct"/>
                  <w:tcBorders>
                    <w:tl2br w:val="nil"/>
                    <w:tr2bl w:val="nil"/>
                  </w:tcBorders>
                  <w:noWrap/>
                  <w:vAlign w:val="center"/>
                </w:tcPr>
                <w:p w14:paraId="1B0D5F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12</w:t>
                  </w:r>
                </w:p>
              </w:tc>
              <w:tc>
                <w:tcPr>
                  <w:tcW w:w="780" w:type="pct"/>
                  <w:tcBorders>
                    <w:tl2br w:val="nil"/>
                    <w:tr2bl w:val="nil"/>
                  </w:tcBorders>
                  <w:noWrap/>
                  <w:vAlign w:val="center"/>
                </w:tcPr>
                <w:p w14:paraId="0B940A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rPr>
                    <w:t>60</w:t>
                  </w:r>
                </w:p>
              </w:tc>
              <w:tc>
                <w:tcPr>
                  <w:tcW w:w="526" w:type="pct"/>
                  <w:tcBorders>
                    <w:tl2br w:val="nil"/>
                    <w:tr2bl w:val="nil"/>
                  </w:tcBorders>
                  <w:noWrap/>
                  <w:vAlign w:val="center"/>
                </w:tcPr>
                <w:p w14:paraId="72A288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20.0</w:t>
                  </w:r>
                </w:p>
              </w:tc>
              <w:tc>
                <w:tcPr>
                  <w:tcW w:w="607" w:type="pct"/>
                  <w:tcBorders>
                    <w:tl2br w:val="nil"/>
                    <w:tr2bl w:val="nil"/>
                  </w:tcBorders>
                  <w:noWrap/>
                  <w:vAlign w:val="center"/>
                </w:tcPr>
                <w:p w14:paraId="367C4C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00EBFC5A">
              <w:tblPrEx>
                <w:tblBorders>
                  <w:top w:val="single" w:color="auto" w:sz="8" w:space="0"/>
                  <w:left w:val="none" w:color="auto" w:sz="0" w:space="0"/>
                  <w:bottom w:val="single" w:color="auto" w:sz="8"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jc w:val="center"/>
              </w:trPr>
              <w:tc>
                <w:tcPr>
                  <w:tcW w:w="649" w:type="pct"/>
                  <w:tcBorders>
                    <w:tl2br w:val="nil"/>
                    <w:tr2bl w:val="nil"/>
                  </w:tcBorders>
                  <w:noWrap/>
                  <w:vAlign w:val="center"/>
                </w:tcPr>
                <w:p w14:paraId="77BB5C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sz w:val="21"/>
                      <w:szCs w:val="21"/>
                      <w:highlight w:val="none"/>
                    </w:rPr>
                    <w:t>CO（per95）</w:t>
                  </w:r>
                </w:p>
              </w:tc>
              <w:tc>
                <w:tcPr>
                  <w:tcW w:w="1695" w:type="pct"/>
                  <w:tcBorders>
                    <w:tl2br w:val="nil"/>
                    <w:tr2bl w:val="nil"/>
                  </w:tcBorders>
                  <w:noWrap/>
                  <w:vAlign w:val="center"/>
                </w:tcPr>
                <w:p w14:paraId="4395BC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sz w:val="21"/>
                      <w:szCs w:val="21"/>
                      <w:highlight w:val="none"/>
                    </w:rPr>
                    <w:t>百分位数日平均</w:t>
                  </w:r>
                </w:p>
              </w:tc>
              <w:tc>
                <w:tcPr>
                  <w:tcW w:w="740" w:type="pct"/>
                  <w:tcBorders>
                    <w:tl2br w:val="nil"/>
                    <w:tr2bl w:val="nil"/>
                  </w:tcBorders>
                  <w:noWrap/>
                  <w:vAlign w:val="center"/>
                </w:tcPr>
                <w:p w14:paraId="5C1354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520</w:t>
                  </w:r>
                </w:p>
              </w:tc>
              <w:tc>
                <w:tcPr>
                  <w:tcW w:w="780" w:type="pct"/>
                  <w:tcBorders>
                    <w:tl2br w:val="nil"/>
                    <w:tr2bl w:val="nil"/>
                  </w:tcBorders>
                  <w:noWrap/>
                  <w:vAlign w:val="center"/>
                </w:tcPr>
                <w:p w14:paraId="5BF117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lang w:val="en-US" w:eastAsia="zh-CN"/>
                    </w:rPr>
                    <w:t>4000</w:t>
                  </w:r>
                </w:p>
              </w:tc>
              <w:tc>
                <w:tcPr>
                  <w:tcW w:w="526" w:type="pct"/>
                  <w:tcBorders>
                    <w:tl2br w:val="nil"/>
                    <w:tr2bl w:val="nil"/>
                  </w:tcBorders>
                  <w:noWrap/>
                  <w:vAlign w:val="center"/>
                </w:tcPr>
                <w:p w14:paraId="668029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13.0</w:t>
                  </w:r>
                </w:p>
              </w:tc>
              <w:tc>
                <w:tcPr>
                  <w:tcW w:w="607" w:type="pct"/>
                  <w:tcBorders>
                    <w:tl2br w:val="nil"/>
                    <w:tr2bl w:val="nil"/>
                  </w:tcBorders>
                  <w:noWrap/>
                  <w:vAlign w:val="center"/>
                </w:tcPr>
                <w:p w14:paraId="72C9C7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6C1CB632">
              <w:tblPrEx>
                <w:tblBorders>
                  <w:top w:val="single" w:color="auto" w:sz="8" w:space="0"/>
                  <w:left w:val="none" w:color="auto" w:sz="0" w:space="0"/>
                  <w:bottom w:val="single" w:color="auto" w:sz="8"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40" w:hRule="atLeast"/>
                <w:jc w:val="center"/>
              </w:trPr>
              <w:tc>
                <w:tcPr>
                  <w:tcW w:w="649" w:type="pct"/>
                  <w:tcBorders>
                    <w:tl2br w:val="nil"/>
                    <w:tr2bl w:val="nil"/>
                  </w:tcBorders>
                  <w:noWrap/>
                  <w:vAlign w:val="center"/>
                </w:tcPr>
                <w:p w14:paraId="02D709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sz w:val="21"/>
                      <w:szCs w:val="21"/>
                      <w:highlight w:val="none"/>
                    </w:rPr>
                    <w:t>O</w:t>
                  </w:r>
                  <w:r>
                    <w:rPr>
                      <w:rFonts w:hint="default" w:ascii="Times New Roman" w:hAnsi="Times New Roman" w:cs="Times New Roman"/>
                      <w:color w:val="auto"/>
                      <w:sz w:val="21"/>
                      <w:szCs w:val="21"/>
                      <w:highlight w:val="none"/>
                      <w:vertAlign w:val="subscript"/>
                    </w:rPr>
                    <w:t>3</w:t>
                  </w:r>
                  <w:r>
                    <w:rPr>
                      <w:rFonts w:hint="default" w:ascii="Times New Roman" w:hAnsi="Times New Roman" w:cs="Times New Roman"/>
                      <w:color w:val="auto"/>
                      <w:sz w:val="21"/>
                      <w:szCs w:val="21"/>
                      <w:highlight w:val="none"/>
                    </w:rPr>
                    <w:t>（per90）</w:t>
                  </w:r>
                </w:p>
              </w:tc>
              <w:tc>
                <w:tcPr>
                  <w:tcW w:w="1695" w:type="pct"/>
                  <w:tcBorders>
                    <w:tl2br w:val="nil"/>
                    <w:tr2bl w:val="nil"/>
                  </w:tcBorders>
                  <w:noWrap/>
                  <w:vAlign w:val="center"/>
                </w:tcPr>
                <w:p w14:paraId="6B65EA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color w:val="auto"/>
                      <w:sz w:val="21"/>
                      <w:szCs w:val="21"/>
                      <w:highlight w:val="none"/>
                    </w:rPr>
                    <w:t>百分位数8小时平均质量浓度</w:t>
                  </w:r>
                </w:p>
              </w:tc>
              <w:tc>
                <w:tcPr>
                  <w:tcW w:w="740" w:type="pct"/>
                  <w:tcBorders>
                    <w:tl2br w:val="nil"/>
                    <w:tr2bl w:val="nil"/>
                  </w:tcBorders>
                  <w:noWrap/>
                  <w:vAlign w:val="center"/>
                </w:tcPr>
                <w:p w14:paraId="7F4566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74.37</w:t>
                  </w:r>
                </w:p>
              </w:tc>
              <w:tc>
                <w:tcPr>
                  <w:tcW w:w="780" w:type="pct"/>
                  <w:tcBorders>
                    <w:tl2br w:val="nil"/>
                    <w:tr2bl w:val="nil"/>
                  </w:tcBorders>
                  <w:noWrap/>
                  <w:vAlign w:val="center"/>
                </w:tcPr>
                <w:p w14:paraId="0B8093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lang w:val="en-US" w:eastAsia="zh-CN"/>
                    </w:rPr>
                    <w:t>160</w:t>
                  </w:r>
                </w:p>
              </w:tc>
              <w:tc>
                <w:tcPr>
                  <w:tcW w:w="526" w:type="pct"/>
                  <w:tcBorders>
                    <w:tl2br w:val="nil"/>
                    <w:tr2bl w:val="nil"/>
                  </w:tcBorders>
                  <w:noWrap/>
                  <w:vAlign w:val="center"/>
                </w:tcPr>
                <w:p w14:paraId="45417D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46.5</w:t>
                  </w:r>
                </w:p>
              </w:tc>
              <w:tc>
                <w:tcPr>
                  <w:tcW w:w="607" w:type="pct"/>
                  <w:tcBorders>
                    <w:tl2br w:val="nil"/>
                    <w:tr2bl w:val="nil"/>
                  </w:tcBorders>
                  <w:noWrap/>
                  <w:vAlign w:val="center"/>
                </w:tcPr>
                <w:p w14:paraId="72A217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rPr>
                    <w:t>达标</w:t>
                  </w:r>
                </w:p>
              </w:tc>
            </w:tr>
          </w:tbl>
          <w:p w14:paraId="6DD99EFE">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根据上表统计结果，</w:t>
            </w:r>
            <w:r>
              <w:rPr>
                <w:rFonts w:hint="default" w:ascii="Times New Roman" w:hAnsi="Times New Roman" w:cs="Times New Roman"/>
                <w:color w:val="auto"/>
                <w:sz w:val="24"/>
                <w:szCs w:val="24"/>
                <w:highlight w:val="none"/>
                <w:u w:val="none"/>
                <w:lang w:val="en-US" w:eastAsia="zh-CN"/>
              </w:rPr>
              <w:t>黑龙江</w:t>
            </w:r>
            <w:r>
              <w:rPr>
                <w:rFonts w:hint="default" w:ascii="Times New Roman" w:hAnsi="Times New Roman" w:cs="Times New Roman"/>
                <w:color w:val="auto"/>
                <w:sz w:val="24"/>
                <w:szCs w:val="24"/>
                <w:highlight w:val="none"/>
                <w:u w:val="none"/>
              </w:rPr>
              <w:t>省</w:t>
            </w:r>
            <w:r>
              <w:rPr>
                <w:rFonts w:hint="eastAsia" w:cs="Times New Roman"/>
                <w:color w:val="auto"/>
                <w:sz w:val="24"/>
                <w:szCs w:val="24"/>
                <w:highlight w:val="none"/>
                <w:u w:val="none"/>
                <w:lang w:val="en-US" w:eastAsia="zh-CN"/>
              </w:rPr>
              <w:t>双鸭山市</w:t>
            </w:r>
            <w:r>
              <w:rPr>
                <w:rFonts w:hint="default" w:ascii="Times New Roman" w:hAnsi="Times New Roman" w:eastAsia="宋体" w:cs="Times New Roman"/>
                <w:color w:val="auto"/>
                <w:sz w:val="24"/>
                <w:szCs w:val="24"/>
                <w:highlight w:val="none"/>
              </w:rPr>
              <w:t>基本污染物</w:t>
            </w:r>
            <w:r>
              <w:rPr>
                <w:rFonts w:hint="default" w:ascii="Times New Roman" w:hAnsi="Times New Roman" w:eastAsia="宋体" w:cs="Times New Roman"/>
                <w:b w:val="0"/>
                <w:bCs w:val="0"/>
                <w:color w:val="auto"/>
                <w:kern w:val="0"/>
                <w:sz w:val="24"/>
                <w:szCs w:val="24"/>
                <w:highlight w:val="none"/>
                <w:lang w:val="en-US" w:eastAsia="zh-CN" w:bidi="ar"/>
              </w:rPr>
              <w:t>PM</w:t>
            </w:r>
            <w:r>
              <w:rPr>
                <w:rFonts w:hint="default" w:ascii="Times New Roman" w:hAnsi="Times New Roman" w:eastAsia="宋体" w:cs="Times New Roman"/>
                <w:b w:val="0"/>
                <w:bCs w:val="0"/>
                <w:color w:val="auto"/>
                <w:kern w:val="0"/>
                <w:sz w:val="24"/>
                <w:szCs w:val="24"/>
                <w:highlight w:val="none"/>
                <w:vertAlign w:val="subscript"/>
                <w:lang w:val="en-US" w:eastAsia="zh-CN" w:bidi="ar"/>
              </w:rPr>
              <w:t>2.5</w:t>
            </w:r>
            <w:r>
              <w:rPr>
                <w:rFonts w:hint="default" w:ascii="Times New Roman" w:hAnsi="Times New Roman" w:eastAsia="宋体" w:cs="Times New Roman"/>
                <w:b w:val="0"/>
                <w:bCs w:val="0"/>
                <w:color w:val="auto"/>
                <w:kern w:val="0"/>
                <w:sz w:val="24"/>
                <w:szCs w:val="24"/>
                <w:highlight w:val="none"/>
                <w:lang w:val="en-US" w:eastAsia="zh-CN" w:bidi="ar"/>
              </w:rPr>
              <w:t>、PM</w:t>
            </w:r>
            <w:r>
              <w:rPr>
                <w:rFonts w:hint="default" w:ascii="Times New Roman" w:hAnsi="Times New Roman" w:eastAsia="宋体" w:cs="Times New Roman"/>
                <w:b w:val="0"/>
                <w:bCs w:val="0"/>
                <w:color w:val="auto"/>
                <w:kern w:val="0"/>
                <w:sz w:val="24"/>
                <w:szCs w:val="24"/>
                <w:highlight w:val="none"/>
                <w:vertAlign w:val="subscript"/>
                <w:lang w:val="en-US" w:eastAsia="zh-CN" w:bidi="ar"/>
              </w:rPr>
              <w:t>10</w:t>
            </w:r>
            <w:r>
              <w:rPr>
                <w:rFonts w:hint="default" w:ascii="Times New Roman" w:hAnsi="Times New Roman" w:eastAsia="宋体" w:cs="Times New Roman"/>
                <w:b w:val="0"/>
                <w:bCs w:val="0"/>
                <w:color w:val="auto"/>
                <w:kern w:val="0"/>
                <w:sz w:val="24"/>
                <w:szCs w:val="24"/>
                <w:highlight w:val="none"/>
                <w:lang w:val="en-US" w:eastAsia="zh-CN" w:bidi="ar"/>
              </w:rPr>
              <w:t>、SO</w:t>
            </w:r>
            <w:r>
              <w:rPr>
                <w:rFonts w:hint="default" w:ascii="Times New Roman" w:hAnsi="Times New Roman" w:eastAsia="宋体" w:cs="Times New Roman"/>
                <w:b w:val="0"/>
                <w:bCs w:val="0"/>
                <w:color w:val="auto"/>
                <w:kern w:val="0"/>
                <w:sz w:val="24"/>
                <w:szCs w:val="24"/>
                <w:highlight w:val="none"/>
                <w:vertAlign w:val="subscript"/>
                <w:lang w:val="en-US" w:eastAsia="zh-CN" w:bidi="ar"/>
              </w:rPr>
              <w:t>2</w:t>
            </w:r>
            <w:r>
              <w:rPr>
                <w:rFonts w:hint="default" w:ascii="Times New Roman" w:hAnsi="Times New Roman" w:eastAsia="宋体" w:cs="Times New Roman"/>
                <w:b w:val="0"/>
                <w:bCs w:val="0"/>
                <w:color w:val="auto"/>
                <w:kern w:val="0"/>
                <w:sz w:val="24"/>
                <w:szCs w:val="24"/>
                <w:highlight w:val="none"/>
                <w:lang w:val="en-US" w:eastAsia="zh-CN" w:bidi="ar"/>
              </w:rPr>
              <w:t>、NO</w:t>
            </w:r>
            <w:r>
              <w:rPr>
                <w:rFonts w:hint="default" w:ascii="Times New Roman" w:hAnsi="Times New Roman" w:eastAsia="宋体" w:cs="Times New Roman"/>
                <w:b w:val="0"/>
                <w:bCs w:val="0"/>
                <w:color w:val="auto"/>
                <w:kern w:val="0"/>
                <w:sz w:val="24"/>
                <w:szCs w:val="24"/>
                <w:highlight w:val="none"/>
                <w:vertAlign w:val="subscript"/>
                <w:lang w:val="en-US" w:eastAsia="zh-CN" w:bidi="ar"/>
              </w:rPr>
              <w:t>2</w:t>
            </w:r>
            <w:r>
              <w:rPr>
                <w:rFonts w:hint="default" w:ascii="Times New Roman" w:hAnsi="Times New Roman" w:eastAsia="宋体" w:cs="Times New Roman"/>
                <w:color w:val="auto"/>
                <w:sz w:val="24"/>
                <w:szCs w:val="24"/>
                <w:highlight w:val="none"/>
              </w:rPr>
              <w:t>年平均浓度值</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b w:val="0"/>
                <w:bCs w:val="0"/>
                <w:color w:val="auto"/>
                <w:kern w:val="0"/>
                <w:sz w:val="24"/>
                <w:szCs w:val="24"/>
                <w:highlight w:val="none"/>
                <w:lang w:val="en-US" w:eastAsia="zh-CN" w:bidi="ar"/>
              </w:rPr>
              <w:t>CO-95per24小时平均浓度、O</w:t>
            </w:r>
            <w:r>
              <w:rPr>
                <w:rFonts w:hint="default" w:ascii="Times New Roman" w:hAnsi="Times New Roman" w:eastAsia="宋体" w:cs="Times New Roman"/>
                <w:b w:val="0"/>
                <w:bCs w:val="0"/>
                <w:color w:val="auto"/>
                <w:kern w:val="0"/>
                <w:sz w:val="24"/>
                <w:szCs w:val="24"/>
                <w:highlight w:val="none"/>
                <w:vertAlign w:val="subscript"/>
                <w:lang w:val="en-US" w:eastAsia="zh-CN" w:bidi="ar"/>
              </w:rPr>
              <w:t>3</w:t>
            </w:r>
            <w:r>
              <w:rPr>
                <w:rFonts w:hint="default" w:ascii="Times New Roman" w:hAnsi="Times New Roman" w:eastAsia="宋体" w:cs="Times New Roman"/>
                <w:b w:val="0"/>
                <w:bCs w:val="0"/>
                <w:color w:val="auto"/>
                <w:kern w:val="0"/>
                <w:sz w:val="24"/>
                <w:szCs w:val="24"/>
                <w:highlight w:val="none"/>
                <w:lang w:val="en-US" w:eastAsia="zh-CN" w:bidi="ar"/>
              </w:rPr>
              <w:t>-90per8小时平均浓度</w:t>
            </w:r>
            <w:r>
              <w:rPr>
                <w:rFonts w:hint="default" w:ascii="Times New Roman" w:hAnsi="Times New Roman" w:eastAsia="宋体" w:cs="Times New Roman"/>
                <w:color w:val="auto"/>
                <w:sz w:val="24"/>
                <w:szCs w:val="24"/>
                <w:highlight w:val="none"/>
              </w:rPr>
              <w:t>均满足《</w:t>
            </w:r>
            <w:r>
              <w:rPr>
                <w:rFonts w:hint="default" w:ascii="Times New Roman" w:hAnsi="Times New Roman" w:eastAsia="宋体" w:cs="Times New Roman"/>
                <w:color w:val="auto"/>
                <w:sz w:val="24"/>
                <w:szCs w:val="24"/>
                <w:highlight w:val="none"/>
                <w:lang w:val="en-US" w:eastAsia="zh-CN"/>
              </w:rPr>
              <w:t>环境</w:t>
            </w:r>
            <w:r>
              <w:rPr>
                <w:rFonts w:hint="default" w:ascii="Times New Roman" w:hAnsi="Times New Roman" w:eastAsia="宋体" w:cs="Times New Roman"/>
                <w:color w:val="auto"/>
                <w:sz w:val="24"/>
                <w:szCs w:val="24"/>
                <w:highlight w:val="none"/>
              </w:rPr>
              <w:t>空气质量标准》（GB3095-</w:t>
            </w:r>
            <w:r>
              <w:rPr>
                <w:rFonts w:hint="eastAsia" w:cs="Times New Roman"/>
                <w:color w:val="auto"/>
                <w:sz w:val="24"/>
                <w:szCs w:val="24"/>
                <w:highlight w:val="none"/>
                <w:lang w:val="en-US" w:eastAsia="zh-CN"/>
              </w:rPr>
              <w:t>2026</w:t>
            </w:r>
            <w:r>
              <w:rPr>
                <w:rFonts w:hint="default" w:ascii="Times New Roman" w:hAnsi="Times New Roman" w:eastAsia="宋体" w:cs="Times New Roman"/>
                <w:color w:val="auto"/>
                <w:sz w:val="24"/>
                <w:szCs w:val="24"/>
                <w:highlight w:val="none"/>
              </w:rPr>
              <w:t>）</w:t>
            </w:r>
            <w:r>
              <w:rPr>
                <w:rFonts w:hint="eastAsia" w:cs="Times New Roman"/>
                <w:b w:val="0"/>
                <w:bCs w:val="0"/>
                <w:color w:val="auto"/>
                <w:kern w:val="0"/>
                <w:sz w:val="24"/>
                <w:szCs w:val="24"/>
                <w:highlight w:val="none"/>
                <w:lang w:val="en-US" w:eastAsia="zh-CN" w:bidi="ar"/>
              </w:rPr>
              <w:t>中表1过渡阶段浓度限值</w:t>
            </w:r>
            <w:r>
              <w:rPr>
                <w:rFonts w:hint="default" w:ascii="Times New Roman" w:hAnsi="Times New Roman" w:eastAsia="宋体" w:cs="Times New Roman"/>
                <w:color w:val="auto"/>
                <w:sz w:val="24"/>
                <w:szCs w:val="24"/>
                <w:highlight w:val="none"/>
              </w:rPr>
              <w:t>二级标准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因此</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项目所在区域属于</w:t>
            </w:r>
            <w:r>
              <w:rPr>
                <w:rFonts w:hint="default" w:ascii="Times New Roman" w:hAnsi="Times New Roman" w:eastAsia="宋体" w:cs="Times New Roman"/>
                <w:color w:val="auto"/>
                <w:sz w:val="24"/>
                <w:szCs w:val="24"/>
                <w:highlight w:val="none"/>
                <w:lang w:val="en-US" w:eastAsia="zh-CN"/>
              </w:rPr>
              <w:t>环境空气质量</w:t>
            </w:r>
            <w:r>
              <w:rPr>
                <w:rFonts w:hint="default" w:ascii="Times New Roman" w:hAnsi="Times New Roman" w:eastAsia="宋体" w:cs="Times New Roman"/>
                <w:color w:val="auto"/>
                <w:sz w:val="24"/>
                <w:szCs w:val="24"/>
                <w:highlight w:val="none"/>
              </w:rPr>
              <w:t>达标区。</w:t>
            </w:r>
          </w:p>
          <w:p w14:paraId="02F4CD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（二）其他污染物</w:t>
            </w:r>
          </w:p>
          <w:p w14:paraId="4612BB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1.其他污染物监测数据</w:t>
            </w:r>
          </w:p>
          <w:p w14:paraId="7F4E91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color w:val="FF0000"/>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项目排放的国家、地方环境空气质量标准中有标准限值要求的其他污染物为TSP，</w:t>
            </w:r>
            <w:r>
              <w:rPr>
                <w:rFonts w:hint="eastAsia" w:cs="Times New Roman"/>
                <w:color w:val="auto"/>
                <w:sz w:val="24"/>
                <w:szCs w:val="24"/>
                <w:highlight w:val="none"/>
                <w:lang w:val="en-US" w:eastAsia="zh-CN"/>
              </w:rPr>
              <w:t>项目委托</w:t>
            </w:r>
            <w:r>
              <w:rPr>
                <w:rFonts w:hint="eastAsia"/>
                <w:sz w:val="24"/>
                <w:highlight w:val="none"/>
                <w:lang w:val="en-US" w:eastAsia="zh-CN"/>
              </w:rPr>
              <w:t>黑龙江博仕检验检测有限公司在</w:t>
            </w:r>
            <w:r>
              <w:rPr>
                <w:rFonts w:hint="eastAsia" w:cs="Times New Roman"/>
                <w:color w:val="auto"/>
                <w:spacing w:val="2"/>
                <w:kern w:val="0"/>
                <w:sz w:val="24"/>
                <w:highlight w:val="none"/>
                <w:lang w:val="en-US" w:eastAsia="zh-CN"/>
              </w:rPr>
              <w:t>位于</w:t>
            </w:r>
            <w:r>
              <w:rPr>
                <w:rFonts w:hint="eastAsia" w:cs="Times New Roman"/>
                <w:color w:val="auto"/>
                <w:sz w:val="24"/>
                <w:szCs w:val="24"/>
                <w:highlight w:val="none"/>
                <w:lang w:val="en-US" w:eastAsia="zh-CN"/>
              </w:rPr>
              <w:t>当季主导风向（SW）下风向补充1个监测点，监测因子为TSP24小时平均浓度，监测时间为2026年</w:t>
            </w:r>
            <w:r>
              <w:rPr>
                <w:rFonts w:hint="eastAsia" w:cs="Times New Roman"/>
                <w:color w:val="auto"/>
                <w:spacing w:val="2"/>
                <w:kern w:val="0"/>
                <w:sz w:val="24"/>
                <w:highlight w:val="none"/>
                <w:lang w:val="en-US" w:eastAsia="zh-CN"/>
              </w:rPr>
              <w:t>8</w:t>
            </w:r>
            <w:r>
              <w:rPr>
                <w:rFonts w:hint="default" w:ascii="Times New Roman" w:hAnsi="Times New Roman" w:cs="Times New Roman"/>
                <w:color w:val="auto"/>
                <w:spacing w:val="2"/>
                <w:kern w:val="0"/>
                <w:sz w:val="24"/>
                <w:highlight w:val="none"/>
                <w:lang w:val="en-US" w:eastAsia="zh-CN"/>
              </w:rPr>
              <w:t>月</w:t>
            </w:r>
            <w:r>
              <w:rPr>
                <w:rFonts w:hint="eastAsia" w:cs="Times New Roman"/>
                <w:color w:val="auto"/>
                <w:spacing w:val="2"/>
                <w:kern w:val="0"/>
                <w:sz w:val="24"/>
                <w:highlight w:val="none"/>
                <w:lang w:val="en-US" w:eastAsia="zh-CN"/>
              </w:rPr>
              <w:t>27</w:t>
            </w:r>
            <w:r>
              <w:rPr>
                <w:rFonts w:hint="default" w:ascii="Times New Roman" w:hAnsi="Times New Roman" w:cs="Times New Roman"/>
                <w:color w:val="auto"/>
                <w:spacing w:val="2"/>
                <w:kern w:val="0"/>
                <w:sz w:val="24"/>
                <w:highlight w:val="none"/>
                <w:lang w:val="en-US" w:eastAsia="zh-CN"/>
              </w:rPr>
              <w:t>日～</w:t>
            </w:r>
            <w:r>
              <w:rPr>
                <w:rFonts w:hint="eastAsia" w:cs="Times New Roman"/>
                <w:color w:val="auto"/>
                <w:spacing w:val="2"/>
                <w:kern w:val="0"/>
                <w:sz w:val="24"/>
                <w:highlight w:val="none"/>
                <w:lang w:val="en-US" w:eastAsia="zh-CN"/>
              </w:rPr>
              <w:t>8</w:t>
            </w:r>
            <w:r>
              <w:rPr>
                <w:rFonts w:hint="default" w:ascii="Times New Roman" w:hAnsi="Times New Roman" w:cs="Times New Roman"/>
                <w:color w:val="auto"/>
                <w:spacing w:val="2"/>
                <w:kern w:val="0"/>
                <w:sz w:val="24"/>
                <w:highlight w:val="none"/>
                <w:lang w:val="en-US" w:eastAsia="zh-CN"/>
              </w:rPr>
              <w:t>月</w:t>
            </w:r>
            <w:r>
              <w:rPr>
                <w:rFonts w:hint="eastAsia" w:cs="Times New Roman"/>
                <w:color w:val="auto"/>
                <w:spacing w:val="2"/>
                <w:kern w:val="0"/>
                <w:sz w:val="24"/>
                <w:highlight w:val="none"/>
                <w:lang w:val="en-US" w:eastAsia="zh-CN"/>
              </w:rPr>
              <w:t>29</w:t>
            </w:r>
            <w:r>
              <w:rPr>
                <w:rFonts w:hint="default" w:ascii="Times New Roman" w:hAnsi="Times New Roman" w:cs="Times New Roman"/>
                <w:color w:val="auto"/>
                <w:spacing w:val="2"/>
                <w:kern w:val="0"/>
                <w:sz w:val="24"/>
                <w:highlight w:val="none"/>
                <w:lang w:val="en-US" w:eastAsia="zh-CN"/>
              </w:rPr>
              <w:t>日，连续监测</w:t>
            </w:r>
            <w:r>
              <w:rPr>
                <w:rFonts w:hint="eastAsia" w:cs="Times New Roman"/>
                <w:color w:val="auto"/>
                <w:spacing w:val="2"/>
                <w:kern w:val="0"/>
                <w:sz w:val="24"/>
                <w:highlight w:val="none"/>
                <w:lang w:val="en-US" w:eastAsia="zh-CN"/>
              </w:rPr>
              <w:t>3</w:t>
            </w:r>
            <w:r>
              <w:rPr>
                <w:rFonts w:hint="default" w:ascii="Times New Roman" w:hAnsi="Times New Roman" w:cs="Times New Roman"/>
                <w:color w:val="auto"/>
                <w:spacing w:val="2"/>
                <w:kern w:val="0"/>
                <w:sz w:val="24"/>
                <w:highlight w:val="none"/>
                <w:lang w:val="en-US" w:eastAsia="zh-CN"/>
              </w:rPr>
              <w:t>天。</w:t>
            </w:r>
            <w:r>
              <w:rPr>
                <w:rFonts w:hint="default" w:ascii="Times New Roman" w:hAnsi="Times New Roman" w:cs="Times New Roman"/>
                <w:color w:val="auto"/>
                <w:sz w:val="24"/>
                <w:highlight w:val="none"/>
              </w:rPr>
              <w:t>监测点位基本信息见表3-</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监测点位图见图3-</w:t>
            </w:r>
            <w:r>
              <w:rPr>
                <w:rFonts w:hint="eastAsia" w:cs="Times New Roman"/>
                <w:color w:val="auto"/>
                <w:sz w:val="24"/>
                <w:highlight w:val="none"/>
                <w:lang w:val="en-US" w:eastAsia="zh-CN"/>
              </w:rPr>
              <w:t>1</w:t>
            </w:r>
            <w:r>
              <w:rPr>
                <w:rFonts w:hint="default" w:ascii="Times New Roman" w:hAnsi="Times New Roman" w:cs="Times New Roman"/>
                <w:color w:val="auto"/>
                <w:sz w:val="24"/>
                <w:highlight w:val="none"/>
              </w:rPr>
              <w:t>，其他污染物环境质量现状监测结果见表3-</w:t>
            </w:r>
            <w:r>
              <w:rPr>
                <w:rFonts w:hint="eastAsia" w:cs="Times New Roman"/>
                <w:color w:val="auto"/>
                <w:sz w:val="24"/>
                <w:highlight w:val="none"/>
                <w:lang w:val="en-US" w:eastAsia="zh-CN"/>
              </w:rPr>
              <w:t>3</w:t>
            </w:r>
            <w:r>
              <w:rPr>
                <w:rFonts w:hint="default" w:ascii="Times New Roman" w:hAnsi="Times New Roman" w:cs="Times New Roman"/>
                <w:color w:val="auto"/>
                <w:sz w:val="24"/>
                <w:highlight w:val="none"/>
                <w:lang w:val="en-US" w:eastAsia="zh-CN"/>
              </w:rPr>
              <w:t>。</w:t>
            </w:r>
          </w:p>
          <w:tbl>
            <w:tblPr>
              <w:tblStyle w:val="21"/>
              <w:tblW w:w="8769"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69"/>
            </w:tblGrid>
            <w:tr w14:paraId="4278F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9" w:type="dxa"/>
                  <w:tcBorders>
                    <w:tl2br w:val="nil"/>
                    <w:tr2bl w:val="nil"/>
                  </w:tcBorders>
                </w:tcPr>
                <w:p w14:paraId="319073D1">
                  <w:pPr>
                    <w:rPr>
                      <w:rFonts w:hint="default"/>
                      <w:color w:val="FF0000"/>
                      <w:highlight w:val="none"/>
                      <w:vertAlign w:val="baseline"/>
                      <w:lang w:val="en-US"/>
                    </w:rPr>
                  </w:pPr>
                  <w:r>
                    <w:drawing>
                      <wp:inline distT="0" distB="0" distL="114300" distR="114300">
                        <wp:extent cx="5429250" cy="4084955"/>
                        <wp:effectExtent l="0" t="0" r="6350" b="4445"/>
                        <wp:docPr id="108" name="F35B0BEE-F18A-47BB-8FCB-E00DA2F2635D-1" descr="C:/Users/Administrator/AppData/Local/Temp/wps.UmLPMH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F35B0BEE-F18A-47BB-8FCB-E00DA2F2635D-1" descr="C:/Users/Administrator/AppData/Local/Temp/wps.UmLPMHwps"/>
                                <pic:cNvPicPr>
                                  <a:picLocks noChangeAspect="1"/>
                                </pic:cNvPicPr>
                              </pic:nvPicPr>
                              <pic:blipFill>
                                <a:blip r:embed="rId18"/>
                                <a:stretch>
                                  <a:fillRect/>
                                </a:stretch>
                              </pic:blipFill>
                              <pic:spPr>
                                <a:xfrm>
                                  <a:off x="0" y="0"/>
                                  <a:ext cx="5429250" cy="4084955"/>
                                </a:xfrm>
                                <a:prstGeom prst="rect">
                                  <a:avLst/>
                                </a:prstGeom>
                                <a:noFill/>
                                <a:ln>
                                  <a:noFill/>
                                </a:ln>
                              </pic:spPr>
                            </pic:pic>
                          </a:graphicData>
                        </a:graphic>
                      </wp:inline>
                    </w:drawing>
                  </w:r>
                </w:p>
              </w:tc>
            </w:tr>
            <w:tr w14:paraId="5FB34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769" w:type="dxa"/>
                  <w:tcBorders>
                    <w:tl2br w:val="nil"/>
                    <w:tr2bl w:val="nil"/>
                  </w:tcBorders>
                </w:tcPr>
                <w:p w14:paraId="6A799B1E">
                  <w:pPr>
                    <w:jc w:val="center"/>
                    <w:rPr>
                      <w:rFonts w:hint="default"/>
                      <w:color w:val="FF0000"/>
                      <w:highlight w:val="none"/>
                      <w:vertAlign w:val="baseline"/>
                      <w:lang w:val="en-US"/>
                    </w:rPr>
                  </w:pPr>
                  <w:r>
                    <w:rPr>
                      <w:rFonts w:hint="default" w:ascii="Times New Roman" w:hAnsi="Times New Roman" w:eastAsia="宋体" w:cs="Times New Roman"/>
                      <w:b/>
                      <w:bCs/>
                      <w:color w:val="auto"/>
                      <w:sz w:val="21"/>
                      <w:szCs w:val="21"/>
                      <w:highlight w:val="none"/>
                      <w:lang w:val="en-US" w:eastAsia="zh-CN"/>
                    </w:rPr>
                    <w:t>图3-</w:t>
                  </w:r>
                  <w:r>
                    <w:rPr>
                      <w:rFonts w:hint="eastAsia" w:ascii="Times New Roman" w:hAnsi="Times New Roman" w:eastAsia="宋体" w:cs="Times New Roman"/>
                      <w:b/>
                      <w:bCs/>
                      <w:color w:val="auto"/>
                      <w:sz w:val="21"/>
                      <w:szCs w:val="21"/>
                      <w:highlight w:val="none"/>
                      <w:lang w:val="en-US" w:eastAsia="zh-CN"/>
                    </w:rPr>
                    <w:t>1</w:t>
                  </w:r>
                  <w:r>
                    <w:rPr>
                      <w:rFonts w:hint="default" w:ascii="Times New Roman" w:hAnsi="Times New Roman" w:eastAsia="宋体" w:cs="Times New Roman"/>
                      <w:b/>
                      <w:bCs/>
                      <w:color w:val="auto"/>
                      <w:sz w:val="21"/>
                      <w:szCs w:val="21"/>
                      <w:highlight w:val="none"/>
                      <w:lang w:val="en-US" w:eastAsia="zh-CN"/>
                    </w:rPr>
                    <w:t xml:space="preserve">  </w:t>
                  </w:r>
                  <w:r>
                    <w:rPr>
                      <w:rFonts w:hint="eastAsia" w:cs="Times New Roman"/>
                      <w:b/>
                      <w:bCs/>
                      <w:color w:val="auto"/>
                      <w:sz w:val="21"/>
                      <w:szCs w:val="21"/>
                      <w:highlight w:val="none"/>
                      <w:lang w:val="en-US" w:eastAsia="zh-CN"/>
                    </w:rPr>
                    <w:t>TSP</w:t>
                  </w:r>
                  <w:r>
                    <w:rPr>
                      <w:rFonts w:hint="default" w:ascii="Times New Roman" w:hAnsi="Times New Roman" w:eastAsia="宋体" w:cs="Times New Roman"/>
                      <w:b/>
                      <w:bCs/>
                      <w:color w:val="auto"/>
                      <w:sz w:val="21"/>
                      <w:szCs w:val="21"/>
                      <w:highlight w:val="none"/>
                      <w:lang w:val="en-US" w:eastAsia="zh-CN"/>
                    </w:rPr>
                    <w:t>监测点位图</w:t>
                  </w:r>
                </w:p>
              </w:tc>
            </w:tr>
          </w:tbl>
          <w:p w14:paraId="25E76D8F">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宋体" w:cs="Times New Roman"/>
                <w:b/>
                <w:bCs/>
                <w:color w:val="auto"/>
                <w:sz w:val="21"/>
                <w:szCs w:val="24"/>
                <w:highlight w:val="none"/>
                <w:lang w:val="en-US" w:eastAsia="zh-CN"/>
              </w:rPr>
            </w:pPr>
            <w:r>
              <w:rPr>
                <w:rFonts w:hint="default" w:ascii="Times New Roman" w:hAnsi="Times New Roman" w:eastAsia="宋体" w:cs="Times New Roman"/>
                <w:b/>
                <w:bCs/>
                <w:color w:val="auto"/>
                <w:sz w:val="21"/>
                <w:szCs w:val="24"/>
                <w:highlight w:val="none"/>
                <w:lang w:val="en-US" w:eastAsia="zh-CN"/>
              </w:rPr>
              <w:t>表3-</w:t>
            </w:r>
            <w:r>
              <w:rPr>
                <w:rFonts w:hint="eastAsia" w:cs="Times New Roman"/>
                <w:b/>
                <w:bCs/>
                <w:color w:val="auto"/>
                <w:sz w:val="21"/>
                <w:szCs w:val="24"/>
                <w:highlight w:val="none"/>
                <w:lang w:val="en-US" w:eastAsia="zh-CN"/>
              </w:rPr>
              <w:t>2</w:t>
            </w:r>
            <w:r>
              <w:rPr>
                <w:rFonts w:hint="default" w:ascii="Times New Roman" w:hAnsi="Times New Roman" w:eastAsia="宋体" w:cs="Times New Roman"/>
                <w:b/>
                <w:bCs/>
                <w:color w:val="auto"/>
                <w:sz w:val="21"/>
                <w:szCs w:val="24"/>
                <w:highlight w:val="none"/>
                <w:lang w:val="en-US" w:eastAsia="zh-CN"/>
              </w:rPr>
              <w:t xml:space="preserve"> </w:t>
            </w:r>
            <w:r>
              <w:rPr>
                <w:rFonts w:hint="eastAsia" w:cs="Times New Roman"/>
                <w:b/>
                <w:bCs/>
                <w:color w:val="auto"/>
                <w:sz w:val="21"/>
                <w:szCs w:val="24"/>
                <w:highlight w:val="none"/>
                <w:lang w:val="en-US" w:eastAsia="zh-CN"/>
              </w:rPr>
              <w:t xml:space="preserve"> </w:t>
            </w:r>
            <w:r>
              <w:rPr>
                <w:rFonts w:hint="default" w:ascii="Times New Roman" w:hAnsi="Times New Roman" w:eastAsia="宋体" w:cs="Times New Roman"/>
                <w:b/>
                <w:bCs/>
                <w:color w:val="auto"/>
                <w:sz w:val="21"/>
                <w:szCs w:val="24"/>
                <w:highlight w:val="none"/>
                <w:lang w:val="en-US" w:eastAsia="zh-CN"/>
              </w:rPr>
              <w:t>其他污染物环境质量现状监测点位基本信息</w:t>
            </w:r>
          </w:p>
          <w:tbl>
            <w:tblPr>
              <w:tblStyle w:val="20"/>
              <w:tblW w:w="5000" w:type="pct"/>
              <w:tblInd w:w="17" w:type="dxa"/>
              <w:tblBorders>
                <w:top w:val="single" w:color="auto" w:sz="8" w:space="0"/>
                <w:left w:val="none" w:color="auto" w:sz="0" w:space="0"/>
                <w:bottom w:val="single" w:color="auto" w:sz="8"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69"/>
              <w:gridCol w:w="1382"/>
              <w:gridCol w:w="1612"/>
              <w:gridCol w:w="1408"/>
              <w:gridCol w:w="715"/>
              <w:gridCol w:w="1442"/>
              <w:gridCol w:w="1541"/>
            </w:tblGrid>
            <w:tr w14:paraId="423C9DB8">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PrEx>
              <w:trPr>
                <w:trHeight w:val="283" w:hRule="atLeast"/>
              </w:trPr>
              <w:tc>
                <w:tcPr>
                  <w:tcW w:w="669" w:type="dxa"/>
                  <w:vMerge w:val="restart"/>
                  <w:tcBorders>
                    <w:tl2br w:val="nil"/>
                    <w:tr2bl w:val="nil"/>
                  </w:tcBorders>
                  <w:noWrap w:val="0"/>
                  <w:vAlign w:val="center"/>
                </w:tcPr>
                <w:p w14:paraId="7175555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1382" w:type="dxa"/>
                  <w:vMerge w:val="restart"/>
                  <w:tcBorders>
                    <w:tl2br w:val="nil"/>
                    <w:tr2bl w:val="nil"/>
                  </w:tcBorders>
                  <w:noWrap w:val="0"/>
                  <w:vAlign w:val="center"/>
                </w:tcPr>
                <w:p w14:paraId="19C7541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监测点名称</w:t>
                  </w:r>
                </w:p>
              </w:tc>
              <w:tc>
                <w:tcPr>
                  <w:tcW w:w="3020" w:type="dxa"/>
                  <w:gridSpan w:val="2"/>
                  <w:tcBorders>
                    <w:tl2br w:val="nil"/>
                    <w:tr2bl w:val="nil"/>
                  </w:tcBorders>
                  <w:noWrap w:val="0"/>
                  <w:vAlign w:val="center"/>
                </w:tcPr>
                <w:p w14:paraId="226DD01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rPr>
                    <w:t>监测点坐标</w:t>
                  </w:r>
                  <w:r>
                    <w:rPr>
                      <w:rFonts w:hint="default" w:ascii="Times New Roman" w:hAnsi="Times New Roman" w:eastAsia="宋体"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w:t>
                  </w:r>
                  <w:r>
                    <w:rPr>
                      <w:rFonts w:hint="default" w:ascii="Times New Roman" w:hAnsi="Times New Roman" w:eastAsia="宋体" w:cs="Times New Roman"/>
                      <w:b/>
                      <w:bCs/>
                      <w:color w:val="auto"/>
                      <w:sz w:val="21"/>
                      <w:szCs w:val="21"/>
                      <w:highlight w:val="none"/>
                      <w:lang w:eastAsia="zh-CN"/>
                    </w:rPr>
                    <w:t>）</w:t>
                  </w:r>
                </w:p>
              </w:tc>
              <w:tc>
                <w:tcPr>
                  <w:tcW w:w="715" w:type="dxa"/>
                  <w:vMerge w:val="restart"/>
                  <w:tcBorders>
                    <w:tl2br w:val="nil"/>
                    <w:tr2bl w:val="nil"/>
                  </w:tcBorders>
                  <w:noWrap w:val="0"/>
                  <w:vAlign w:val="center"/>
                </w:tcPr>
                <w:p w14:paraId="2CA4F17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监测因子</w:t>
                  </w:r>
                </w:p>
              </w:tc>
              <w:tc>
                <w:tcPr>
                  <w:tcW w:w="1442" w:type="dxa"/>
                  <w:vMerge w:val="restart"/>
                  <w:tcBorders>
                    <w:tl2br w:val="nil"/>
                    <w:tr2bl w:val="nil"/>
                  </w:tcBorders>
                  <w:noWrap w:val="0"/>
                  <w:vAlign w:val="center"/>
                </w:tcPr>
                <w:p w14:paraId="1226487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相对</w:t>
                  </w:r>
                  <w:r>
                    <w:rPr>
                      <w:rFonts w:hint="eastAsia" w:cs="Times New Roman"/>
                      <w:b/>
                      <w:bCs/>
                      <w:color w:val="auto"/>
                      <w:sz w:val="21"/>
                      <w:szCs w:val="21"/>
                      <w:highlight w:val="none"/>
                      <w:lang w:val="en-US" w:eastAsia="zh-CN"/>
                    </w:rPr>
                    <w:t>本项目</w:t>
                  </w:r>
                  <w:r>
                    <w:rPr>
                      <w:rFonts w:hint="default" w:ascii="Times New Roman" w:hAnsi="Times New Roman" w:eastAsia="宋体" w:cs="Times New Roman"/>
                      <w:b/>
                      <w:bCs/>
                      <w:color w:val="auto"/>
                      <w:sz w:val="21"/>
                      <w:szCs w:val="21"/>
                      <w:highlight w:val="none"/>
                    </w:rPr>
                    <w:t>厂址方位</w:t>
                  </w:r>
                </w:p>
              </w:tc>
              <w:tc>
                <w:tcPr>
                  <w:tcW w:w="1541" w:type="dxa"/>
                  <w:vMerge w:val="restart"/>
                  <w:tcBorders>
                    <w:tl2br w:val="nil"/>
                    <w:tr2bl w:val="nil"/>
                  </w:tcBorders>
                  <w:noWrap w:val="0"/>
                  <w:vAlign w:val="center"/>
                </w:tcPr>
                <w:p w14:paraId="26E4AB2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相对</w:t>
                  </w:r>
                  <w:r>
                    <w:rPr>
                      <w:rFonts w:hint="eastAsia" w:cs="Times New Roman"/>
                      <w:b/>
                      <w:bCs/>
                      <w:color w:val="auto"/>
                      <w:sz w:val="21"/>
                      <w:szCs w:val="21"/>
                      <w:highlight w:val="none"/>
                      <w:lang w:val="en-US" w:eastAsia="zh-CN"/>
                    </w:rPr>
                    <w:t>本项目</w:t>
                  </w:r>
                  <w:r>
                    <w:rPr>
                      <w:rFonts w:hint="default" w:ascii="Times New Roman" w:hAnsi="Times New Roman" w:eastAsia="宋体" w:cs="Times New Roman"/>
                      <w:b/>
                      <w:bCs/>
                      <w:color w:val="auto"/>
                      <w:sz w:val="21"/>
                      <w:szCs w:val="21"/>
                      <w:highlight w:val="none"/>
                    </w:rPr>
                    <w:t>厂界距离/m</w:t>
                  </w:r>
                </w:p>
              </w:tc>
            </w:tr>
            <w:tr w14:paraId="3134C2E7">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669" w:type="dxa"/>
                  <w:vMerge w:val="continue"/>
                  <w:tcBorders>
                    <w:tl2br w:val="nil"/>
                    <w:tr2bl w:val="nil"/>
                  </w:tcBorders>
                  <w:noWrap w:val="0"/>
                  <w:vAlign w:val="center"/>
                </w:tcPr>
                <w:p w14:paraId="1DC6C31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rPr>
                  </w:pPr>
                </w:p>
              </w:tc>
              <w:tc>
                <w:tcPr>
                  <w:tcW w:w="1382" w:type="dxa"/>
                  <w:vMerge w:val="continue"/>
                  <w:tcBorders>
                    <w:tl2br w:val="nil"/>
                    <w:tr2bl w:val="nil"/>
                  </w:tcBorders>
                  <w:noWrap w:val="0"/>
                  <w:vAlign w:val="center"/>
                </w:tcPr>
                <w:p w14:paraId="2C6AD2B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rPr>
                  </w:pPr>
                </w:p>
              </w:tc>
              <w:tc>
                <w:tcPr>
                  <w:tcW w:w="1612" w:type="dxa"/>
                  <w:tcBorders>
                    <w:tl2br w:val="nil"/>
                    <w:tr2bl w:val="nil"/>
                  </w:tcBorders>
                  <w:noWrap w:val="0"/>
                  <w:vAlign w:val="center"/>
                </w:tcPr>
                <w:p w14:paraId="4A51B0F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经度/E</w:t>
                  </w:r>
                </w:p>
              </w:tc>
              <w:tc>
                <w:tcPr>
                  <w:tcW w:w="1408" w:type="dxa"/>
                  <w:tcBorders>
                    <w:tl2br w:val="nil"/>
                    <w:tr2bl w:val="nil"/>
                  </w:tcBorders>
                  <w:noWrap w:val="0"/>
                  <w:vAlign w:val="center"/>
                </w:tcPr>
                <w:p w14:paraId="51027E7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纬度/N</w:t>
                  </w:r>
                </w:p>
              </w:tc>
              <w:tc>
                <w:tcPr>
                  <w:tcW w:w="715" w:type="dxa"/>
                  <w:vMerge w:val="continue"/>
                  <w:tcBorders>
                    <w:tl2br w:val="nil"/>
                    <w:tr2bl w:val="nil"/>
                  </w:tcBorders>
                  <w:noWrap w:val="0"/>
                  <w:vAlign w:val="center"/>
                </w:tcPr>
                <w:p w14:paraId="60F1B2E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rPr>
                  </w:pPr>
                </w:p>
              </w:tc>
              <w:tc>
                <w:tcPr>
                  <w:tcW w:w="1442" w:type="dxa"/>
                  <w:vMerge w:val="continue"/>
                  <w:tcBorders>
                    <w:tl2br w:val="nil"/>
                    <w:tr2bl w:val="nil"/>
                  </w:tcBorders>
                  <w:noWrap w:val="0"/>
                  <w:vAlign w:val="center"/>
                </w:tcPr>
                <w:p w14:paraId="35CBE82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rPr>
                  </w:pPr>
                </w:p>
              </w:tc>
              <w:tc>
                <w:tcPr>
                  <w:tcW w:w="1541" w:type="dxa"/>
                  <w:vMerge w:val="continue"/>
                  <w:tcBorders>
                    <w:tl2br w:val="nil"/>
                    <w:tr2bl w:val="nil"/>
                  </w:tcBorders>
                  <w:noWrap w:val="0"/>
                  <w:vAlign w:val="center"/>
                </w:tcPr>
                <w:p w14:paraId="36FDB4F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rPr>
                  </w:pPr>
                </w:p>
              </w:tc>
            </w:tr>
            <w:tr w14:paraId="0E746E5C">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669" w:type="dxa"/>
                  <w:tcBorders>
                    <w:tl2br w:val="nil"/>
                    <w:tr2bl w:val="nil"/>
                  </w:tcBorders>
                  <w:noWrap w:val="0"/>
                  <w:vAlign w:val="center"/>
                </w:tcPr>
                <w:p w14:paraId="6D0D5A6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382" w:type="dxa"/>
                  <w:tcBorders>
                    <w:tl2br w:val="nil"/>
                    <w:tr2bl w:val="nil"/>
                  </w:tcBorders>
                  <w:noWrap w:val="0"/>
                  <w:vAlign w:val="center"/>
                </w:tcPr>
                <w:p w14:paraId="4CDFCDD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1#</w:t>
                  </w:r>
                  <w:r>
                    <w:rPr>
                      <w:rFonts w:hint="eastAsia" w:ascii="Times New Roman" w:hAnsi="Times New Roman" w:eastAsia="宋体" w:cs="Times New Roman"/>
                      <w:color w:val="auto"/>
                      <w:sz w:val="21"/>
                      <w:szCs w:val="21"/>
                      <w:lang w:val="en-US" w:eastAsia="zh-CN"/>
                    </w:rPr>
                    <w:t>当季主导风向</w:t>
                  </w:r>
                  <w:r>
                    <w:rPr>
                      <w:rFonts w:hint="default" w:ascii="Times New Roman" w:hAnsi="Times New Roman" w:eastAsia="宋体" w:cs="Times New Roman"/>
                      <w:color w:val="auto"/>
                      <w:sz w:val="21"/>
                      <w:szCs w:val="21"/>
                      <w:lang w:val="en-US" w:eastAsia="zh-CN"/>
                    </w:rPr>
                    <w:t>下风向监测点</w:t>
                  </w:r>
                </w:p>
              </w:tc>
              <w:tc>
                <w:tcPr>
                  <w:tcW w:w="1612" w:type="dxa"/>
                  <w:tcBorders>
                    <w:tl2br w:val="nil"/>
                    <w:tr2bl w:val="nil"/>
                  </w:tcBorders>
                  <w:noWrap w:val="0"/>
                  <w:vAlign w:val="center"/>
                </w:tcPr>
                <w:p w14:paraId="1B1E3910">
                  <w:pPr>
                    <w:widowControl/>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134.04660881</w:t>
                  </w:r>
                </w:p>
              </w:tc>
              <w:tc>
                <w:tcPr>
                  <w:tcW w:w="1408" w:type="dxa"/>
                  <w:tcBorders>
                    <w:tl2br w:val="nil"/>
                    <w:tr2bl w:val="nil"/>
                  </w:tcBorders>
                  <w:noWrap w:val="0"/>
                  <w:vAlign w:val="center"/>
                </w:tcPr>
                <w:p w14:paraId="2E4E13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46.96605747</w:t>
                  </w:r>
                </w:p>
              </w:tc>
              <w:tc>
                <w:tcPr>
                  <w:tcW w:w="715" w:type="dxa"/>
                  <w:tcBorders>
                    <w:tl2br w:val="nil"/>
                    <w:tr2bl w:val="nil"/>
                  </w:tcBorders>
                  <w:noWrap w:val="0"/>
                  <w:vAlign w:val="center"/>
                </w:tcPr>
                <w:p w14:paraId="2CC3EB7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TSP</w:t>
                  </w:r>
                </w:p>
              </w:tc>
              <w:tc>
                <w:tcPr>
                  <w:tcW w:w="1442" w:type="dxa"/>
                  <w:tcBorders>
                    <w:tl2br w:val="nil"/>
                    <w:tr2bl w:val="nil"/>
                  </w:tcBorders>
                  <w:noWrap w:val="0"/>
                  <w:vAlign w:val="center"/>
                </w:tcPr>
                <w:p w14:paraId="05D4E1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NE</w:t>
                  </w:r>
                </w:p>
              </w:tc>
              <w:tc>
                <w:tcPr>
                  <w:tcW w:w="1541" w:type="dxa"/>
                  <w:tcBorders>
                    <w:tl2br w:val="nil"/>
                    <w:tr2bl w:val="nil"/>
                  </w:tcBorders>
                  <w:noWrap w:val="0"/>
                  <w:vAlign w:val="center"/>
                </w:tcPr>
                <w:p w14:paraId="48F579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59</w:t>
                  </w:r>
                </w:p>
              </w:tc>
            </w:tr>
          </w:tbl>
          <w:p w14:paraId="3D6094B6">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宋体" w:cs="Times New Roman"/>
                <w:b/>
                <w:bCs/>
                <w:color w:val="auto"/>
                <w:sz w:val="21"/>
                <w:szCs w:val="24"/>
                <w:highlight w:val="none"/>
                <w:lang w:val="en-US" w:eastAsia="zh-CN"/>
              </w:rPr>
            </w:pPr>
            <w:r>
              <w:rPr>
                <w:rFonts w:hint="default" w:ascii="Times New Roman" w:hAnsi="Times New Roman" w:eastAsia="宋体" w:cs="Times New Roman"/>
                <w:b/>
                <w:bCs/>
                <w:color w:val="auto"/>
                <w:sz w:val="21"/>
                <w:szCs w:val="24"/>
                <w:highlight w:val="none"/>
                <w:lang w:val="en-US" w:eastAsia="zh-CN"/>
              </w:rPr>
              <w:t>3-</w:t>
            </w:r>
            <w:r>
              <w:rPr>
                <w:rFonts w:hint="eastAsia" w:cs="Times New Roman"/>
                <w:b/>
                <w:bCs/>
                <w:color w:val="auto"/>
                <w:sz w:val="21"/>
                <w:szCs w:val="24"/>
                <w:highlight w:val="none"/>
                <w:lang w:val="en-US" w:eastAsia="zh-CN"/>
              </w:rPr>
              <w:t>3</w:t>
            </w:r>
            <w:r>
              <w:rPr>
                <w:rFonts w:hint="default" w:ascii="Times New Roman" w:hAnsi="Times New Roman" w:eastAsia="宋体" w:cs="Times New Roman"/>
                <w:b/>
                <w:bCs/>
                <w:color w:val="auto"/>
                <w:sz w:val="21"/>
                <w:szCs w:val="24"/>
                <w:highlight w:val="none"/>
                <w:lang w:val="en-US" w:eastAsia="zh-CN"/>
              </w:rPr>
              <w:t xml:space="preserve">  其他污染物环境质量现状监测结果一览表</w:t>
            </w:r>
          </w:p>
          <w:tbl>
            <w:tblPr>
              <w:tblStyle w:val="20"/>
              <w:tblW w:w="5000" w:type="pct"/>
              <w:tblInd w:w="0" w:type="dxa"/>
              <w:tblBorders>
                <w:top w:val="single" w:color="auto" w:sz="8" w:space="0"/>
                <w:left w:val="none" w:color="auto" w:sz="0" w:space="0"/>
                <w:bottom w:val="single" w:color="auto" w:sz="8"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469"/>
              <w:gridCol w:w="937"/>
              <w:gridCol w:w="864"/>
              <w:gridCol w:w="692"/>
              <w:gridCol w:w="774"/>
              <w:gridCol w:w="1114"/>
              <w:gridCol w:w="1151"/>
              <w:gridCol w:w="760"/>
              <w:gridCol w:w="636"/>
              <w:gridCol w:w="373"/>
            </w:tblGrid>
            <w:tr w14:paraId="34D3D558">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1469" w:type="dxa"/>
                  <w:vMerge w:val="restart"/>
                  <w:tcBorders>
                    <w:tl2br w:val="nil"/>
                    <w:tr2bl w:val="nil"/>
                  </w:tcBorders>
                  <w:noWrap w:val="0"/>
                  <w:vAlign w:val="center"/>
                </w:tcPr>
                <w:p w14:paraId="104D6B74">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监测点名称</w:t>
                  </w:r>
                </w:p>
              </w:tc>
              <w:tc>
                <w:tcPr>
                  <w:tcW w:w="1801" w:type="dxa"/>
                  <w:gridSpan w:val="2"/>
                  <w:tcBorders>
                    <w:tl2br w:val="nil"/>
                    <w:tr2bl w:val="nil"/>
                  </w:tcBorders>
                  <w:noWrap w:val="0"/>
                  <w:vAlign w:val="center"/>
                </w:tcPr>
                <w:p w14:paraId="59D63D14">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监测点坐标</w:t>
                  </w:r>
                  <w:r>
                    <w:rPr>
                      <w:rFonts w:hint="default" w:ascii="Times New Roman" w:hAnsi="Times New Roman" w:eastAsia="宋体"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w:t>
                  </w:r>
                  <w:r>
                    <w:rPr>
                      <w:rFonts w:hint="default" w:ascii="Times New Roman" w:hAnsi="Times New Roman" w:eastAsia="宋体" w:cs="Times New Roman"/>
                      <w:b/>
                      <w:bCs/>
                      <w:color w:val="auto"/>
                      <w:sz w:val="21"/>
                      <w:szCs w:val="21"/>
                      <w:highlight w:val="none"/>
                      <w:lang w:eastAsia="zh-CN"/>
                    </w:rPr>
                    <w:t>）</w:t>
                  </w:r>
                </w:p>
              </w:tc>
              <w:tc>
                <w:tcPr>
                  <w:tcW w:w="692" w:type="dxa"/>
                  <w:vMerge w:val="restart"/>
                  <w:tcBorders>
                    <w:tl2br w:val="nil"/>
                    <w:tr2bl w:val="nil"/>
                  </w:tcBorders>
                  <w:noWrap w:val="0"/>
                  <w:vAlign w:val="center"/>
                </w:tcPr>
                <w:p w14:paraId="565829AF">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774" w:type="dxa"/>
                  <w:vMerge w:val="restart"/>
                  <w:tcBorders>
                    <w:tl2br w:val="nil"/>
                    <w:tr2bl w:val="nil"/>
                  </w:tcBorders>
                  <w:noWrap w:val="0"/>
                  <w:vAlign w:val="center"/>
                </w:tcPr>
                <w:p w14:paraId="48D54D4B">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平均</w:t>
                  </w:r>
                </w:p>
                <w:p w14:paraId="2D6C49B9">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时间</w:t>
                  </w:r>
                </w:p>
              </w:tc>
              <w:tc>
                <w:tcPr>
                  <w:tcW w:w="1114" w:type="dxa"/>
                  <w:vMerge w:val="restart"/>
                  <w:tcBorders>
                    <w:tl2br w:val="nil"/>
                    <w:tr2bl w:val="nil"/>
                  </w:tcBorders>
                  <w:noWrap w:val="0"/>
                  <w:vAlign w:val="center"/>
                </w:tcPr>
                <w:p w14:paraId="72D371FB">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评价标准/（μg/m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w:t>
                  </w:r>
                </w:p>
              </w:tc>
              <w:tc>
                <w:tcPr>
                  <w:tcW w:w="1151" w:type="dxa"/>
                  <w:vMerge w:val="restart"/>
                  <w:tcBorders>
                    <w:tl2br w:val="nil"/>
                    <w:tr2bl w:val="nil"/>
                  </w:tcBorders>
                  <w:noWrap w:val="0"/>
                  <w:vAlign w:val="center"/>
                </w:tcPr>
                <w:p w14:paraId="6C4F51B9">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监测浓度范围/（μg/m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w:t>
                  </w:r>
                </w:p>
              </w:tc>
              <w:tc>
                <w:tcPr>
                  <w:tcW w:w="760" w:type="dxa"/>
                  <w:vMerge w:val="restart"/>
                  <w:tcBorders>
                    <w:tl2br w:val="nil"/>
                    <w:tr2bl w:val="nil"/>
                  </w:tcBorders>
                  <w:noWrap w:val="0"/>
                  <w:vAlign w:val="center"/>
                </w:tcPr>
                <w:p w14:paraId="4A17F3AA">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最大浓度占标率/%</w:t>
                  </w:r>
                </w:p>
              </w:tc>
              <w:tc>
                <w:tcPr>
                  <w:tcW w:w="636" w:type="dxa"/>
                  <w:vMerge w:val="restart"/>
                  <w:tcBorders>
                    <w:tl2br w:val="nil"/>
                    <w:tr2bl w:val="nil"/>
                  </w:tcBorders>
                  <w:noWrap w:val="0"/>
                  <w:vAlign w:val="center"/>
                </w:tcPr>
                <w:p w14:paraId="677A1439">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超标率/%</w:t>
                  </w:r>
                </w:p>
              </w:tc>
              <w:tc>
                <w:tcPr>
                  <w:tcW w:w="373" w:type="dxa"/>
                  <w:vMerge w:val="restart"/>
                  <w:tcBorders>
                    <w:tl2br w:val="nil"/>
                    <w:tr2bl w:val="nil"/>
                  </w:tcBorders>
                  <w:noWrap w:val="0"/>
                  <w:vAlign w:val="center"/>
                </w:tcPr>
                <w:p w14:paraId="01344902">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达标情况</w:t>
                  </w:r>
                </w:p>
              </w:tc>
            </w:tr>
            <w:tr w14:paraId="29E08F18">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1469" w:type="dxa"/>
                  <w:vMerge w:val="continue"/>
                  <w:tcBorders>
                    <w:tl2br w:val="nil"/>
                    <w:tr2bl w:val="nil"/>
                  </w:tcBorders>
                  <w:noWrap w:val="0"/>
                  <w:vAlign w:val="center"/>
                </w:tcPr>
                <w:p w14:paraId="55ACE356">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auto"/>
                      <w:sz w:val="21"/>
                      <w:szCs w:val="21"/>
                      <w:highlight w:val="none"/>
                    </w:rPr>
                  </w:pPr>
                </w:p>
              </w:tc>
              <w:tc>
                <w:tcPr>
                  <w:tcW w:w="937" w:type="dxa"/>
                  <w:tcBorders>
                    <w:tl2br w:val="nil"/>
                    <w:tr2bl w:val="nil"/>
                  </w:tcBorders>
                  <w:noWrap w:val="0"/>
                  <w:vAlign w:val="center"/>
                </w:tcPr>
                <w:p w14:paraId="507C6A1E">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经度/E</w:t>
                  </w:r>
                </w:p>
              </w:tc>
              <w:tc>
                <w:tcPr>
                  <w:tcW w:w="864" w:type="dxa"/>
                  <w:tcBorders>
                    <w:tl2br w:val="nil"/>
                    <w:tr2bl w:val="nil"/>
                  </w:tcBorders>
                  <w:noWrap w:val="0"/>
                  <w:vAlign w:val="center"/>
                </w:tcPr>
                <w:p w14:paraId="66E667E2">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纬度/N</w:t>
                  </w:r>
                </w:p>
              </w:tc>
              <w:tc>
                <w:tcPr>
                  <w:tcW w:w="692" w:type="dxa"/>
                  <w:vMerge w:val="continue"/>
                  <w:tcBorders>
                    <w:tl2br w:val="nil"/>
                    <w:tr2bl w:val="nil"/>
                  </w:tcBorders>
                  <w:noWrap w:val="0"/>
                  <w:vAlign w:val="center"/>
                </w:tcPr>
                <w:p w14:paraId="762DF0C0">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auto"/>
                      <w:sz w:val="21"/>
                      <w:szCs w:val="21"/>
                      <w:highlight w:val="none"/>
                    </w:rPr>
                  </w:pPr>
                </w:p>
              </w:tc>
              <w:tc>
                <w:tcPr>
                  <w:tcW w:w="774" w:type="dxa"/>
                  <w:vMerge w:val="continue"/>
                  <w:tcBorders>
                    <w:tl2br w:val="nil"/>
                    <w:tr2bl w:val="nil"/>
                  </w:tcBorders>
                  <w:noWrap w:val="0"/>
                  <w:vAlign w:val="center"/>
                </w:tcPr>
                <w:p w14:paraId="2EF0A189">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auto"/>
                      <w:sz w:val="21"/>
                      <w:szCs w:val="21"/>
                      <w:highlight w:val="none"/>
                    </w:rPr>
                  </w:pPr>
                </w:p>
              </w:tc>
              <w:tc>
                <w:tcPr>
                  <w:tcW w:w="1114" w:type="dxa"/>
                  <w:vMerge w:val="continue"/>
                  <w:tcBorders>
                    <w:tl2br w:val="nil"/>
                    <w:tr2bl w:val="nil"/>
                  </w:tcBorders>
                  <w:noWrap w:val="0"/>
                  <w:vAlign w:val="center"/>
                </w:tcPr>
                <w:p w14:paraId="4294CD53">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auto"/>
                      <w:sz w:val="21"/>
                      <w:szCs w:val="21"/>
                      <w:highlight w:val="none"/>
                    </w:rPr>
                  </w:pPr>
                </w:p>
              </w:tc>
              <w:tc>
                <w:tcPr>
                  <w:tcW w:w="1151" w:type="dxa"/>
                  <w:vMerge w:val="continue"/>
                  <w:tcBorders>
                    <w:tl2br w:val="nil"/>
                    <w:tr2bl w:val="nil"/>
                  </w:tcBorders>
                  <w:noWrap w:val="0"/>
                  <w:vAlign w:val="center"/>
                </w:tcPr>
                <w:p w14:paraId="082C60C0">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FF0000"/>
                      <w:sz w:val="21"/>
                      <w:szCs w:val="21"/>
                      <w:highlight w:val="none"/>
                    </w:rPr>
                  </w:pPr>
                </w:p>
              </w:tc>
              <w:tc>
                <w:tcPr>
                  <w:tcW w:w="760" w:type="dxa"/>
                  <w:vMerge w:val="continue"/>
                  <w:tcBorders>
                    <w:tl2br w:val="nil"/>
                    <w:tr2bl w:val="nil"/>
                  </w:tcBorders>
                  <w:noWrap w:val="0"/>
                  <w:vAlign w:val="center"/>
                </w:tcPr>
                <w:p w14:paraId="2B5E3D25">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FF0000"/>
                      <w:sz w:val="21"/>
                      <w:szCs w:val="21"/>
                      <w:highlight w:val="none"/>
                    </w:rPr>
                  </w:pPr>
                </w:p>
              </w:tc>
              <w:tc>
                <w:tcPr>
                  <w:tcW w:w="636" w:type="dxa"/>
                  <w:vMerge w:val="continue"/>
                  <w:tcBorders>
                    <w:tl2br w:val="nil"/>
                    <w:tr2bl w:val="nil"/>
                  </w:tcBorders>
                  <w:noWrap w:val="0"/>
                  <w:vAlign w:val="center"/>
                </w:tcPr>
                <w:p w14:paraId="07447011">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FF0000"/>
                      <w:sz w:val="21"/>
                      <w:szCs w:val="21"/>
                      <w:highlight w:val="none"/>
                    </w:rPr>
                  </w:pPr>
                </w:p>
              </w:tc>
              <w:tc>
                <w:tcPr>
                  <w:tcW w:w="373" w:type="dxa"/>
                  <w:vMerge w:val="continue"/>
                  <w:tcBorders>
                    <w:tl2br w:val="nil"/>
                    <w:tr2bl w:val="nil"/>
                  </w:tcBorders>
                  <w:noWrap w:val="0"/>
                  <w:vAlign w:val="center"/>
                </w:tcPr>
                <w:p w14:paraId="44C05E31">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b/>
                      <w:bCs/>
                      <w:color w:val="FF0000"/>
                      <w:sz w:val="21"/>
                      <w:szCs w:val="21"/>
                      <w:highlight w:val="none"/>
                    </w:rPr>
                  </w:pPr>
                </w:p>
              </w:tc>
            </w:tr>
            <w:tr w14:paraId="7B4F7360">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1469" w:type="dxa"/>
                  <w:tcBorders>
                    <w:tl2br w:val="nil"/>
                    <w:tr2bl w:val="nil"/>
                  </w:tcBorders>
                  <w:noWrap w:val="0"/>
                  <w:vAlign w:val="center"/>
                </w:tcPr>
                <w:p w14:paraId="0C41DE9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val="0"/>
                      <w:bCs w:val="0"/>
                      <w:color w:val="auto"/>
                      <w:sz w:val="21"/>
                      <w:szCs w:val="21"/>
                      <w:highlight w:val="none"/>
                      <w:lang w:val="en-US" w:eastAsia="zh-CN"/>
                    </w:rPr>
                    <w:t>1#</w:t>
                  </w:r>
                  <w:r>
                    <w:rPr>
                      <w:rFonts w:hint="eastAsia" w:ascii="Times New Roman" w:hAnsi="Times New Roman" w:eastAsia="宋体" w:cs="Times New Roman"/>
                      <w:color w:val="auto"/>
                      <w:sz w:val="21"/>
                      <w:szCs w:val="21"/>
                      <w:lang w:val="en-US" w:eastAsia="zh-CN"/>
                    </w:rPr>
                    <w:t>当季主导风向</w:t>
                  </w:r>
                  <w:r>
                    <w:rPr>
                      <w:rFonts w:hint="default" w:ascii="Times New Roman" w:hAnsi="Times New Roman" w:eastAsia="宋体" w:cs="Times New Roman"/>
                      <w:color w:val="auto"/>
                      <w:sz w:val="21"/>
                      <w:szCs w:val="21"/>
                      <w:lang w:val="en-US" w:eastAsia="zh-CN"/>
                    </w:rPr>
                    <w:t>下风向监测点</w:t>
                  </w:r>
                </w:p>
              </w:tc>
              <w:tc>
                <w:tcPr>
                  <w:tcW w:w="937" w:type="dxa"/>
                  <w:tcBorders>
                    <w:tl2br w:val="nil"/>
                    <w:tr2bl w:val="nil"/>
                  </w:tcBorders>
                  <w:noWrap w:val="0"/>
                  <w:vAlign w:val="center"/>
                </w:tcPr>
                <w:p w14:paraId="6806FC4B">
                  <w:pPr>
                    <w:widowControl/>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lang w:val="en-US" w:eastAsia="zh-CN"/>
                    </w:rPr>
                    <w:t>134.04660881</w:t>
                  </w:r>
                </w:p>
              </w:tc>
              <w:tc>
                <w:tcPr>
                  <w:tcW w:w="864" w:type="dxa"/>
                  <w:tcBorders>
                    <w:tl2br w:val="nil"/>
                    <w:tr2bl w:val="nil"/>
                  </w:tcBorders>
                  <w:noWrap w:val="0"/>
                  <w:vAlign w:val="center"/>
                </w:tcPr>
                <w:p w14:paraId="2F7D68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lang w:val="en-US" w:eastAsia="zh-CN"/>
                    </w:rPr>
                    <w:t>46.96605747</w:t>
                  </w:r>
                </w:p>
              </w:tc>
              <w:tc>
                <w:tcPr>
                  <w:tcW w:w="692" w:type="dxa"/>
                  <w:tcBorders>
                    <w:tl2br w:val="nil"/>
                    <w:tr2bl w:val="nil"/>
                  </w:tcBorders>
                  <w:noWrap w:val="0"/>
                  <w:vAlign w:val="center"/>
                </w:tcPr>
                <w:p w14:paraId="1349FA1B">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TSP</w:t>
                  </w:r>
                </w:p>
              </w:tc>
              <w:tc>
                <w:tcPr>
                  <w:tcW w:w="774" w:type="dxa"/>
                  <w:tcBorders>
                    <w:tl2br w:val="nil"/>
                    <w:tr2bl w:val="nil"/>
                  </w:tcBorders>
                  <w:noWrap w:val="0"/>
                  <w:vAlign w:val="center"/>
                </w:tcPr>
                <w:p w14:paraId="06C7DC3D">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24小时</w:t>
                  </w:r>
                </w:p>
              </w:tc>
              <w:tc>
                <w:tcPr>
                  <w:tcW w:w="1114" w:type="dxa"/>
                  <w:tcBorders>
                    <w:tl2br w:val="nil"/>
                    <w:tr2bl w:val="nil"/>
                  </w:tcBorders>
                  <w:noWrap w:val="0"/>
                  <w:vAlign w:val="center"/>
                </w:tcPr>
                <w:p w14:paraId="2DD46BB5">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300</w:t>
                  </w:r>
                </w:p>
              </w:tc>
              <w:tc>
                <w:tcPr>
                  <w:tcW w:w="1151" w:type="dxa"/>
                  <w:tcBorders>
                    <w:tl2br w:val="nil"/>
                    <w:tr2bl w:val="nil"/>
                  </w:tcBorders>
                  <w:noWrap w:val="0"/>
                  <w:vAlign w:val="center"/>
                </w:tcPr>
                <w:p w14:paraId="62D49976">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117~123</w:t>
                  </w:r>
                </w:p>
              </w:tc>
              <w:tc>
                <w:tcPr>
                  <w:tcW w:w="760" w:type="dxa"/>
                  <w:tcBorders>
                    <w:tl2br w:val="nil"/>
                    <w:tr2bl w:val="nil"/>
                  </w:tcBorders>
                  <w:noWrap w:val="0"/>
                  <w:vAlign w:val="center"/>
                </w:tcPr>
                <w:p w14:paraId="18F8C772">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41</w:t>
                  </w:r>
                </w:p>
              </w:tc>
              <w:tc>
                <w:tcPr>
                  <w:tcW w:w="636" w:type="dxa"/>
                  <w:tcBorders>
                    <w:tl2br w:val="nil"/>
                    <w:tr2bl w:val="nil"/>
                  </w:tcBorders>
                  <w:noWrap w:val="0"/>
                  <w:vAlign w:val="center"/>
                </w:tcPr>
                <w:p w14:paraId="202B689F">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373" w:type="dxa"/>
                  <w:tcBorders>
                    <w:tl2br w:val="nil"/>
                    <w:tr2bl w:val="nil"/>
                  </w:tcBorders>
                  <w:noWrap w:val="0"/>
                  <w:vAlign w:val="center"/>
                </w:tcPr>
                <w:p w14:paraId="06BBEF4E">
                  <w:pPr>
                    <w:keepNext w:val="0"/>
                    <w:keepLines w:val="0"/>
                    <w:pageBreakBefore w:val="0"/>
                    <w:widowControl w:val="0"/>
                    <w:kinsoku/>
                    <w:wordWrap/>
                    <w:overflowPunct/>
                    <w:topLinePunct w:val="0"/>
                    <w:autoSpaceDE/>
                    <w:autoSpaceDN/>
                    <w:bidi w:val="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达标</w:t>
                  </w:r>
                </w:p>
              </w:tc>
            </w:tr>
          </w:tbl>
          <w:p w14:paraId="0CB84B5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leftChars="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由上表可知，项目</w:t>
            </w:r>
            <w:r>
              <w:rPr>
                <w:color w:val="auto"/>
                <w:sz w:val="24"/>
                <w:szCs w:val="24"/>
              </w:rPr>
              <w:t>环境空气质量现状监测点处</w:t>
            </w:r>
            <w:r>
              <w:rPr>
                <w:rFonts w:hint="eastAsia" w:cs="Times New Roman"/>
                <w:color w:val="auto"/>
                <w:sz w:val="24"/>
                <w:szCs w:val="24"/>
                <w:highlight w:val="none"/>
                <w:lang w:val="en-US" w:eastAsia="zh-CN"/>
              </w:rPr>
              <w:t>总悬浮</w:t>
            </w:r>
            <w:r>
              <w:rPr>
                <w:rFonts w:hint="default" w:ascii="Times New Roman" w:hAnsi="Times New Roman" w:eastAsia="宋体" w:cs="Times New Roman"/>
                <w:color w:val="auto"/>
                <w:sz w:val="24"/>
                <w:szCs w:val="24"/>
                <w:highlight w:val="none"/>
                <w:lang w:val="en-US" w:eastAsia="zh-CN"/>
              </w:rPr>
              <w:t>颗粒物（TSP）24小时平均浓度</w:t>
            </w:r>
            <w:r>
              <w:rPr>
                <w:color w:val="auto"/>
                <w:sz w:val="24"/>
                <w:szCs w:val="24"/>
              </w:rPr>
              <w:t>满足</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环境</w:t>
            </w:r>
            <w:r>
              <w:rPr>
                <w:rFonts w:hint="default" w:ascii="Times New Roman" w:hAnsi="Times New Roman" w:eastAsia="宋体" w:cs="Times New Roman"/>
                <w:color w:val="auto"/>
                <w:sz w:val="24"/>
                <w:szCs w:val="24"/>
                <w:highlight w:val="none"/>
              </w:rPr>
              <w:t>空气质量标准》（GB3095-</w:t>
            </w:r>
            <w:r>
              <w:rPr>
                <w:rFonts w:hint="eastAsia" w:cs="Times New Roman"/>
                <w:color w:val="auto"/>
                <w:sz w:val="24"/>
                <w:szCs w:val="24"/>
                <w:highlight w:val="none"/>
                <w:lang w:val="en-US" w:eastAsia="zh-CN"/>
              </w:rPr>
              <w:t>2026</w:t>
            </w:r>
            <w:r>
              <w:rPr>
                <w:rFonts w:hint="default" w:ascii="Times New Roman" w:hAnsi="Times New Roman" w:eastAsia="宋体" w:cs="Times New Roman"/>
                <w:color w:val="auto"/>
                <w:sz w:val="24"/>
                <w:szCs w:val="24"/>
                <w:highlight w:val="none"/>
              </w:rPr>
              <w:t>）</w:t>
            </w:r>
            <w:r>
              <w:rPr>
                <w:rFonts w:hint="eastAsia" w:cs="Times New Roman"/>
                <w:b w:val="0"/>
                <w:bCs w:val="0"/>
                <w:color w:val="auto"/>
                <w:kern w:val="0"/>
                <w:sz w:val="24"/>
                <w:szCs w:val="24"/>
                <w:highlight w:val="none"/>
                <w:lang w:val="en-US" w:eastAsia="zh-CN" w:bidi="ar"/>
              </w:rPr>
              <w:t>中表2浓度限值</w:t>
            </w:r>
            <w:r>
              <w:rPr>
                <w:rFonts w:hint="default" w:ascii="Times New Roman" w:hAnsi="Times New Roman" w:eastAsia="宋体" w:cs="Times New Roman"/>
                <w:color w:val="auto"/>
                <w:sz w:val="24"/>
                <w:szCs w:val="24"/>
                <w:highlight w:val="none"/>
              </w:rPr>
              <w:t>二级标准</w:t>
            </w:r>
            <w:r>
              <w:rPr>
                <w:rFonts w:hint="default" w:ascii="Times New Roman" w:hAnsi="Times New Roman" w:eastAsia="宋体" w:cs="Times New Roman"/>
                <w:color w:val="auto"/>
                <w:sz w:val="24"/>
                <w:szCs w:val="24"/>
                <w:highlight w:val="none"/>
                <w:lang w:val="en-US" w:eastAsia="zh-CN"/>
              </w:rPr>
              <w:t>。</w:t>
            </w:r>
          </w:p>
          <w:p w14:paraId="5D3F8385">
            <w:pPr>
              <w:keepNext w:val="0"/>
              <w:keepLines w:val="0"/>
              <w:pageBreakBefore w:val="0"/>
              <w:widowControl/>
              <w:kinsoku/>
              <w:wordWrap/>
              <w:overflowPunct/>
              <w:topLinePunct w:val="0"/>
              <w:autoSpaceDE/>
              <w:autoSpaceDN/>
              <w:bidi w:val="0"/>
              <w:adjustRightInd/>
              <w:snapToGrid/>
              <w:spacing w:line="360" w:lineRule="auto"/>
              <w:ind w:left="0" w:leftChars="0" w:firstLine="482" w:firstLineChars="200"/>
              <w:jc w:val="lef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二、</w:t>
            </w:r>
            <w:r>
              <w:rPr>
                <w:rFonts w:hint="default" w:ascii="Times New Roman" w:hAnsi="Times New Roman" w:eastAsia="宋体" w:cs="Times New Roman"/>
                <w:b/>
                <w:bCs/>
                <w:color w:val="auto"/>
                <w:sz w:val="24"/>
                <w:szCs w:val="24"/>
                <w:highlight w:val="none"/>
                <w:lang w:val="en-US" w:eastAsia="zh-CN"/>
              </w:rPr>
              <w:t>地表水环境</w:t>
            </w:r>
          </w:p>
          <w:p w14:paraId="5C4CF924">
            <w:pPr>
              <w:pStyle w:val="56"/>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t>项目最近地表水体为东侧4</w:t>
            </w:r>
            <w:r>
              <w:rPr>
                <w:rFonts w:hint="eastAsia" w:ascii="Times New Roman" w:hAnsi="Times New Roman" w:cs="Times New Roman"/>
                <w:b w:val="0"/>
                <w:bCs w:val="0"/>
                <w:color w:val="auto"/>
                <w:sz w:val="24"/>
                <w:szCs w:val="24"/>
                <w:highlight w:val="none"/>
                <w:vertAlign w:val="baseline"/>
                <w:lang w:val="en-US" w:eastAsia="zh-CN"/>
              </w:rPr>
              <w:t>1</w:t>
            </w:r>
            <w:r>
              <w:rPr>
                <w:rFonts w:hint="default" w:ascii="Times New Roman" w:hAnsi="Times New Roman" w:cs="Times New Roman"/>
                <w:b w:val="0"/>
                <w:bCs w:val="0"/>
                <w:color w:val="auto"/>
                <w:sz w:val="24"/>
                <w:szCs w:val="24"/>
                <w:highlight w:val="none"/>
                <w:vertAlign w:val="baseline"/>
                <w:lang w:val="en-US" w:eastAsia="zh-CN"/>
              </w:rPr>
              <w:t>5m处</w:t>
            </w:r>
            <w:r>
              <w:rPr>
                <w:rFonts w:hint="default" w:ascii="Times New Roman" w:hAnsi="Times New Roman" w:eastAsia="宋体" w:cs="Times New Roman"/>
                <w:color w:val="auto"/>
                <w:sz w:val="24"/>
                <w:szCs w:val="24"/>
                <w:highlight w:val="none"/>
                <w:lang w:val="zh-CN"/>
              </w:rPr>
              <w:t>乌苏里江</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lang w:eastAsia="zh-CN"/>
              </w:rPr>
              <w:t>根据《202</w:t>
            </w:r>
            <w:r>
              <w:rPr>
                <w:rFonts w:hint="default"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lang w:eastAsia="zh-CN"/>
              </w:rPr>
              <w:t>年黑龙江省生态环境质量状况》中相关数据，</w:t>
            </w:r>
            <w:r>
              <w:rPr>
                <w:rFonts w:hint="default" w:ascii="Times New Roman" w:hAnsi="Times New Roman" w:cs="Times New Roman"/>
                <w:color w:val="auto"/>
                <w:sz w:val="24"/>
                <w:szCs w:val="24"/>
                <w:lang w:val="en-US" w:eastAsia="zh-CN"/>
              </w:rPr>
              <w:t>2025年，乌苏里江水系的干流及5条支流共16个断面，水质状况为良好，其中Ⅲ类水质占87.5%，Ⅳ类水质占12.5%，无劣Ⅴ类水质断面，Ⅰ~Ⅲ类水质比例为87.5%。与上年同期相比，Ⅰ~Ⅲ类水质比例上升6.3个百分点，均无劣Ⅴ类水质断面。</w:t>
            </w:r>
            <w:r>
              <w:rPr>
                <w:rFonts w:hint="default" w:ascii="Times New Roman" w:hAnsi="Times New Roman" w:cs="Times New Roman"/>
                <w:color w:val="auto"/>
                <w:sz w:val="24"/>
                <w:szCs w:val="24"/>
              </w:rPr>
              <w:t>根据《202</w:t>
            </w:r>
            <w:r>
              <w:rPr>
                <w:rFonts w:hint="default"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rPr>
              <w:t>年黑龙江省生态环境质量状况》</w:t>
            </w:r>
            <w:r>
              <w:rPr>
                <w:rFonts w:hint="default" w:ascii="Times New Roman" w:hAnsi="Times New Roman" w:cs="Times New Roman"/>
                <w:color w:val="auto"/>
                <w:sz w:val="24"/>
                <w:szCs w:val="24"/>
                <w:lang w:eastAsia="zh-CN"/>
              </w:rPr>
              <w:t>中</w:t>
            </w: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lang w:eastAsia="zh-CN"/>
              </w:rPr>
              <w:t>全省</w:t>
            </w:r>
            <w:r>
              <w:rPr>
                <w:rFonts w:hint="default" w:ascii="Times New Roman" w:hAnsi="Times New Roman" w:cs="Times New Roman"/>
                <w:color w:val="auto"/>
                <w:sz w:val="24"/>
                <w:szCs w:val="24"/>
                <w:lang w:val="en-US" w:eastAsia="zh-CN"/>
              </w:rPr>
              <w:t>地表水水质状况示意图</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202</w:t>
            </w:r>
            <w:r>
              <w:rPr>
                <w:rFonts w:hint="default"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rPr>
              <w:t>年</w:t>
            </w:r>
            <w:r>
              <w:rPr>
                <w:rFonts w:hint="default" w:ascii="Times New Roman" w:hAnsi="Times New Roman" w:eastAsia="宋体" w:cs="Times New Roman"/>
                <w:color w:val="auto"/>
                <w:sz w:val="24"/>
                <w:szCs w:val="24"/>
                <w:highlight w:val="none"/>
                <w:lang w:val="zh-CN"/>
              </w:rPr>
              <w:t>乌苏里江</w:t>
            </w:r>
            <w:r>
              <w:rPr>
                <w:rFonts w:hint="default" w:ascii="Times New Roman" w:hAnsi="Times New Roman" w:cs="Times New Roman"/>
                <w:color w:val="auto"/>
                <w:sz w:val="24"/>
                <w:szCs w:val="24"/>
                <w:highlight w:val="none"/>
              </w:rPr>
              <w:t>水质满足</w:t>
            </w:r>
            <w:r>
              <w:rPr>
                <w:rFonts w:hint="default" w:ascii="Times New Roman" w:hAnsi="Times New Roman" w:eastAsia="宋体" w:cs="Times New Roman"/>
                <w:color w:val="auto"/>
                <w:sz w:val="24"/>
                <w:highlight w:val="none"/>
                <w:lang w:val="zh-CN"/>
              </w:rPr>
              <w:t>《地表水环境质量标准》（GB3838-2002）Ⅲ类标准</w:t>
            </w:r>
            <w:r>
              <w:rPr>
                <w:rFonts w:hint="default" w:ascii="Times New Roman" w:hAnsi="Times New Roman" w:cs="Times New Roman"/>
                <w:color w:val="auto"/>
                <w:sz w:val="24"/>
                <w:szCs w:val="24"/>
                <w:highlight w:val="none"/>
              </w:rPr>
              <w:t>要求。</w:t>
            </w:r>
          </w:p>
          <w:tbl>
            <w:tblPr>
              <w:tblStyle w:val="21"/>
              <w:tblW w:w="5000" w:type="pct"/>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69"/>
            </w:tblGrid>
            <w:tr w14:paraId="0C55A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9" w:type="dxa"/>
                  <w:tcBorders>
                    <w:tl2br w:val="nil"/>
                    <w:tr2bl w:val="nil"/>
                  </w:tcBorders>
                  <w:vAlign w:val="top"/>
                </w:tcPr>
                <w:p w14:paraId="2440446C">
                  <w:pPr>
                    <w:pStyle w:val="56"/>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highlight w:val="yellow"/>
                      <w:vertAlign w:val="baseline"/>
                      <w:lang w:val="zh-CN"/>
                    </w:rPr>
                  </w:pPr>
                  <w:r>
                    <w:rPr>
                      <w:color w:val="auto"/>
                    </w:rPr>
                    <w:drawing>
                      <wp:inline distT="0" distB="0" distL="114300" distR="114300">
                        <wp:extent cx="4625975" cy="4625975"/>
                        <wp:effectExtent l="0" t="0" r="9525" b="9525"/>
                        <wp:docPr id="105"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61"/>
                                <pic:cNvPicPr>
                                  <a:picLocks noChangeAspect="1"/>
                                </pic:cNvPicPr>
                              </pic:nvPicPr>
                              <pic:blipFill>
                                <a:blip r:embed="rId19"/>
                                <a:stretch>
                                  <a:fillRect/>
                                </a:stretch>
                              </pic:blipFill>
                              <pic:spPr>
                                <a:xfrm>
                                  <a:off x="0" y="0"/>
                                  <a:ext cx="4625975" cy="4625975"/>
                                </a:xfrm>
                                <a:prstGeom prst="rect">
                                  <a:avLst/>
                                </a:prstGeom>
                                <a:noFill/>
                                <a:ln>
                                  <a:noFill/>
                                </a:ln>
                              </pic:spPr>
                            </pic:pic>
                          </a:graphicData>
                        </a:graphic>
                      </wp:inline>
                    </w:drawing>
                  </w:r>
                </w:p>
              </w:tc>
            </w:tr>
            <w:tr w14:paraId="458B8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9" w:type="dxa"/>
                  <w:tcBorders>
                    <w:tl2br w:val="nil"/>
                    <w:tr2bl w:val="nil"/>
                  </w:tcBorders>
                  <w:vAlign w:val="top"/>
                </w:tcPr>
                <w:p w14:paraId="3B2E05A3">
                  <w:pPr>
                    <w:pStyle w:val="56"/>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highlight w:val="yellow"/>
                      <w:vertAlign w:val="baseline"/>
                      <w:lang w:val="en-US"/>
                    </w:rPr>
                  </w:pPr>
                  <w:r>
                    <w:rPr>
                      <w:rFonts w:hint="default" w:ascii="Times New Roman" w:hAnsi="Times New Roman" w:eastAsia="宋体" w:cs="Times New Roman"/>
                      <w:b/>
                      <w:bCs/>
                      <w:color w:val="auto"/>
                      <w:sz w:val="21"/>
                      <w:szCs w:val="21"/>
                      <w:highlight w:val="none"/>
                      <w:lang w:val="en-US" w:eastAsia="zh-CN"/>
                    </w:rPr>
                    <w:t xml:space="preserve">图3-2  </w:t>
                  </w:r>
                  <w:r>
                    <w:rPr>
                      <w:rFonts w:hint="default" w:ascii="Times New Roman" w:hAnsi="Times New Roman" w:cs="Times New Roman"/>
                      <w:b/>
                      <w:bCs/>
                      <w:color w:val="auto"/>
                      <w:sz w:val="21"/>
                      <w:szCs w:val="21"/>
                      <w:highlight w:val="none"/>
                      <w:lang w:val="en-US" w:eastAsia="zh-CN"/>
                    </w:rPr>
                    <w:t>2025年全省地表水水质状况示意图</w:t>
                  </w:r>
                </w:p>
              </w:tc>
            </w:tr>
          </w:tbl>
          <w:p w14:paraId="2AB54626">
            <w:pPr>
              <w:keepNext w:val="0"/>
              <w:keepLines w:val="0"/>
              <w:pageBreakBefore w:val="0"/>
              <w:widowControl/>
              <w:kinsoku/>
              <w:wordWrap/>
              <w:overflowPunct/>
              <w:topLinePunct w:val="0"/>
              <w:autoSpaceDE/>
              <w:autoSpaceDN/>
              <w:bidi w:val="0"/>
              <w:adjustRightInd/>
              <w:snapToGrid/>
              <w:spacing w:before="157" w:beforeLines="50" w:line="360" w:lineRule="auto"/>
              <w:ind w:left="0" w:leftChars="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三、声环境</w:t>
            </w:r>
          </w:p>
          <w:p w14:paraId="43B90639">
            <w:pPr>
              <w:pStyle w:val="16"/>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（一）监测布点</w:t>
            </w:r>
          </w:p>
          <w:p w14:paraId="5B8950F1">
            <w:pPr>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项目厂区周边敏感点为1#东侧居民区</w:t>
            </w:r>
            <w:r>
              <w:rPr>
                <w:rFonts w:hint="eastAsia" w:cs="Times New Roman"/>
                <w:color w:val="auto"/>
                <w:sz w:val="24"/>
                <w:szCs w:val="24"/>
                <w:highlight w:val="none"/>
                <w:lang w:val="en-US" w:eastAsia="zh-CN"/>
              </w:rPr>
              <w:t>，监测布点情况如下图所示。</w:t>
            </w:r>
          </w:p>
          <w:p w14:paraId="4BFD06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4"/>
                <w:highlight w:val="none"/>
                <w:lang w:val="en-US" w:eastAsia="zh-CN"/>
              </w:rPr>
            </w:pPr>
            <w:r>
              <w:rPr>
                <w:rFonts w:hint="default" w:ascii="Times New Roman" w:hAnsi="Times New Roman" w:eastAsia="宋体" w:cs="Times New Roman"/>
                <w:b/>
                <w:bCs/>
                <w:color w:val="auto"/>
                <w:sz w:val="21"/>
                <w:szCs w:val="24"/>
                <w:highlight w:val="none"/>
                <w:lang w:val="en-US" w:eastAsia="zh-CN"/>
              </w:rPr>
              <w:t>表3-</w:t>
            </w:r>
            <w:r>
              <w:rPr>
                <w:rFonts w:hint="eastAsia" w:ascii="Times New Roman" w:hAnsi="Times New Roman" w:cs="Times New Roman"/>
                <w:b/>
                <w:bCs/>
                <w:color w:val="auto"/>
                <w:sz w:val="21"/>
                <w:szCs w:val="24"/>
                <w:highlight w:val="none"/>
                <w:lang w:val="en-US" w:eastAsia="zh-CN"/>
              </w:rPr>
              <w:t>4</w:t>
            </w:r>
            <w:r>
              <w:rPr>
                <w:rFonts w:hint="default" w:ascii="Times New Roman" w:hAnsi="Times New Roman" w:eastAsia="宋体" w:cs="Times New Roman"/>
                <w:b/>
                <w:bCs/>
                <w:color w:val="auto"/>
                <w:sz w:val="21"/>
                <w:szCs w:val="24"/>
                <w:highlight w:val="none"/>
                <w:lang w:val="en-US" w:eastAsia="zh-CN"/>
              </w:rPr>
              <w:t xml:space="preserve"> </w:t>
            </w:r>
            <w:r>
              <w:rPr>
                <w:rFonts w:hint="eastAsia" w:cs="Times New Roman"/>
                <w:b/>
                <w:bCs/>
                <w:color w:val="auto"/>
                <w:sz w:val="21"/>
                <w:szCs w:val="24"/>
                <w:highlight w:val="none"/>
                <w:lang w:val="en-US" w:eastAsia="zh-CN"/>
              </w:rPr>
              <w:t xml:space="preserve"> </w:t>
            </w:r>
            <w:r>
              <w:rPr>
                <w:rFonts w:hint="eastAsia" w:ascii="Times New Roman" w:hAnsi="Times New Roman" w:cs="Times New Roman"/>
                <w:b/>
                <w:bCs/>
                <w:color w:val="auto"/>
                <w:sz w:val="21"/>
                <w:szCs w:val="24"/>
                <w:highlight w:val="none"/>
                <w:lang w:val="en-US" w:eastAsia="zh-CN"/>
              </w:rPr>
              <w:t>声</w:t>
            </w:r>
            <w:r>
              <w:rPr>
                <w:rFonts w:hint="default" w:ascii="Times New Roman" w:hAnsi="Times New Roman" w:eastAsia="宋体" w:cs="Times New Roman"/>
                <w:b/>
                <w:bCs/>
                <w:color w:val="auto"/>
                <w:sz w:val="21"/>
                <w:szCs w:val="24"/>
                <w:highlight w:val="none"/>
                <w:lang w:val="en-US" w:eastAsia="zh-CN"/>
              </w:rPr>
              <w:t>环境质量现状监测点位基本信息</w:t>
            </w:r>
          </w:p>
          <w:tbl>
            <w:tblPr>
              <w:tblStyle w:val="20"/>
              <w:tblW w:w="8769" w:type="dxa"/>
              <w:tblInd w:w="17" w:type="dxa"/>
              <w:tblBorders>
                <w:top w:val="single" w:color="auto" w:sz="8" w:space="0"/>
                <w:left w:val="none" w:color="auto" w:sz="0" w:space="0"/>
                <w:bottom w:val="single" w:color="auto" w:sz="8"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051"/>
              <w:gridCol w:w="1183"/>
              <w:gridCol w:w="1209"/>
              <w:gridCol w:w="1518"/>
              <w:gridCol w:w="1437"/>
              <w:gridCol w:w="1371"/>
            </w:tblGrid>
            <w:tr w14:paraId="14595701">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2051" w:type="dxa"/>
                  <w:vMerge w:val="restart"/>
                  <w:tcBorders>
                    <w:tl2br w:val="nil"/>
                    <w:tr2bl w:val="nil"/>
                  </w:tcBorders>
                  <w:noWrap w:val="0"/>
                  <w:vAlign w:val="center"/>
                </w:tcPr>
                <w:p w14:paraId="76FCD90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监测点名称</w:t>
                  </w:r>
                </w:p>
              </w:tc>
              <w:tc>
                <w:tcPr>
                  <w:tcW w:w="2392" w:type="dxa"/>
                  <w:gridSpan w:val="2"/>
                  <w:tcBorders>
                    <w:tl2br w:val="nil"/>
                    <w:tr2bl w:val="nil"/>
                  </w:tcBorders>
                  <w:noWrap w:val="0"/>
                  <w:vAlign w:val="center"/>
                </w:tcPr>
                <w:p w14:paraId="03EBEE1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rPr>
                    <w:t>监测点坐标</w:t>
                  </w:r>
                  <w:r>
                    <w:rPr>
                      <w:rFonts w:hint="default" w:ascii="Times New Roman" w:hAnsi="Times New Roman" w:eastAsia="宋体"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w:t>
                  </w:r>
                  <w:r>
                    <w:rPr>
                      <w:rFonts w:hint="default" w:ascii="Times New Roman" w:hAnsi="Times New Roman" w:eastAsia="宋体" w:cs="Times New Roman"/>
                      <w:b/>
                      <w:bCs/>
                      <w:color w:val="auto"/>
                      <w:sz w:val="21"/>
                      <w:szCs w:val="21"/>
                      <w:highlight w:val="none"/>
                      <w:lang w:eastAsia="zh-CN"/>
                    </w:rPr>
                    <w:t>）</w:t>
                  </w:r>
                </w:p>
              </w:tc>
              <w:tc>
                <w:tcPr>
                  <w:tcW w:w="1518" w:type="dxa"/>
                  <w:vMerge w:val="restart"/>
                  <w:tcBorders>
                    <w:tl2br w:val="nil"/>
                    <w:tr2bl w:val="nil"/>
                  </w:tcBorders>
                  <w:noWrap w:val="0"/>
                  <w:vAlign w:val="center"/>
                </w:tcPr>
                <w:p w14:paraId="40982D4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监测因子</w:t>
                  </w:r>
                </w:p>
              </w:tc>
              <w:tc>
                <w:tcPr>
                  <w:tcW w:w="1437" w:type="dxa"/>
                  <w:vMerge w:val="restart"/>
                  <w:tcBorders>
                    <w:tl2br w:val="nil"/>
                    <w:tr2bl w:val="nil"/>
                  </w:tcBorders>
                  <w:noWrap w:val="0"/>
                  <w:vAlign w:val="center"/>
                </w:tcPr>
                <w:p w14:paraId="0E6A35E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相对</w:t>
                  </w:r>
                  <w:r>
                    <w:rPr>
                      <w:rFonts w:hint="eastAsia" w:cs="Times New Roman"/>
                      <w:b/>
                      <w:bCs/>
                      <w:color w:val="auto"/>
                      <w:sz w:val="21"/>
                      <w:szCs w:val="21"/>
                      <w:highlight w:val="none"/>
                      <w:lang w:val="en-US" w:eastAsia="zh-CN"/>
                    </w:rPr>
                    <w:t>本项目</w:t>
                  </w:r>
                  <w:r>
                    <w:rPr>
                      <w:rFonts w:hint="default" w:ascii="Times New Roman" w:hAnsi="Times New Roman" w:eastAsia="宋体" w:cs="Times New Roman"/>
                      <w:b/>
                      <w:bCs/>
                      <w:color w:val="auto"/>
                      <w:sz w:val="21"/>
                      <w:szCs w:val="21"/>
                      <w:highlight w:val="none"/>
                    </w:rPr>
                    <w:t>厂址方位</w:t>
                  </w:r>
                </w:p>
              </w:tc>
              <w:tc>
                <w:tcPr>
                  <w:tcW w:w="1371" w:type="dxa"/>
                  <w:vMerge w:val="restart"/>
                  <w:tcBorders>
                    <w:tl2br w:val="nil"/>
                    <w:tr2bl w:val="nil"/>
                  </w:tcBorders>
                  <w:noWrap w:val="0"/>
                  <w:vAlign w:val="center"/>
                </w:tcPr>
                <w:p w14:paraId="07E35EC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相对</w:t>
                  </w:r>
                  <w:r>
                    <w:rPr>
                      <w:rFonts w:hint="eastAsia" w:cs="Times New Roman"/>
                      <w:b/>
                      <w:bCs/>
                      <w:color w:val="auto"/>
                      <w:sz w:val="21"/>
                      <w:szCs w:val="21"/>
                      <w:highlight w:val="none"/>
                      <w:lang w:val="en-US" w:eastAsia="zh-CN"/>
                    </w:rPr>
                    <w:t>本项目</w:t>
                  </w:r>
                  <w:r>
                    <w:rPr>
                      <w:rFonts w:hint="default" w:ascii="Times New Roman" w:hAnsi="Times New Roman" w:eastAsia="宋体" w:cs="Times New Roman"/>
                      <w:b/>
                      <w:bCs/>
                      <w:color w:val="auto"/>
                      <w:sz w:val="21"/>
                      <w:szCs w:val="21"/>
                      <w:highlight w:val="none"/>
                    </w:rPr>
                    <w:t>厂界距离/m</w:t>
                  </w:r>
                </w:p>
              </w:tc>
            </w:tr>
            <w:tr w14:paraId="61D9CD52">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2051" w:type="dxa"/>
                  <w:vMerge w:val="continue"/>
                  <w:tcBorders>
                    <w:tl2br w:val="nil"/>
                    <w:tr2bl w:val="nil"/>
                  </w:tcBorders>
                  <w:noWrap w:val="0"/>
                  <w:vAlign w:val="center"/>
                </w:tcPr>
                <w:p w14:paraId="256F5B1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rPr>
                  </w:pPr>
                </w:p>
              </w:tc>
              <w:tc>
                <w:tcPr>
                  <w:tcW w:w="1183" w:type="dxa"/>
                  <w:tcBorders>
                    <w:tl2br w:val="nil"/>
                    <w:tr2bl w:val="nil"/>
                  </w:tcBorders>
                  <w:noWrap w:val="0"/>
                  <w:vAlign w:val="center"/>
                </w:tcPr>
                <w:p w14:paraId="42713DE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经度/E</w:t>
                  </w:r>
                </w:p>
              </w:tc>
              <w:tc>
                <w:tcPr>
                  <w:tcW w:w="1209" w:type="dxa"/>
                  <w:tcBorders>
                    <w:tl2br w:val="nil"/>
                    <w:tr2bl w:val="nil"/>
                  </w:tcBorders>
                  <w:noWrap w:val="0"/>
                  <w:vAlign w:val="center"/>
                </w:tcPr>
                <w:p w14:paraId="57A1805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纬度/N</w:t>
                  </w:r>
                </w:p>
              </w:tc>
              <w:tc>
                <w:tcPr>
                  <w:tcW w:w="1518" w:type="dxa"/>
                  <w:vMerge w:val="continue"/>
                  <w:tcBorders>
                    <w:tl2br w:val="nil"/>
                    <w:tr2bl w:val="nil"/>
                  </w:tcBorders>
                  <w:noWrap w:val="0"/>
                  <w:vAlign w:val="center"/>
                </w:tcPr>
                <w:p w14:paraId="60AAE6B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rPr>
                  </w:pPr>
                </w:p>
              </w:tc>
              <w:tc>
                <w:tcPr>
                  <w:tcW w:w="1437" w:type="dxa"/>
                  <w:vMerge w:val="continue"/>
                  <w:tcBorders>
                    <w:tl2br w:val="nil"/>
                    <w:tr2bl w:val="nil"/>
                  </w:tcBorders>
                  <w:noWrap w:val="0"/>
                  <w:vAlign w:val="center"/>
                </w:tcPr>
                <w:p w14:paraId="261A3AF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rPr>
                  </w:pPr>
                </w:p>
              </w:tc>
              <w:tc>
                <w:tcPr>
                  <w:tcW w:w="1371" w:type="dxa"/>
                  <w:vMerge w:val="continue"/>
                  <w:tcBorders>
                    <w:tl2br w:val="nil"/>
                    <w:tr2bl w:val="nil"/>
                  </w:tcBorders>
                  <w:noWrap w:val="0"/>
                  <w:vAlign w:val="center"/>
                </w:tcPr>
                <w:p w14:paraId="19D54D7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rPr>
                  </w:pPr>
                </w:p>
              </w:tc>
            </w:tr>
            <w:tr w14:paraId="64BD0D5A">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2051" w:type="dxa"/>
                  <w:tcBorders>
                    <w:tl2br w:val="nil"/>
                    <w:tr2bl w:val="nil"/>
                  </w:tcBorders>
                  <w:noWrap w:val="0"/>
                  <w:vAlign w:val="center"/>
                </w:tcPr>
                <w:p w14:paraId="6CF81B8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w:t>
                  </w:r>
                  <w:r>
                    <w:rPr>
                      <w:rFonts w:hint="eastAsia" w:cs="Times New Roman"/>
                      <w:color w:val="auto"/>
                      <w:kern w:val="2"/>
                      <w:sz w:val="21"/>
                      <w:szCs w:val="21"/>
                      <w:highlight w:val="none"/>
                      <w:lang w:val="en-US" w:eastAsia="zh-CN" w:bidi="ar-SA"/>
                    </w:rPr>
                    <w:t>东侧居民区</w:t>
                  </w:r>
                </w:p>
              </w:tc>
              <w:tc>
                <w:tcPr>
                  <w:tcW w:w="1183" w:type="dxa"/>
                  <w:tcBorders>
                    <w:tl2br w:val="nil"/>
                    <w:tr2bl w:val="nil"/>
                  </w:tcBorders>
                  <w:noWrap w:val="0"/>
                  <w:vAlign w:val="center"/>
                </w:tcPr>
                <w:p w14:paraId="1DED063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134.04720828</w:t>
                  </w:r>
                </w:p>
              </w:tc>
              <w:tc>
                <w:tcPr>
                  <w:tcW w:w="1209" w:type="dxa"/>
                  <w:tcBorders>
                    <w:tl2br w:val="nil"/>
                    <w:tr2bl w:val="nil"/>
                  </w:tcBorders>
                  <w:noWrap w:val="0"/>
                  <w:vAlign w:val="center"/>
                </w:tcPr>
                <w:p w14:paraId="0453966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46.96554770</w:t>
                  </w:r>
                </w:p>
              </w:tc>
              <w:tc>
                <w:tcPr>
                  <w:tcW w:w="1518" w:type="dxa"/>
                  <w:tcBorders>
                    <w:tl2br w:val="nil"/>
                    <w:tr2bl w:val="nil"/>
                  </w:tcBorders>
                  <w:noWrap w:val="0"/>
                  <w:vAlign w:val="center"/>
                </w:tcPr>
                <w:p w14:paraId="3DF06E6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lang w:val="en-US" w:eastAsia="zh-CN"/>
                    </w:rPr>
                  </w:pPr>
                  <w:r>
                    <w:rPr>
                      <w:rFonts w:hint="eastAsia"/>
                      <w:szCs w:val="21"/>
                    </w:rPr>
                    <w:t>昼</w:t>
                  </w:r>
                  <w:r>
                    <w:rPr>
                      <w:rFonts w:hint="eastAsia"/>
                      <w:szCs w:val="21"/>
                      <w:lang w:eastAsia="zh-CN"/>
                    </w:rPr>
                    <w:t>、</w:t>
                  </w:r>
                  <w:r>
                    <w:rPr>
                      <w:rFonts w:hint="eastAsia"/>
                      <w:szCs w:val="21"/>
                      <w:lang w:val="en-US" w:eastAsia="zh-CN"/>
                    </w:rPr>
                    <w:t>夜</w:t>
                  </w:r>
                  <w:r>
                    <w:rPr>
                      <w:rFonts w:hint="eastAsia"/>
                      <w:szCs w:val="21"/>
                    </w:rPr>
                    <w:t>间等效</w:t>
                  </w:r>
                  <w:r>
                    <w:rPr>
                      <w:rFonts w:hint="eastAsia"/>
                      <w:szCs w:val="21"/>
                      <w:lang w:val="en-US" w:eastAsia="zh-CN"/>
                    </w:rPr>
                    <w:t>连续</w:t>
                  </w:r>
                  <w:r>
                    <w:rPr>
                      <w:szCs w:val="21"/>
                    </w:rPr>
                    <w:t>A</w:t>
                  </w:r>
                  <w:r>
                    <w:rPr>
                      <w:rFonts w:hint="eastAsia"/>
                      <w:szCs w:val="21"/>
                    </w:rPr>
                    <w:t>声级</w:t>
                  </w:r>
                </w:p>
              </w:tc>
              <w:tc>
                <w:tcPr>
                  <w:tcW w:w="1437" w:type="dxa"/>
                  <w:tcBorders>
                    <w:tl2br w:val="nil"/>
                    <w:tr2bl w:val="nil"/>
                  </w:tcBorders>
                  <w:noWrap w:val="0"/>
                  <w:vAlign w:val="center"/>
                </w:tcPr>
                <w:p w14:paraId="53A3AE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E</w:t>
                  </w:r>
                </w:p>
              </w:tc>
              <w:tc>
                <w:tcPr>
                  <w:tcW w:w="1371" w:type="dxa"/>
                  <w:tcBorders>
                    <w:tl2br w:val="nil"/>
                    <w:tr2bl w:val="nil"/>
                  </w:tcBorders>
                  <w:noWrap w:val="0"/>
                  <w:vAlign w:val="center"/>
                </w:tcPr>
                <w:p w14:paraId="0F9DCD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48</w:t>
                  </w:r>
                </w:p>
              </w:tc>
            </w:tr>
          </w:tbl>
          <w:p w14:paraId="0687ED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（二）监测项目</w:t>
            </w:r>
          </w:p>
          <w:p w14:paraId="069AC8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等效连续A声级，单位为dB</w:t>
            </w:r>
            <w:r>
              <w:rPr>
                <w:rFonts w:hint="default" w:ascii="Times New Roman" w:hAnsi="Times New Roman" w:eastAsia="宋体" w:cs="Times New Roman"/>
                <w:color w:val="auto"/>
                <w:sz w:val="24"/>
                <w:highlight w:val="none"/>
              </w:rPr>
              <w:t>(A)</w:t>
            </w:r>
            <w:r>
              <w:rPr>
                <w:rFonts w:hint="eastAsia" w:cs="Times New Roman"/>
                <w:b w:val="0"/>
                <w:bCs w:val="0"/>
                <w:color w:val="auto"/>
                <w:sz w:val="24"/>
                <w:szCs w:val="24"/>
                <w:highlight w:val="none"/>
                <w:lang w:val="en-US" w:eastAsia="zh-CN"/>
              </w:rPr>
              <w:t>。</w:t>
            </w:r>
          </w:p>
          <w:p w14:paraId="0F9A8D51">
            <w:pPr>
              <w:pStyle w:val="19"/>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（三）监测时段和频次</w:t>
            </w:r>
          </w:p>
          <w:p w14:paraId="3CB6246F">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2026年8月29日</w:t>
            </w:r>
            <w:r>
              <w:rPr>
                <w:rFonts w:hint="eastAsia"/>
                <w:sz w:val="24"/>
                <w:highlight w:val="none"/>
              </w:rPr>
              <w:t>委托</w:t>
            </w:r>
            <w:r>
              <w:rPr>
                <w:rFonts w:hint="eastAsia"/>
                <w:sz w:val="24"/>
                <w:highlight w:val="none"/>
                <w:lang w:val="en-US" w:eastAsia="zh-CN"/>
              </w:rPr>
              <w:t>黑龙江博仕检验检测有限公司</w:t>
            </w:r>
            <w:r>
              <w:rPr>
                <w:sz w:val="24"/>
                <w:highlight w:val="none"/>
              </w:rPr>
              <w:t>进行现状监测</w:t>
            </w: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监测1</w:t>
            </w:r>
            <w:r>
              <w:rPr>
                <w:rFonts w:hint="default" w:ascii="Times New Roman" w:hAnsi="Times New Roman" w:eastAsia="宋体" w:cs="Times New Roman"/>
                <w:color w:val="auto"/>
                <w:sz w:val="24"/>
                <w:highlight w:val="none"/>
              </w:rPr>
              <w:t>天</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昼、夜各监测1次。昼夜监测时段分别为：昼间6：00</w:t>
            </w:r>
            <w:r>
              <w:rPr>
                <w:rFonts w:hint="eastAsia"/>
                <w:sz w:val="24"/>
                <w:highlight w:val="none"/>
              </w:rPr>
              <w:t>-</w:t>
            </w:r>
            <w:r>
              <w:rPr>
                <w:rFonts w:hint="default" w:ascii="Times New Roman" w:hAnsi="Times New Roman" w:eastAsia="宋体" w:cs="Times New Roman"/>
                <w:color w:val="auto"/>
                <w:sz w:val="24"/>
                <w:highlight w:val="none"/>
              </w:rPr>
              <w:t>22：00；夜间22：00</w:t>
            </w:r>
            <w:r>
              <w:rPr>
                <w:rFonts w:hint="eastAsia"/>
                <w:sz w:val="24"/>
                <w:highlight w:val="none"/>
              </w:rPr>
              <w:t>-</w:t>
            </w:r>
            <w:r>
              <w:rPr>
                <w:rFonts w:hint="default" w:ascii="Times New Roman" w:hAnsi="Times New Roman" w:eastAsia="宋体" w:cs="Times New Roman"/>
                <w:color w:val="auto"/>
                <w:sz w:val="24"/>
                <w:highlight w:val="none"/>
              </w:rPr>
              <w:t>次日6：00</w:t>
            </w:r>
            <w:r>
              <w:rPr>
                <w:rFonts w:hint="eastAsia" w:ascii="Times New Roman" w:hAnsi="Times New Roman" w:eastAsia="宋体" w:cs="Times New Roman"/>
                <w:color w:val="auto"/>
                <w:sz w:val="24"/>
                <w:highlight w:val="none"/>
                <w:lang w:eastAsia="zh-CN"/>
              </w:rPr>
              <w:t>。</w:t>
            </w:r>
          </w:p>
          <w:p w14:paraId="32ADEEA7">
            <w:pPr>
              <w:pStyle w:val="48"/>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表3-</w:t>
            </w:r>
            <w:r>
              <w:rPr>
                <w:rFonts w:hint="eastAsia"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 xml:space="preserve">  声环境质量监测结果  </w:t>
            </w:r>
          </w:p>
          <w:tbl>
            <w:tblPr>
              <w:tblStyle w:val="20"/>
              <w:tblW w:w="4931"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713"/>
              <w:gridCol w:w="3311"/>
              <w:gridCol w:w="2625"/>
            </w:tblGrid>
            <w:tr w14:paraId="0F610E7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1568" w:type="pct"/>
                  <w:vMerge w:val="restart"/>
                  <w:tcBorders>
                    <w:tl2br w:val="nil"/>
                    <w:tr2bl w:val="nil"/>
                  </w:tcBorders>
                  <w:noWrap w:val="0"/>
                  <w:vAlign w:val="center"/>
                </w:tcPr>
                <w:p w14:paraId="1364A4F8">
                  <w:pPr>
                    <w:pStyle w:val="37"/>
                    <w:keepNext w:val="0"/>
                    <w:keepLines w:val="0"/>
                    <w:pageBreakBefore w:val="0"/>
                    <w:kinsoku/>
                    <w:wordWrap/>
                    <w:overflowPunct/>
                    <w:topLinePunct w:val="0"/>
                    <w:autoSpaceDE/>
                    <w:autoSpaceDN/>
                    <w:bidi w:val="0"/>
                    <w:spacing w:beforeLines="0" w:afterLines="0" w:line="240" w:lineRule="auto"/>
                    <w:ind w:left="0" w:leftChars="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监测点位</w:t>
                  </w:r>
                </w:p>
              </w:tc>
              <w:tc>
                <w:tcPr>
                  <w:tcW w:w="3431" w:type="pct"/>
                  <w:gridSpan w:val="2"/>
                  <w:tcBorders>
                    <w:tl2br w:val="nil"/>
                    <w:tr2bl w:val="nil"/>
                  </w:tcBorders>
                  <w:noWrap w:val="0"/>
                  <w:vAlign w:val="center"/>
                </w:tcPr>
                <w:p w14:paraId="0E2D1BC5">
                  <w:pPr>
                    <w:pStyle w:val="37"/>
                    <w:keepNext w:val="0"/>
                    <w:keepLines w:val="0"/>
                    <w:pageBreakBefore w:val="0"/>
                    <w:kinsoku/>
                    <w:wordWrap/>
                    <w:overflowPunct/>
                    <w:topLinePunct w:val="0"/>
                    <w:autoSpaceDE/>
                    <w:autoSpaceDN/>
                    <w:bidi w:val="0"/>
                    <w:spacing w:beforeLines="0" w:afterLines="0" w:line="240" w:lineRule="auto"/>
                    <w:ind w:left="0" w:leftChars="0" w:firstLine="0" w:firstLineChars="0"/>
                    <w:jc w:val="center"/>
                    <w:rPr>
                      <w:rFonts w:hint="default" w:ascii="Times New Roman" w:hAnsi="Times New Roman" w:eastAsia="宋体" w:cs="Times New Roman"/>
                      <w:b/>
                      <w:bCs/>
                      <w:color w:val="auto"/>
                      <w:sz w:val="21"/>
                      <w:szCs w:val="21"/>
                      <w:highlight w:val="none"/>
                    </w:rPr>
                  </w:pPr>
                  <w:r>
                    <w:rPr>
                      <w:rFonts w:hint="eastAsia" w:ascii="Times New Roman" w:cs="Times New Roman"/>
                      <w:b/>
                      <w:bCs/>
                      <w:color w:val="auto"/>
                      <w:sz w:val="21"/>
                      <w:szCs w:val="21"/>
                      <w:highlight w:val="none"/>
                      <w:lang w:val="en-US" w:eastAsia="zh-CN"/>
                    </w:rPr>
                    <w:t>2026</w:t>
                  </w:r>
                  <w:r>
                    <w:rPr>
                      <w:rFonts w:hint="default" w:ascii="Times New Roman" w:hAnsi="Times New Roman" w:eastAsia="宋体" w:cs="Times New Roman"/>
                      <w:b/>
                      <w:bCs/>
                      <w:color w:val="auto"/>
                      <w:sz w:val="21"/>
                      <w:szCs w:val="21"/>
                      <w:highlight w:val="none"/>
                    </w:rPr>
                    <w:t>年</w:t>
                  </w:r>
                  <w:r>
                    <w:rPr>
                      <w:rFonts w:hint="eastAsia" w:ascii="Times New Roman" w:hAnsi="Times New Roman" w:cs="Times New Roman"/>
                      <w:b/>
                      <w:bCs/>
                      <w:color w:val="auto"/>
                      <w:sz w:val="21"/>
                      <w:szCs w:val="21"/>
                      <w:highlight w:val="none"/>
                      <w:lang w:val="en-US" w:eastAsia="zh-CN"/>
                    </w:rPr>
                    <w:t>8</w:t>
                  </w:r>
                  <w:r>
                    <w:rPr>
                      <w:rFonts w:hint="default" w:ascii="Times New Roman" w:hAnsi="Times New Roman" w:eastAsia="宋体" w:cs="Times New Roman"/>
                      <w:b/>
                      <w:bCs/>
                      <w:color w:val="auto"/>
                      <w:sz w:val="21"/>
                      <w:szCs w:val="21"/>
                      <w:highlight w:val="none"/>
                    </w:rPr>
                    <w:t>月</w:t>
                  </w:r>
                  <w:r>
                    <w:rPr>
                      <w:rFonts w:hint="eastAsia" w:ascii="Times New Roman" w:hAnsi="Times New Roman" w:cs="Times New Roman"/>
                      <w:b/>
                      <w:bCs/>
                      <w:color w:val="auto"/>
                      <w:sz w:val="21"/>
                      <w:szCs w:val="21"/>
                      <w:highlight w:val="none"/>
                      <w:lang w:val="en-US" w:eastAsia="zh-CN"/>
                    </w:rPr>
                    <w:t>29</w:t>
                  </w:r>
                  <w:r>
                    <w:rPr>
                      <w:rFonts w:hint="default" w:ascii="Times New Roman" w:hAnsi="Times New Roman" w:eastAsia="宋体" w:cs="Times New Roman"/>
                      <w:b/>
                      <w:bCs/>
                      <w:color w:val="auto"/>
                      <w:sz w:val="21"/>
                      <w:szCs w:val="21"/>
                      <w:highlight w:val="none"/>
                    </w:rPr>
                    <w:t>日</w:t>
                  </w:r>
                </w:p>
              </w:tc>
            </w:tr>
            <w:tr w14:paraId="7B23ACE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568" w:type="pct"/>
                  <w:vMerge w:val="continue"/>
                  <w:tcBorders>
                    <w:tl2br w:val="nil"/>
                    <w:tr2bl w:val="nil"/>
                  </w:tcBorders>
                  <w:noWrap w:val="0"/>
                  <w:vAlign w:val="center"/>
                </w:tcPr>
                <w:p w14:paraId="606DB88D">
                  <w:pPr>
                    <w:pStyle w:val="37"/>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eastAsia="宋体" w:cs="Times New Roman"/>
                      <w:b/>
                      <w:bCs/>
                      <w:color w:val="FF0000"/>
                      <w:sz w:val="21"/>
                      <w:szCs w:val="21"/>
                      <w:highlight w:val="none"/>
                    </w:rPr>
                  </w:pPr>
                </w:p>
              </w:tc>
              <w:tc>
                <w:tcPr>
                  <w:tcW w:w="1914" w:type="pct"/>
                  <w:tcBorders>
                    <w:tl2br w:val="nil"/>
                    <w:tr2bl w:val="nil"/>
                  </w:tcBorders>
                  <w:noWrap w:val="0"/>
                  <w:vAlign w:val="center"/>
                </w:tcPr>
                <w:p w14:paraId="546448AC">
                  <w:pPr>
                    <w:pStyle w:val="37"/>
                    <w:keepNext w:val="0"/>
                    <w:keepLines w:val="0"/>
                    <w:pageBreakBefore w:val="0"/>
                    <w:kinsoku/>
                    <w:wordWrap/>
                    <w:overflowPunct/>
                    <w:topLinePunct w:val="0"/>
                    <w:autoSpaceDE/>
                    <w:autoSpaceDN/>
                    <w:bidi w:val="0"/>
                    <w:spacing w:beforeLines="0" w:afterLines="0" w:line="240" w:lineRule="auto"/>
                    <w:ind w:left="0" w:leftChars="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昼间dB</w:t>
                  </w:r>
                  <w:r>
                    <w:rPr>
                      <w:rFonts w:hint="eastAsia" w:eastAsia="宋体" w:cs="Times New Roman"/>
                      <w:b/>
                      <w:bCs/>
                      <w:color w:val="auto"/>
                      <w:sz w:val="21"/>
                      <w:szCs w:val="21"/>
                      <w:highlight w:val="none"/>
                      <w:lang w:val="en-US" w:eastAsia="zh-CN"/>
                    </w:rPr>
                    <w:t>(</w:t>
                  </w:r>
                  <w:r>
                    <w:rPr>
                      <w:rFonts w:hint="default" w:ascii="Times New Roman" w:hAnsi="Times New Roman" w:eastAsia="宋体" w:cs="Times New Roman"/>
                      <w:b/>
                      <w:bCs/>
                      <w:color w:val="auto"/>
                      <w:sz w:val="21"/>
                      <w:szCs w:val="21"/>
                      <w:highlight w:val="none"/>
                    </w:rPr>
                    <w:t>A</w:t>
                  </w:r>
                  <w:r>
                    <w:rPr>
                      <w:rFonts w:hint="eastAsia" w:eastAsia="宋体" w:cs="Times New Roman"/>
                      <w:b/>
                      <w:bCs/>
                      <w:color w:val="auto"/>
                      <w:sz w:val="21"/>
                      <w:szCs w:val="21"/>
                      <w:highlight w:val="none"/>
                      <w:lang w:val="en-US" w:eastAsia="zh-CN"/>
                    </w:rPr>
                    <w:t>)</w:t>
                  </w:r>
                </w:p>
              </w:tc>
              <w:tc>
                <w:tcPr>
                  <w:tcW w:w="1517" w:type="pct"/>
                  <w:tcBorders>
                    <w:tl2br w:val="nil"/>
                    <w:tr2bl w:val="nil"/>
                  </w:tcBorders>
                  <w:noWrap w:val="0"/>
                  <w:vAlign w:val="center"/>
                </w:tcPr>
                <w:p w14:paraId="7011D78A">
                  <w:pPr>
                    <w:pStyle w:val="37"/>
                    <w:keepNext w:val="0"/>
                    <w:keepLines w:val="0"/>
                    <w:pageBreakBefore w:val="0"/>
                    <w:kinsoku/>
                    <w:wordWrap/>
                    <w:overflowPunct/>
                    <w:topLinePunct w:val="0"/>
                    <w:autoSpaceDE/>
                    <w:autoSpaceDN/>
                    <w:bidi w:val="0"/>
                    <w:spacing w:beforeLines="0" w:afterLines="0" w:line="240" w:lineRule="auto"/>
                    <w:ind w:left="0" w:leftChars="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夜间dB</w:t>
                  </w:r>
                  <w:r>
                    <w:rPr>
                      <w:rFonts w:hint="eastAsia" w:eastAsia="宋体" w:cs="Times New Roman"/>
                      <w:b/>
                      <w:bCs/>
                      <w:color w:val="auto"/>
                      <w:sz w:val="21"/>
                      <w:szCs w:val="21"/>
                      <w:highlight w:val="none"/>
                      <w:lang w:val="en-US" w:eastAsia="zh-CN"/>
                    </w:rPr>
                    <w:t>(</w:t>
                  </w:r>
                  <w:r>
                    <w:rPr>
                      <w:rFonts w:hint="default" w:ascii="Times New Roman" w:hAnsi="Times New Roman" w:eastAsia="宋体" w:cs="Times New Roman"/>
                      <w:b/>
                      <w:bCs/>
                      <w:color w:val="auto"/>
                      <w:sz w:val="21"/>
                      <w:szCs w:val="21"/>
                      <w:highlight w:val="none"/>
                    </w:rPr>
                    <w:t>A</w:t>
                  </w:r>
                  <w:r>
                    <w:rPr>
                      <w:rFonts w:hint="eastAsia" w:eastAsia="宋体" w:cs="Times New Roman"/>
                      <w:b/>
                      <w:bCs/>
                      <w:color w:val="auto"/>
                      <w:sz w:val="21"/>
                      <w:szCs w:val="21"/>
                      <w:highlight w:val="none"/>
                      <w:lang w:val="en-US" w:eastAsia="zh-CN"/>
                    </w:rPr>
                    <w:t>)</w:t>
                  </w:r>
                </w:p>
              </w:tc>
            </w:tr>
            <w:tr w14:paraId="4A5A91E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1568" w:type="pct"/>
                  <w:tcBorders>
                    <w:tl2br w:val="nil"/>
                    <w:tr2bl w:val="nil"/>
                  </w:tcBorders>
                  <w:noWrap w:val="0"/>
                  <w:vAlign w:val="center"/>
                </w:tcPr>
                <w:p w14:paraId="2E0C0B93">
                  <w:pPr>
                    <w:spacing w:line="240" w:lineRule="auto"/>
                    <w:jc w:val="center"/>
                    <w:rPr>
                      <w:rFonts w:hint="default" w:ascii="Times New Roman" w:hAnsi="Times New Roman" w:eastAsia="宋体" w:cs="Times New Roman"/>
                      <w:b w:val="0"/>
                      <w:bCs w:val="0"/>
                      <w:color w:val="FF0000"/>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w:t>
                  </w:r>
                  <w:r>
                    <w:rPr>
                      <w:rFonts w:hint="eastAsia" w:cs="Times New Roman"/>
                      <w:color w:val="auto"/>
                      <w:kern w:val="2"/>
                      <w:sz w:val="21"/>
                      <w:szCs w:val="21"/>
                      <w:highlight w:val="none"/>
                      <w:lang w:val="en-US" w:eastAsia="zh-CN" w:bidi="ar-SA"/>
                    </w:rPr>
                    <w:t>东侧居民区</w:t>
                  </w:r>
                </w:p>
              </w:tc>
              <w:tc>
                <w:tcPr>
                  <w:tcW w:w="1914" w:type="pct"/>
                  <w:tcBorders>
                    <w:tl2br w:val="nil"/>
                    <w:tr2bl w:val="nil"/>
                  </w:tcBorders>
                  <w:noWrap w:val="0"/>
                  <w:vAlign w:val="center"/>
                </w:tcPr>
                <w:p w14:paraId="0F624C1F">
                  <w:pPr>
                    <w:spacing w:line="240" w:lineRule="auto"/>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eastAsia" w:cs="Times New Roman"/>
                      <w:b w:val="0"/>
                      <w:bCs w:val="0"/>
                      <w:i w:val="0"/>
                      <w:iCs w:val="0"/>
                      <w:color w:val="auto"/>
                      <w:kern w:val="2"/>
                      <w:sz w:val="21"/>
                      <w:szCs w:val="21"/>
                      <w:highlight w:val="none"/>
                      <w:u w:val="none"/>
                      <w:lang w:val="en-US" w:eastAsia="zh-CN" w:bidi="ar-SA"/>
                    </w:rPr>
                    <w:t>54</w:t>
                  </w:r>
                </w:p>
              </w:tc>
              <w:tc>
                <w:tcPr>
                  <w:tcW w:w="1517" w:type="pct"/>
                  <w:tcBorders>
                    <w:tl2br w:val="nil"/>
                    <w:tr2bl w:val="nil"/>
                  </w:tcBorders>
                  <w:noWrap w:val="0"/>
                  <w:vAlign w:val="center"/>
                </w:tcPr>
                <w:p w14:paraId="42C0023E">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44</w:t>
                  </w:r>
                </w:p>
              </w:tc>
            </w:tr>
          </w:tbl>
          <w:p w14:paraId="57BDDE35">
            <w:pPr>
              <w:pStyle w:val="19"/>
              <w:keepNext w:val="0"/>
              <w:keepLines w:val="0"/>
              <w:pageBreakBefore w:val="0"/>
              <w:kinsoku/>
              <w:wordWrap/>
              <w:overflowPunct/>
              <w:topLinePunct w:val="0"/>
              <w:autoSpaceDE/>
              <w:autoSpaceDN/>
              <w:bidi w:val="0"/>
              <w:adjustRightInd/>
              <w:snapToGrid/>
              <w:spacing w:after="0" w:line="240" w:lineRule="auto"/>
              <w:ind w:left="0" w:leftChars="0" w:firstLine="480" w:firstLineChars="200"/>
              <w:textAlignment w:val="auto"/>
              <w:rPr>
                <w:rFonts w:hint="default"/>
                <w:color w:val="FF0000"/>
                <w:sz w:val="24"/>
                <w:szCs w:val="24"/>
                <w:highlight w:val="none"/>
                <w:lang w:val="en-US" w:eastAsia="zh-CN"/>
              </w:rPr>
            </w:pPr>
          </w:p>
          <w:tbl>
            <w:tblPr>
              <w:tblStyle w:val="21"/>
              <w:tblW w:w="0" w:type="auto"/>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69"/>
            </w:tblGrid>
            <w:tr w14:paraId="1635E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769" w:type="dxa"/>
                  <w:tcBorders>
                    <w:tl2br w:val="nil"/>
                    <w:tr2bl w:val="nil"/>
                  </w:tcBorders>
                </w:tcPr>
                <w:p w14:paraId="58D14F49">
                  <w:pPr>
                    <w:pStyle w:val="19"/>
                    <w:keepNext w:val="0"/>
                    <w:keepLines w:val="0"/>
                    <w:pageBreakBefore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color w:val="FF0000"/>
                      <w:sz w:val="24"/>
                      <w:szCs w:val="24"/>
                      <w:highlight w:val="none"/>
                      <w:vertAlign w:val="baseline"/>
                      <w:lang w:val="en-US" w:eastAsia="zh-CN"/>
                    </w:rPr>
                  </w:pPr>
                  <w:r>
                    <w:drawing>
                      <wp:inline distT="0" distB="0" distL="114300" distR="114300">
                        <wp:extent cx="5429250" cy="3365500"/>
                        <wp:effectExtent l="0" t="0" r="6350" b="0"/>
                        <wp:docPr id="107" name="F35B0BEE-F18A-47BB-8FCB-E00DA2F2635D-2" descr="C:/Users/Administrator/AppData/Local/Temp/wps.PQVmjY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F35B0BEE-F18A-47BB-8FCB-E00DA2F2635D-2" descr="C:/Users/Administrator/AppData/Local/Temp/wps.PQVmjYwps"/>
                                <pic:cNvPicPr>
                                  <a:picLocks noChangeAspect="1"/>
                                </pic:cNvPicPr>
                              </pic:nvPicPr>
                              <pic:blipFill>
                                <a:blip r:embed="rId20"/>
                                <a:stretch>
                                  <a:fillRect/>
                                </a:stretch>
                              </pic:blipFill>
                              <pic:spPr>
                                <a:xfrm>
                                  <a:off x="0" y="0"/>
                                  <a:ext cx="5429250" cy="3365500"/>
                                </a:xfrm>
                                <a:prstGeom prst="rect">
                                  <a:avLst/>
                                </a:prstGeom>
                                <a:noFill/>
                                <a:ln>
                                  <a:noFill/>
                                </a:ln>
                              </pic:spPr>
                            </pic:pic>
                          </a:graphicData>
                        </a:graphic>
                      </wp:inline>
                    </w:drawing>
                  </w:r>
                </w:p>
              </w:tc>
            </w:tr>
            <w:tr w14:paraId="23C40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8769" w:type="dxa"/>
                  <w:tcBorders>
                    <w:tl2br w:val="nil"/>
                    <w:tr2bl w:val="nil"/>
                  </w:tcBorders>
                </w:tcPr>
                <w:p w14:paraId="3F0C5F56">
                  <w:pPr>
                    <w:pStyle w:val="19"/>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olor w:val="auto"/>
                      <w:sz w:val="24"/>
                      <w:szCs w:val="24"/>
                      <w:highlight w:val="none"/>
                      <w:vertAlign w:val="baseline"/>
                      <w:lang w:val="en-US" w:eastAsia="zh-CN"/>
                    </w:rPr>
                  </w:pPr>
                  <w:r>
                    <w:rPr>
                      <w:rFonts w:hint="default" w:ascii="Times New Roman" w:hAnsi="Times New Roman" w:eastAsia="宋体" w:cs="Times New Roman"/>
                      <w:b/>
                      <w:bCs/>
                      <w:color w:val="auto"/>
                      <w:sz w:val="21"/>
                      <w:szCs w:val="24"/>
                      <w:highlight w:val="none"/>
                      <w:lang w:val="en-US" w:eastAsia="zh-CN"/>
                    </w:rPr>
                    <w:t>图3-</w:t>
                  </w:r>
                  <w:r>
                    <w:rPr>
                      <w:rFonts w:hint="eastAsia" w:cs="Times New Roman"/>
                      <w:b/>
                      <w:bCs/>
                      <w:color w:val="auto"/>
                      <w:sz w:val="21"/>
                      <w:szCs w:val="24"/>
                      <w:highlight w:val="none"/>
                      <w:lang w:val="en-US" w:eastAsia="zh-CN"/>
                    </w:rPr>
                    <w:t>3</w:t>
                  </w:r>
                  <w:r>
                    <w:rPr>
                      <w:rFonts w:hint="eastAsia" w:ascii="Times New Roman" w:hAnsi="Times New Roman" w:eastAsia="宋体" w:cs="Times New Roman"/>
                      <w:b/>
                      <w:bCs/>
                      <w:color w:val="auto"/>
                      <w:sz w:val="21"/>
                      <w:szCs w:val="24"/>
                      <w:highlight w:val="none"/>
                      <w:lang w:val="en-US" w:eastAsia="zh-CN"/>
                    </w:rPr>
                    <w:t xml:space="preserve"> </w:t>
                  </w:r>
                  <w:r>
                    <w:rPr>
                      <w:rFonts w:hint="default" w:ascii="Times New Roman" w:hAnsi="Times New Roman" w:eastAsia="宋体" w:cs="Times New Roman"/>
                      <w:b/>
                      <w:bCs/>
                      <w:color w:val="auto"/>
                      <w:sz w:val="21"/>
                      <w:szCs w:val="24"/>
                      <w:highlight w:val="none"/>
                      <w:lang w:val="en-US" w:eastAsia="zh-CN"/>
                    </w:rPr>
                    <w:t xml:space="preserve"> </w:t>
                  </w:r>
                  <w:r>
                    <w:rPr>
                      <w:rFonts w:hint="eastAsia" w:ascii="Times New Roman" w:hAnsi="Times New Roman" w:eastAsia="宋体" w:cs="Times New Roman"/>
                      <w:b/>
                      <w:bCs/>
                      <w:color w:val="auto"/>
                      <w:sz w:val="21"/>
                      <w:szCs w:val="24"/>
                      <w:highlight w:val="none"/>
                      <w:lang w:val="en-US" w:eastAsia="zh-CN"/>
                    </w:rPr>
                    <w:t>声环境现状</w:t>
                  </w:r>
                  <w:r>
                    <w:rPr>
                      <w:rFonts w:hint="default" w:ascii="Times New Roman" w:hAnsi="Times New Roman" w:eastAsia="宋体" w:cs="Times New Roman"/>
                      <w:b/>
                      <w:bCs/>
                      <w:color w:val="auto"/>
                      <w:sz w:val="21"/>
                      <w:szCs w:val="24"/>
                      <w:highlight w:val="none"/>
                      <w:lang w:val="en-US" w:eastAsia="zh-CN"/>
                    </w:rPr>
                    <w:t>监测点位图</w:t>
                  </w:r>
                </w:p>
              </w:tc>
            </w:tr>
          </w:tbl>
          <w:p w14:paraId="5F6E4A60">
            <w:pPr>
              <w:pStyle w:val="19"/>
              <w:keepNext w:val="0"/>
              <w:keepLines w:val="0"/>
              <w:pageBreakBefore w:val="0"/>
              <w:widowControl w:val="0"/>
              <w:kinsoku/>
              <w:wordWrap/>
              <w:overflowPunct/>
              <w:topLinePunct w:val="0"/>
              <w:autoSpaceDE/>
              <w:autoSpaceDN/>
              <w:bidi w:val="0"/>
              <w:adjustRightInd/>
              <w:snapToGrid/>
              <w:spacing w:before="157" w:beforeLines="50" w:after="0" w:line="360" w:lineRule="auto"/>
              <w:ind w:left="0" w:leftChars="0"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根据监测结果可知，</w:t>
            </w:r>
            <w:r>
              <w:rPr>
                <w:rFonts w:hint="eastAsia" w:cs="Times New Roman"/>
                <w:b w:val="0"/>
                <w:bCs w:val="0"/>
                <w:color w:val="auto"/>
                <w:sz w:val="24"/>
                <w:szCs w:val="24"/>
                <w:highlight w:val="none"/>
                <w:lang w:val="en-US" w:eastAsia="zh-CN"/>
              </w:rPr>
              <w:t>厂界外声环境保护目标处昼、夜间噪声值</w:t>
            </w:r>
            <w:r>
              <w:rPr>
                <w:rFonts w:hint="default" w:ascii="Times New Roman" w:hAnsi="Times New Roman" w:cs="Times New Roman"/>
                <w:b w:val="0"/>
                <w:bCs w:val="0"/>
                <w:color w:val="auto"/>
                <w:sz w:val="24"/>
                <w:szCs w:val="24"/>
                <w:highlight w:val="none"/>
                <w:lang w:val="en-US" w:eastAsia="zh-CN"/>
              </w:rPr>
              <w:t>满足</w:t>
            </w:r>
            <w:r>
              <w:rPr>
                <w:rFonts w:hint="default" w:ascii="Times New Roman" w:hAnsi="Times New Roman" w:eastAsia="宋体" w:cs="Times New Roman"/>
                <w:color w:val="auto"/>
                <w:sz w:val="24"/>
                <w:highlight w:val="none"/>
              </w:rPr>
              <w:t>《声环境质量标准》（GB3096-2008）</w:t>
            </w:r>
            <w:r>
              <w:rPr>
                <w:rFonts w:hint="default" w:ascii="Times New Roman" w:hAnsi="Times New Roman" w:eastAsia="宋体" w:cs="Times New Roman"/>
                <w:color w:val="auto"/>
                <w:sz w:val="24"/>
                <w:highlight w:val="none"/>
                <w:lang w:val="en-US" w:eastAsia="zh-CN"/>
              </w:rPr>
              <w:t>表1</w:t>
            </w:r>
            <w:r>
              <w:rPr>
                <w:rFonts w:hint="default" w:ascii="Times New Roman" w:hAnsi="Times New Roman" w:eastAsia="宋体" w:cs="Times New Roman"/>
                <w:color w:val="auto"/>
                <w:sz w:val="24"/>
                <w:highlight w:val="none"/>
              </w:rPr>
              <w:t>中2类标准</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项目区域声环境质量良好</w:t>
            </w:r>
            <w:r>
              <w:rPr>
                <w:rFonts w:hint="default" w:ascii="Times New Roman" w:hAnsi="Times New Roman" w:eastAsia="宋体" w:cs="Times New Roman"/>
                <w:color w:val="auto"/>
                <w:sz w:val="24"/>
                <w:highlight w:val="none"/>
              </w:rPr>
              <w:t>。</w:t>
            </w:r>
          </w:p>
          <w:p w14:paraId="5B2E22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四、</w:t>
            </w:r>
            <w:r>
              <w:rPr>
                <w:rFonts w:hint="default" w:ascii="Times New Roman" w:hAnsi="Times New Roman" w:eastAsia="宋体" w:cs="Times New Roman"/>
                <w:b/>
                <w:bCs/>
                <w:color w:val="auto"/>
                <w:sz w:val="24"/>
                <w:szCs w:val="24"/>
                <w:highlight w:val="none"/>
                <w:lang w:val="en-US" w:eastAsia="zh-CN"/>
              </w:rPr>
              <w:t>生态环境</w:t>
            </w:r>
          </w:p>
          <w:p w14:paraId="1CB5B1DC">
            <w:pPr>
              <w:spacing w:line="360" w:lineRule="auto"/>
              <w:ind w:firstLine="480" w:firstLineChars="200"/>
              <w:rPr>
                <w:color w:val="auto"/>
                <w:kern w:val="0"/>
                <w:sz w:val="24"/>
              </w:rPr>
            </w:pPr>
            <w:r>
              <w:rPr>
                <w:kern w:val="0"/>
                <w:sz w:val="24"/>
              </w:rPr>
              <w:t>项目用地范围内无生态环境保护目标，根据《建设项目环境影响报告表编制技术</w:t>
            </w:r>
            <w:r>
              <w:rPr>
                <w:color w:val="auto"/>
                <w:kern w:val="0"/>
                <w:sz w:val="24"/>
              </w:rPr>
              <w:t>指南（污染类影响）》中的要求，无需开展生态现状调查。</w:t>
            </w:r>
          </w:p>
          <w:p w14:paraId="3DF433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五、</w:t>
            </w:r>
            <w:r>
              <w:rPr>
                <w:rFonts w:hint="default" w:ascii="Times New Roman" w:hAnsi="Times New Roman" w:eastAsia="宋体" w:cs="Times New Roman"/>
                <w:b/>
                <w:bCs/>
                <w:color w:val="auto"/>
                <w:sz w:val="24"/>
                <w:szCs w:val="24"/>
                <w:highlight w:val="none"/>
                <w:lang w:val="en-US" w:eastAsia="zh-CN"/>
              </w:rPr>
              <w:t>地下水、土壤环境</w:t>
            </w:r>
          </w:p>
          <w:p w14:paraId="535BAD7F">
            <w:pPr>
              <w:keepNext w:val="0"/>
              <w:keepLines w:val="0"/>
              <w:pageBreakBefore w:val="0"/>
              <w:widowControl/>
              <w:kinsoku/>
              <w:wordWrap/>
              <w:overflowPunct/>
              <w:topLinePunct w:val="0"/>
              <w:autoSpaceDE/>
              <w:autoSpaceDN/>
              <w:bidi w:val="0"/>
              <w:adjustRightInd/>
              <w:snapToGrid/>
              <w:spacing w:line="360" w:lineRule="auto"/>
              <w:ind w:left="0" w:leftChars="0" w:firstLine="480" w:firstLineChars="200"/>
              <w:jc w:val="left"/>
              <w:textAlignment w:val="auto"/>
              <w:rPr>
                <w:rFonts w:hint="default"/>
                <w:color w:val="FF0000"/>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rPr>
              <w:t>根据《建设项目环境影响报告表编制技术指南（污染类影响）》中的要求，原则上不开展环境质量现状调查</w:t>
            </w:r>
            <w:r>
              <w:rPr>
                <w:rFonts w:hint="eastAsia" w:ascii="Times New Roman" w:hAnsi="Times New Roman" w:eastAsia="宋体" w:cs="Times New Roman"/>
                <w:b w:val="0"/>
                <w:bCs w:val="0"/>
                <w:color w:val="auto"/>
                <w:kern w:val="0"/>
                <w:sz w:val="24"/>
                <w:szCs w:val="24"/>
                <w:highlight w:val="none"/>
                <w:lang w:val="en-US" w:eastAsia="zh-CN"/>
              </w:rPr>
              <w:t>。</w:t>
            </w:r>
          </w:p>
        </w:tc>
      </w:tr>
      <w:tr w14:paraId="542AB7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628" w:type="dxa"/>
            <w:noWrap w:val="0"/>
            <w:vAlign w:val="center"/>
          </w:tcPr>
          <w:p w14:paraId="0C9CB0EA">
            <w:pPr>
              <w:adjustRightInd w:val="0"/>
              <w:snapToGrid w:val="0"/>
              <w:jc w:val="center"/>
              <w:rPr>
                <w:rFonts w:hint="eastAsia" w:ascii="宋体" w:hAnsi="宋体" w:cs="宋体"/>
                <w:color w:val="FF0000"/>
                <w:kern w:val="0"/>
                <w:szCs w:val="21"/>
                <w:highlight w:val="none"/>
              </w:rPr>
            </w:pPr>
            <w:r>
              <w:rPr>
                <w:rFonts w:hint="eastAsia" w:ascii="宋体" w:hAnsi="宋体" w:cs="宋体"/>
                <w:color w:val="auto"/>
                <w:kern w:val="0"/>
                <w:sz w:val="24"/>
                <w:szCs w:val="24"/>
                <w:highlight w:val="none"/>
              </w:rPr>
              <w:t>环境保护目标</w:t>
            </w:r>
          </w:p>
        </w:tc>
        <w:tc>
          <w:tcPr>
            <w:tcW w:w="8985" w:type="dxa"/>
            <w:noWrap w:val="0"/>
            <w:vAlign w:val="top"/>
          </w:tcPr>
          <w:p w14:paraId="2D517E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项目厂界外500米范围内保护目</w:t>
            </w:r>
            <w:r>
              <w:rPr>
                <w:rFonts w:hint="eastAsia" w:ascii="Times New Roman" w:hAnsi="Times New Roman" w:cs="Times New Roman"/>
                <w:color w:val="auto"/>
                <w:sz w:val="24"/>
                <w:szCs w:val="24"/>
                <w:highlight w:val="none"/>
                <w:lang w:val="en-US" w:eastAsia="zh-CN"/>
              </w:rPr>
              <w:t>标为</w:t>
            </w:r>
            <w:r>
              <w:rPr>
                <w:rFonts w:hint="default" w:ascii="Times New Roman" w:hAnsi="Times New Roman" w:cs="Times New Roman"/>
                <w:color w:val="auto"/>
                <w:sz w:val="24"/>
                <w:szCs w:val="24"/>
                <w:highlight w:val="none"/>
                <w:lang w:val="en-US" w:eastAsia="zh-CN"/>
              </w:rPr>
              <w:t>居</w:t>
            </w:r>
            <w:r>
              <w:rPr>
                <w:rFonts w:hint="default" w:cs="Times New Roman"/>
                <w:color w:val="auto"/>
                <w:sz w:val="24"/>
                <w:szCs w:val="24"/>
                <w:highlight w:val="none"/>
                <w:lang w:val="en-US" w:eastAsia="zh-CN"/>
              </w:rPr>
              <w:t>住区</w:t>
            </w:r>
            <w:r>
              <w:rPr>
                <w:rFonts w:hint="eastAsia" w:cs="Times New Roman"/>
                <w:color w:val="auto"/>
                <w:sz w:val="24"/>
                <w:szCs w:val="24"/>
                <w:highlight w:val="none"/>
                <w:lang w:val="en-US" w:eastAsia="zh-CN"/>
              </w:rPr>
              <w:t>、黑龙江大佳河省级自然保护区、乌苏里江风景名胜区，保护目标详细情况如下所示。</w:t>
            </w:r>
          </w:p>
          <w:p w14:paraId="2786059C">
            <w:pPr>
              <w:pStyle w:val="43"/>
              <w:bidi w:val="0"/>
              <w:rPr>
                <w:rFonts w:hint="eastAsia"/>
                <w:b/>
                <w:bCs/>
                <w:color w:val="auto"/>
                <w:highlight w:val="none"/>
                <w:lang w:val="en-US" w:eastAsia="zh-CN"/>
              </w:rPr>
            </w:pPr>
            <w:r>
              <w:rPr>
                <w:rFonts w:hint="eastAsia"/>
                <w:b/>
                <w:bCs/>
                <w:color w:val="auto"/>
                <w:highlight w:val="none"/>
                <w:lang w:val="en-US" w:eastAsia="zh-CN"/>
              </w:rPr>
              <w:t>一、环境空气保护目标</w:t>
            </w:r>
          </w:p>
          <w:p w14:paraId="6AC06CEF">
            <w:pPr>
              <w:pStyle w:val="43"/>
              <w:bidi w:val="0"/>
              <w:rPr>
                <w:rFonts w:hint="eastAsia"/>
                <w:b w:val="0"/>
                <w:bCs w:val="0"/>
                <w:color w:val="auto"/>
                <w:highlight w:val="none"/>
                <w:lang w:val="en-US" w:eastAsia="zh-CN"/>
              </w:rPr>
            </w:pPr>
            <w:r>
              <w:rPr>
                <w:rFonts w:hint="eastAsia"/>
                <w:b w:val="0"/>
                <w:bCs w:val="0"/>
                <w:color w:val="auto"/>
                <w:highlight w:val="none"/>
                <w:lang w:val="en-US" w:eastAsia="zh-CN"/>
              </w:rPr>
              <w:t>本项目厂界外500米范围内环境空气保护目标详见下表。</w:t>
            </w:r>
          </w:p>
          <w:p w14:paraId="25405A1A">
            <w:pPr>
              <w:adjustRightInd w:val="0"/>
              <w:snapToGrid w:val="0"/>
              <w:spacing w:line="240" w:lineRule="auto"/>
              <w:jc w:val="center"/>
              <w:rPr>
                <w:rFonts w:hint="default" w:ascii="Times New Roman" w:hAnsi="Times New Roman" w:eastAsia="宋体" w:cs="Times New Roman"/>
                <w:b/>
                <w:color w:val="auto"/>
                <w:kern w:val="44"/>
                <w:sz w:val="21"/>
                <w:szCs w:val="21"/>
                <w:highlight w:val="none"/>
                <w:lang w:val="en-US" w:eastAsia="zh-CN" w:bidi="ar-SA"/>
              </w:rPr>
            </w:pPr>
            <w:r>
              <w:rPr>
                <w:rFonts w:hint="default" w:ascii="Times New Roman" w:hAnsi="Times New Roman" w:eastAsia="宋体" w:cs="Times New Roman"/>
                <w:b/>
                <w:color w:val="auto"/>
                <w:kern w:val="44"/>
                <w:sz w:val="21"/>
                <w:szCs w:val="21"/>
                <w:highlight w:val="none"/>
                <w:lang w:val="en-US" w:eastAsia="zh-CN" w:bidi="ar-SA"/>
              </w:rPr>
              <w:t>表3-</w:t>
            </w:r>
            <w:r>
              <w:rPr>
                <w:rFonts w:hint="eastAsia" w:ascii="Times New Roman" w:hAnsi="Times New Roman" w:eastAsia="宋体" w:cs="Times New Roman"/>
                <w:b/>
                <w:color w:val="auto"/>
                <w:kern w:val="44"/>
                <w:sz w:val="21"/>
                <w:szCs w:val="21"/>
                <w:highlight w:val="none"/>
                <w:lang w:val="en-US" w:eastAsia="zh-CN" w:bidi="ar-SA"/>
              </w:rPr>
              <w:t>6</w:t>
            </w:r>
            <w:r>
              <w:rPr>
                <w:rFonts w:hint="default" w:ascii="Times New Roman" w:hAnsi="Times New Roman" w:eastAsia="宋体" w:cs="Times New Roman"/>
                <w:b/>
                <w:color w:val="auto"/>
                <w:kern w:val="44"/>
                <w:sz w:val="21"/>
                <w:szCs w:val="21"/>
                <w:highlight w:val="none"/>
                <w:lang w:val="en-US" w:eastAsia="zh-CN" w:bidi="ar-SA"/>
              </w:rPr>
              <w:t xml:space="preserve"> </w:t>
            </w:r>
            <w:r>
              <w:rPr>
                <w:rFonts w:hint="eastAsia" w:ascii="Times New Roman" w:hAnsi="Times New Roman" w:eastAsia="宋体" w:cs="Times New Roman"/>
                <w:b/>
                <w:color w:val="auto"/>
                <w:kern w:val="44"/>
                <w:sz w:val="21"/>
                <w:szCs w:val="21"/>
                <w:highlight w:val="none"/>
                <w:lang w:val="en-US" w:eastAsia="zh-CN" w:bidi="ar-SA"/>
              </w:rPr>
              <w:t xml:space="preserve"> 环境空气</w:t>
            </w:r>
            <w:r>
              <w:rPr>
                <w:rFonts w:hint="default" w:ascii="Times New Roman" w:hAnsi="Times New Roman" w:eastAsia="宋体" w:cs="Times New Roman"/>
                <w:b/>
                <w:color w:val="auto"/>
                <w:kern w:val="44"/>
                <w:sz w:val="21"/>
                <w:szCs w:val="21"/>
                <w:highlight w:val="none"/>
                <w:lang w:val="en-US" w:eastAsia="zh-CN" w:bidi="ar-SA"/>
              </w:rPr>
              <w:t>保护目标一览表</w:t>
            </w:r>
          </w:p>
          <w:tbl>
            <w:tblPr>
              <w:tblStyle w:val="20"/>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83"/>
              <w:gridCol w:w="863"/>
              <w:gridCol w:w="955"/>
              <w:gridCol w:w="982"/>
              <w:gridCol w:w="745"/>
              <w:gridCol w:w="1766"/>
              <w:gridCol w:w="737"/>
              <w:gridCol w:w="934"/>
            </w:tblGrid>
            <w:tr w14:paraId="39527D2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017" w:type="pct"/>
                  <w:vMerge w:val="restart"/>
                  <w:tcBorders>
                    <w:tl2br w:val="nil"/>
                    <w:tr2bl w:val="nil"/>
                  </w:tcBorders>
                  <w:noWrap w:val="0"/>
                  <w:vAlign w:val="center"/>
                </w:tcPr>
                <w:p w14:paraId="4564F0BF">
                  <w:pPr>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名称</w:t>
                  </w:r>
                </w:p>
              </w:tc>
              <w:tc>
                <w:tcPr>
                  <w:tcW w:w="1037" w:type="pct"/>
                  <w:gridSpan w:val="2"/>
                  <w:tcBorders>
                    <w:tl2br w:val="nil"/>
                    <w:tr2bl w:val="nil"/>
                  </w:tcBorders>
                  <w:noWrap w:val="0"/>
                  <w:vAlign w:val="center"/>
                </w:tcPr>
                <w:p w14:paraId="1000DE5B">
                  <w:pPr>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坐标/m</w:t>
                  </w:r>
                </w:p>
              </w:tc>
              <w:tc>
                <w:tcPr>
                  <w:tcW w:w="560" w:type="pct"/>
                  <w:vMerge w:val="restart"/>
                  <w:tcBorders>
                    <w:tl2br w:val="nil"/>
                    <w:tr2bl w:val="nil"/>
                  </w:tcBorders>
                  <w:noWrap w:val="0"/>
                  <w:vAlign w:val="center"/>
                </w:tcPr>
                <w:p w14:paraId="3D253F58">
                  <w:pPr>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保护</w:t>
                  </w:r>
                  <w:r>
                    <w:rPr>
                      <w:rFonts w:hint="eastAsia" w:ascii="Times New Roman" w:hAnsi="Times New Roman" w:eastAsia="宋体" w:cs="Times New Roman"/>
                      <w:b/>
                      <w:bCs/>
                      <w:color w:val="auto"/>
                      <w:sz w:val="21"/>
                      <w:szCs w:val="21"/>
                      <w:highlight w:val="none"/>
                      <w:lang w:val="en-US" w:eastAsia="zh-CN"/>
                    </w:rPr>
                    <w:t>对象</w:t>
                  </w:r>
                </w:p>
              </w:tc>
              <w:tc>
                <w:tcPr>
                  <w:tcW w:w="424" w:type="pct"/>
                  <w:vMerge w:val="restart"/>
                  <w:tcBorders>
                    <w:tl2br w:val="nil"/>
                    <w:tr2bl w:val="nil"/>
                  </w:tcBorders>
                  <w:noWrap w:val="0"/>
                  <w:vAlign w:val="center"/>
                </w:tcPr>
                <w:p w14:paraId="044BDC63">
                  <w:pPr>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保护内容</w:t>
                  </w:r>
                </w:p>
              </w:tc>
              <w:tc>
                <w:tcPr>
                  <w:tcW w:w="1007" w:type="pct"/>
                  <w:vMerge w:val="restart"/>
                  <w:tcBorders>
                    <w:tl2br w:val="nil"/>
                    <w:tr2bl w:val="nil"/>
                  </w:tcBorders>
                  <w:noWrap w:val="0"/>
                  <w:vAlign w:val="center"/>
                </w:tcPr>
                <w:p w14:paraId="5783A548">
                  <w:pPr>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环境功能区</w:t>
                  </w:r>
                </w:p>
              </w:tc>
              <w:tc>
                <w:tcPr>
                  <w:tcW w:w="420" w:type="pct"/>
                  <w:vMerge w:val="restart"/>
                  <w:tcBorders>
                    <w:tl2br w:val="nil"/>
                    <w:tr2bl w:val="nil"/>
                  </w:tcBorders>
                  <w:noWrap w:val="0"/>
                  <w:vAlign w:val="center"/>
                </w:tcPr>
                <w:p w14:paraId="502ED7A9">
                  <w:pPr>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相对厂址方位</w:t>
                  </w:r>
                </w:p>
              </w:tc>
              <w:tc>
                <w:tcPr>
                  <w:tcW w:w="532" w:type="pct"/>
                  <w:vMerge w:val="restart"/>
                  <w:tcBorders>
                    <w:tl2br w:val="nil"/>
                    <w:tr2bl w:val="nil"/>
                  </w:tcBorders>
                  <w:noWrap w:val="0"/>
                  <w:vAlign w:val="center"/>
                </w:tcPr>
                <w:p w14:paraId="5208BE57">
                  <w:pPr>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相对厂界最近距离</w:t>
                  </w:r>
                  <w:r>
                    <w:rPr>
                      <w:rFonts w:hint="eastAsia" w:ascii="Times New Roman" w:hAnsi="Times New Roman" w:eastAsia="宋体" w:cs="Times New Roman"/>
                      <w:b/>
                      <w:bCs/>
                      <w:color w:val="auto"/>
                      <w:sz w:val="21"/>
                      <w:szCs w:val="21"/>
                      <w:highlight w:val="none"/>
                      <w:lang w:val="en-US" w:eastAsia="zh-CN"/>
                    </w:rPr>
                    <w:t>/m</w:t>
                  </w:r>
                </w:p>
              </w:tc>
            </w:tr>
            <w:tr w14:paraId="1A8882F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7" w:type="pct"/>
                  <w:vMerge w:val="continue"/>
                  <w:tcBorders>
                    <w:tl2br w:val="nil"/>
                    <w:tr2bl w:val="nil"/>
                  </w:tcBorders>
                  <w:noWrap w:val="0"/>
                  <w:vAlign w:val="center"/>
                </w:tcPr>
                <w:p w14:paraId="6FA8B0B7">
                  <w:pPr>
                    <w:jc w:val="center"/>
                    <w:rPr>
                      <w:rFonts w:hint="default" w:ascii="Times New Roman" w:hAnsi="Times New Roman" w:eastAsia="宋体" w:cs="Times New Roman"/>
                      <w:b/>
                      <w:bCs/>
                      <w:color w:val="auto"/>
                      <w:sz w:val="21"/>
                      <w:szCs w:val="21"/>
                      <w:highlight w:val="none"/>
                      <w:lang w:val="en-US" w:eastAsia="zh-CN"/>
                    </w:rPr>
                  </w:pPr>
                </w:p>
              </w:tc>
              <w:tc>
                <w:tcPr>
                  <w:tcW w:w="492" w:type="pct"/>
                  <w:tcBorders>
                    <w:tl2br w:val="nil"/>
                    <w:tr2bl w:val="nil"/>
                  </w:tcBorders>
                  <w:noWrap w:val="0"/>
                  <w:vAlign w:val="center"/>
                </w:tcPr>
                <w:p w14:paraId="07B34F0C">
                  <w:pPr>
                    <w:jc w:val="center"/>
                    <w:rPr>
                      <w:rFonts w:hint="default" w:ascii="Times New Roman" w:hAnsi="Times New Roman" w:eastAsia="宋体" w:cs="Times New Roman"/>
                      <w:b/>
                      <w:bCs/>
                      <w:i/>
                      <w:iCs/>
                      <w:color w:val="auto"/>
                      <w:sz w:val="21"/>
                      <w:szCs w:val="21"/>
                      <w:highlight w:val="none"/>
                      <w:lang w:val="en-US" w:eastAsia="zh-CN"/>
                    </w:rPr>
                  </w:pPr>
                  <w:r>
                    <w:rPr>
                      <w:rFonts w:hint="eastAsia" w:cs="Times New Roman"/>
                      <w:b/>
                      <w:bCs/>
                      <w:i/>
                      <w:iCs/>
                      <w:color w:val="auto"/>
                      <w:sz w:val="21"/>
                      <w:szCs w:val="21"/>
                      <w:highlight w:val="none"/>
                      <w:lang w:val="en-US" w:eastAsia="zh-CN"/>
                    </w:rPr>
                    <w:t>X</w:t>
                  </w:r>
                </w:p>
              </w:tc>
              <w:tc>
                <w:tcPr>
                  <w:tcW w:w="544" w:type="pct"/>
                  <w:tcBorders>
                    <w:tl2br w:val="nil"/>
                    <w:tr2bl w:val="nil"/>
                  </w:tcBorders>
                  <w:noWrap w:val="0"/>
                  <w:vAlign w:val="center"/>
                </w:tcPr>
                <w:p w14:paraId="0B5F724E">
                  <w:pPr>
                    <w:jc w:val="center"/>
                    <w:rPr>
                      <w:rFonts w:hint="default" w:ascii="Times New Roman" w:hAnsi="Times New Roman" w:eastAsia="宋体" w:cs="Times New Roman"/>
                      <w:b/>
                      <w:bCs/>
                      <w:i/>
                      <w:iCs/>
                      <w:color w:val="auto"/>
                      <w:sz w:val="21"/>
                      <w:szCs w:val="21"/>
                      <w:highlight w:val="none"/>
                      <w:lang w:val="en-US" w:eastAsia="zh-CN"/>
                    </w:rPr>
                  </w:pPr>
                  <w:r>
                    <w:rPr>
                      <w:rFonts w:hint="eastAsia" w:cs="Times New Roman"/>
                      <w:b/>
                      <w:bCs/>
                      <w:i/>
                      <w:iCs/>
                      <w:color w:val="auto"/>
                      <w:sz w:val="21"/>
                      <w:szCs w:val="21"/>
                      <w:highlight w:val="none"/>
                      <w:lang w:val="en-US" w:eastAsia="zh-CN"/>
                    </w:rPr>
                    <w:t>Y</w:t>
                  </w:r>
                </w:p>
              </w:tc>
              <w:tc>
                <w:tcPr>
                  <w:tcW w:w="560" w:type="pct"/>
                  <w:vMerge w:val="continue"/>
                  <w:tcBorders>
                    <w:tl2br w:val="nil"/>
                    <w:tr2bl w:val="nil"/>
                  </w:tcBorders>
                  <w:noWrap w:val="0"/>
                  <w:vAlign w:val="center"/>
                </w:tcPr>
                <w:p w14:paraId="185AB47C">
                  <w:pPr>
                    <w:jc w:val="center"/>
                    <w:rPr>
                      <w:rFonts w:hint="default" w:ascii="Times New Roman" w:hAnsi="Times New Roman" w:eastAsia="宋体" w:cs="Times New Roman"/>
                      <w:b/>
                      <w:bCs/>
                      <w:color w:val="auto"/>
                      <w:sz w:val="21"/>
                      <w:szCs w:val="21"/>
                      <w:highlight w:val="none"/>
                      <w:lang w:val="en-US" w:eastAsia="zh-CN"/>
                    </w:rPr>
                  </w:pPr>
                </w:p>
              </w:tc>
              <w:tc>
                <w:tcPr>
                  <w:tcW w:w="424" w:type="pct"/>
                  <w:vMerge w:val="continue"/>
                  <w:tcBorders>
                    <w:tl2br w:val="nil"/>
                    <w:tr2bl w:val="nil"/>
                  </w:tcBorders>
                  <w:noWrap w:val="0"/>
                  <w:vAlign w:val="center"/>
                </w:tcPr>
                <w:p w14:paraId="027BF9FB">
                  <w:pPr>
                    <w:jc w:val="center"/>
                    <w:rPr>
                      <w:rFonts w:hint="default" w:ascii="Times New Roman" w:hAnsi="Times New Roman" w:eastAsia="宋体" w:cs="Times New Roman"/>
                      <w:b/>
                      <w:bCs/>
                      <w:color w:val="auto"/>
                      <w:sz w:val="21"/>
                      <w:szCs w:val="21"/>
                      <w:highlight w:val="none"/>
                      <w:lang w:val="en-US" w:eastAsia="zh-CN"/>
                    </w:rPr>
                  </w:pPr>
                </w:p>
              </w:tc>
              <w:tc>
                <w:tcPr>
                  <w:tcW w:w="1007" w:type="pct"/>
                  <w:vMerge w:val="continue"/>
                  <w:tcBorders>
                    <w:tl2br w:val="nil"/>
                    <w:tr2bl w:val="nil"/>
                  </w:tcBorders>
                  <w:noWrap w:val="0"/>
                  <w:vAlign w:val="center"/>
                </w:tcPr>
                <w:p w14:paraId="6B7F0BB5">
                  <w:pPr>
                    <w:jc w:val="center"/>
                    <w:rPr>
                      <w:rFonts w:hint="default" w:ascii="Times New Roman" w:hAnsi="Times New Roman" w:eastAsia="宋体" w:cs="Times New Roman"/>
                      <w:b/>
                      <w:bCs/>
                      <w:color w:val="auto"/>
                      <w:sz w:val="21"/>
                      <w:szCs w:val="21"/>
                      <w:highlight w:val="none"/>
                      <w:lang w:val="en-US" w:eastAsia="zh-CN"/>
                    </w:rPr>
                  </w:pPr>
                </w:p>
              </w:tc>
              <w:tc>
                <w:tcPr>
                  <w:tcW w:w="420" w:type="pct"/>
                  <w:vMerge w:val="continue"/>
                  <w:tcBorders>
                    <w:tl2br w:val="nil"/>
                    <w:tr2bl w:val="nil"/>
                  </w:tcBorders>
                  <w:noWrap w:val="0"/>
                  <w:vAlign w:val="center"/>
                </w:tcPr>
                <w:p w14:paraId="336415F1">
                  <w:pPr>
                    <w:jc w:val="center"/>
                    <w:rPr>
                      <w:rFonts w:hint="default" w:ascii="Times New Roman" w:hAnsi="Times New Roman" w:eastAsia="宋体" w:cs="Times New Roman"/>
                      <w:b/>
                      <w:bCs/>
                      <w:color w:val="auto"/>
                      <w:sz w:val="21"/>
                      <w:szCs w:val="21"/>
                      <w:highlight w:val="none"/>
                      <w:lang w:val="en-US" w:eastAsia="zh-CN"/>
                    </w:rPr>
                  </w:pPr>
                </w:p>
              </w:tc>
              <w:tc>
                <w:tcPr>
                  <w:tcW w:w="532" w:type="pct"/>
                  <w:vMerge w:val="continue"/>
                  <w:tcBorders>
                    <w:tl2br w:val="nil"/>
                    <w:tr2bl w:val="nil"/>
                  </w:tcBorders>
                  <w:noWrap w:val="0"/>
                  <w:vAlign w:val="center"/>
                </w:tcPr>
                <w:p w14:paraId="640E9F97">
                  <w:pPr>
                    <w:jc w:val="center"/>
                    <w:rPr>
                      <w:rFonts w:hint="default" w:ascii="Times New Roman" w:hAnsi="Times New Roman" w:eastAsia="宋体" w:cs="Times New Roman"/>
                      <w:b/>
                      <w:bCs/>
                      <w:color w:val="auto"/>
                      <w:sz w:val="21"/>
                      <w:szCs w:val="21"/>
                      <w:highlight w:val="none"/>
                      <w:lang w:val="en-US" w:eastAsia="zh-CN"/>
                    </w:rPr>
                  </w:pPr>
                </w:p>
              </w:tc>
            </w:tr>
            <w:tr w14:paraId="2434008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017" w:type="pct"/>
                  <w:tcBorders>
                    <w:tl2br w:val="nil"/>
                    <w:tr2bl w:val="nil"/>
                  </w:tcBorders>
                  <w:noWrap w:val="0"/>
                  <w:vAlign w:val="center"/>
                </w:tcPr>
                <w:p w14:paraId="504106B8">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东侧居民区</w:t>
                  </w:r>
                </w:p>
              </w:tc>
              <w:tc>
                <w:tcPr>
                  <w:tcW w:w="492" w:type="pct"/>
                  <w:tcBorders>
                    <w:tl2br w:val="nil"/>
                    <w:tr2bl w:val="nil"/>
                  </w:tcBorders>
                  <w:noWrap w:val="0"/>
                  <w:vAlign w:val="center"/>
                </w:tcPr>
                <w:p w14:paraId="04565CC6">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130.54</w:t>
                  </w:r>
                </w:p>
              </w:tc>
              <w:tc>
                <w:tcPr>
                  <w:tcW w:w="544" w:type="pct"/>
                  <w:tcBorders>
                    <w:tl2br w:val="nil"/>
                    <w:tr2bl w:val="nil"/>
                  </w:tcBorders>
                  <w:noWrap w:val="0"/>
                  <w:vAlign w:val="center"/>
                </w:tcPr>
                <w:p w14:paraId="1C922934">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82.93</w:t>
                  </w:r>
                </w:p>
              </w:tc>
              <w:tc>
                <w:tcPr>
                  <w:tcW w:w="560" w:type="pct"/>
                  <w:vMerge w:val="restart"/>
                  <w:tcBorders>
                    <w:tl2br w:val="nil"/>
                    <w:tr2bl w:val="nil"/>
                  </w:tcBorders>
                  <w:noWrap w:val="0"/>
                  <w:vAlign w:val="center"/>
                </w:tcPr>
                <w:p w14:paraId="5A60F5D1">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居住区</w:t>
                  </w:r>
                </w:p>
              </w:tc>
              <w:tc>
                <w:tcPr>
                  <w:tcW w:w="424" w:type="pct"/>
                  <w:vMerge w:val="restart"/>
                  <w:tcBorders>
                    <w:tl2br w:val="nil"/>
                    <w:tr2bl w:val="nil"/>
                  </w:tcBorders>
                  <w:noWrap w:val="0"/>
                  <w:vAlign w:val="center"/>
                </w:tcPr>
                <w:p w14:paraId="6BE772BD">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人群</w:t>
                  </w:r>
                </w:p>
              </w:tc>
              <w:tc>
                <w:tcPr>
                  <w:tcW w:w="1007" w:type="pct"/>
                  <w:vMerge w:val="restart"/>
                  <w:tcBorders>
                    <w:tl2br w:val="nil"/>
                    <w:tr2bl w:val="nil"/>
                  </w:tcBorders>
                  <w:noWrap w:val="0"/>
                  <w:vAlign w:val="center"/>
                </w:tcPr>
                <w:p w14:paraId="689A65A6">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《环境空气质量标准》（GB3095-</w:t>
                  </w:r>
                  <w:r>
                    <w:rPr>
                      <w:rFonts w:hint="eastAsia" w:ascii="Times New Roman" w:hAnsi="Times New Roman" w:eastAsia="宋体" w:cs="Times New Roman"/>
                      <w:color w:val="auto"/>
                      <w:sz w:val="21"/>
                      <w:szCs w:val="21"/>
                      <w:highlight w:val="none"/>
                      <w:lang w:val="en-US" w:eastAsia="zh-CN"/>
                    </w:rPr>
                    <w:t>2026</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中二类区</w:t>
                  </w:r>
                </w:p>
              </w:tc>
              <w:tc>
                <w:tcPr>
                  <w:tcW w:w="420" w:type="pct"/>
                  <w:tcBorders>
                    <w:tl2br w:val="nil"/>
                    <w:tr2bl w:val="nil"/>
                  </w:tcBorders>
                  <w:noWrap w:val="0"/>
                  <w:vAlign w:val="center"/>
                </w:tcPr>
                <w:p w14:paraId="01F6AB18">
                  <w:pPr>
                    <w:pStyle w:val="49"/>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E</w:t>
                  </w:r>
                </w:p>
              </w:tc>
              <w:tc>
                <w:tcPr>
                  <w:tcW w:w="532" w:type="pct"/>
                  <w:tcBorders>
                    <w:tl2br w:val="nil"/>
                    <w:tr2bl w:val="nil"/>
                  </w:tcBorders>
                  <w:noWrap w:val="0"/>
                  <w:vAlign w:val="center"/>
                </w:tcPr>
                <w:p w14:paraId="0060998B">
                  <w:pPr>
                    <w:pStyle w:val="49"/>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48</w:t>
                  </w:r>
                </w:p>
              </w:tc>
            </w:tr>
            <w:tr w14:paraId="25F71E0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017" w:type="pct"/>
                  <w:tcBorders>
                    <w:tl2br w:val="nil"/>
                    <w:tr2bl w:val="nil"/>
                  </w:tcBorders>
                  <w:noWrap w:val="0"/>
                  <w:vAlign w:val="center"/>
                </w:tcPr>
                <w:p w14:paraId="36D12E34">
                  <w:pPr>
                    <w:widowControl/>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开发路东侧居民区</w:t>
                  </w:r>
                </w:p>
              </w:tc>
              <w:tc>
                <w:tcPr>
                  <w:tcW w:w="492" w:type="pct"/>
                  <w:tcBorders>
                    <w:tl2br w:val="nil"/>
                    <w:tr2bl w:val="nil"/>
                  </w:tcBorders>
                  <w:noWrap w:val="0"/>
                  <w:vAlign w:val="center"/>
                </w:tcPr>
                <w:p w14:paraId="532227BD">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255.71</w:t>
                  </w:r>
                </w:p>
              </w:tc>
              <w:tc>
                <w:tcPr>
                  <w:tcW w:w="544" w:type="pct"/>
                  <w:tcBorders>
                    <w:tl2br w:val="nil"/>
                    <w:tr2bl w:val="nil"/>
                  </w:tcBorders>
                  <w:noWrap w:val="0"/>
                  <w:vAlign w:val="center"/>
                </w:tcPr>
                <w:p w14:paraId="46654BF9">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108.05</w:t>
                  </w:r>
                </w:p>
              </w:tc>
              <w:tc>
                <w:tcPr>
                  <w:tcW w:w="560" w:type="pct"/>
                  <w:vMerge w:val="continue"/>
                  <w:tcBorders>
                    <w:tl2br w:val="nil"/>
                    <w:tr2bl w:val="nil"/>
                  </w:tcBorders>
                  <w:noWrap w:val="0"/>
                  <w:vAlign w:val="center"/>
                </w:tcPr>
                <w:p w14:paraId="21336526">
                  <w:pPr>
                    <w:jc w:val="center"/>
                    <w:rPr>
                      <w:rFonts w:hint="eastAsia" w:cs="Times New Roman"/>
                      <w:color w:val="auto"/>
                      <w:sz w:val="21"/>
                      <w:szCs w:val="21"/>
                      <w:highlight w:val="none"/>
                      <w:lang w:val="en-US" w:eastAsia="zh-CN"/>
                    </w:rPr>
                  </w:pPr>
                </w:p>
              </w:tc>
              <w:tc>
                <w:tcPr>
                  <w:tcW w:w="424" w:type="pct"/>
                  <w:vMerge w:val="continue"/>
                  <w:tcBorders>
                    <w:tl2br w:val="nil"/>
                    <w:tr2bl w:val="nil"/>
                  </w:tcBorders>
                  <w:noWrap w:val="0"/>
                  <w:vAlign w:val="center"/>
                </w:tcPr>
                <w:p w14:paraId="0B3A648A">
                  <w:pPr>
                    <w:jc w:val="center"/>
                    <w:rPr>
                      <w:rFonts w:hint="default" w:ascii="Times New Roman" w:hAnsi="Times New Roman" w:eastAsia="宋体" w:cs="Times New Roman"/>
                      <w:color w:val="auto"/>
                      <w:sz w:val="21"/>
                      <w:szCs w:val="21"/>
                      <w:highlight w:val="none"/>
                      <w:lang w:val="en-US" w:eastAsia="zh-CN"/>
                    </w:rPr>
                  </w:pPr>
                </w:p>
              </w:tc>
              <w:tc>
                <w:tcPr>
                  <w:tcW w:w="1007" w:type="pct"/>
                  <w:vMerge w:val="continue"/>
                  <w:tcBorders>
                    <w:tl2br w:val="nil"/>
                    <w:tr2bl w:val="nil"/>
                  </w:tcBorders>
                  <w:noWrap w:val="0"/>
                  <w:vAlign w:val="center"/>
                </w:tcPr>
                <w:p w14:paraId="449598AD">
                  <w:pPr>
                    <w:jc w:val="center"/>
                    <w:rPr>
                      <w:rFonts w:hint="default" w:ascii="Times New Roman" w:hAnsi="Times New Roman" w:eastAsia="宋体" w:cs="Times New Roman"/>
                      <w:color w:val="auto"/>
                      <w:sz w:val="21"/>
                      <w:szCs w:val="21"/>
                      <w:highlight w:val="none"/>
                      <w:lang w:val="en-US" w:eastAsia="zh-CN"/>
                    </w:rPr>
                  </w:pPr>
                </w:p>
              </w:tc>
              <w:tc>
                <w:tcPr>
                  <w:tcW w:w="420" w:type="pct"/>
                  <w:tcBorders>
                    <w:tl2br w:val="nil"/>
                    <w:tr2bl w:val="nil"/>
                  </w:tcBorders>
                  <w:noWrap w:val="0"/>
                  <w:vAlign w:val="center"/>
                </w:tcPr>
                <w:p w14:paraId="7D0BB6B9">
                  <w:pPr>
                    <w:pStyle w:val="49"/>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E</w:t>
                  </w:r>
                </w:p>
              </w:tc>
              <w:tc>
                <w:tcPr>
                  <w:tcW w:w="532" w:type="pct"/>
                  <w:tcBorders>
                    <w:tl2br w:val="nil"/>
                    <w:tr2bl w:val="nil"/>
                  </w:tcBorders>
                  <w:noWrap w:val="0"/>
                  <w:vAlign w:val="center"/>
                </w:tcPr>
                <w:p w14:paraId="1A020281">
                  <w:pPr>
                    <w:pStyle w:val="49"/>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175</w:t>
                  </w:r>
                </w:p>
              </w:tc>
            </w:tr>
            <w:tr w14:paraId="2934A7B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017" w:type="pct"/>
                  <w:tcBorders>
                    <w:tl2br w:val="nil"/>
                    <w:tr2bl w:val="nil"/>
                  </w:tcBorders>
                  <w:noWrap w:val="0"/>
                  <w:vAlign w:val="center"/>
                </w:tcPr>
                <w:p w14:paraId="1C74EE6E">
                  <w:pPr>
                    <w:widowControl/>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东河村</w:t>
                  </w:r>
                </w:p>
              </w:tc>
              <w:tc>
                <w:tcPr>
                  <w:tcW w:w="492" w:type="pct"/>
                  <w:tcBorders>
                    <w:tl2br w:val="nil"/>
                    <w:tr2bl w:val="nil"/>
                  </w:tcBorders>
                  <w:noWrap w:val="0"/>
                  <w:vAlign w:val="center"/>
                </w:tcPr>
                <w:p w14:paraId="218432C0">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264.83</w:t>
                  </w:r>
                </w:p>
              </w:tc>
              <w:tc>
                <w:tcPr>
                  <w:tcW w:w="544" w:type="pct"/>
                  <w:tcBorders>
                    <w:tl2br w:val="nil"/>
                    <w:tr2bl w:val="nil"/>
                  </w:tcBorders>
                  <w:noWrap w:val="0"/>
                  <w:vAlign w:val="center"/>
                </w:tcPr>
                <w:p w14:paraId="277DBB56">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-139.40</w:t>
                  </w:r>
                </w:p>
              </w:tc>
              <w:tc>
                <w:tcPr>
                  <w:tcW w:w="560" w:type="pct"/>
                  <w:vMerge w:val="continue"/>
                  <w:tcBorders>
                    <w:tl2br w:val="nil"/>
                    <w:tr2bl w:val="nil"/>
                  </w:tcBorders>
                  <w:noWrap w:val="0"/>
                  <w:vAlign w:val="center"/>
                </w:tcPr>
                <w:p w14:paraId="7CC42936">
                  <w:pPr>
                    <w:jc w:val="center"/>
                    <w:rPr>
                      <w:rFonts w:hint="eastAsia" w:cs="Times New Roman"/>
                      <w:color w:val="auto"/>
                      <w:sz w:val="21"/>
                      <w:szCs w:val="21"/>
                      <w:highlight w:val="none"/>
                      <w:lang w:val="en-US" w:eastAsia="zh-CN"/>
                    </w:rPr>
                  </w:pPr>
                </w:p>
              </w:tc>
              <w:tc>
                <w:tcPr>
                  <w:tcW w:w="424" w:type="pct"/>
                  <w:vMerge w:val="continue"/>
                  <w:tcBorders>
                    <w:tl2br w:val="nil"/>
                    <w:tr2bl w:val="nil"/>
                  </w:tcBorders>
                  <w:noWrap w:val="0"/>
                  <w:vAlign w:val="center"/>
                </w:tcPr>
                <w:p w14:paraId="25C041CC">
                  <w:pPr>
                    <w:jc w:val="center"/>
                    <w:rPr>
                      <w:rFonts w:hint="default" w:ascii="Times New Roman" w:hAnsi="Times New Roman" w:eastAsia="宋体" w:cs="Times New Roman"/>
                      <w:color w:val="auto"/>
                      <w:sz w:val="21"/>
                      <w:szCs w:val="21"/>
                      <w:highlight w:val="none"/>
                      <w:lang w:val="en-US" w:eastAsia="zh-CN"/>
                    </w:rPr>
                  </w:pPr>
                </w:p>
              </w:tc>
              <w:tc>
                <w:tcPr>
                  <w:tcW w:w="1007" w:type="pct"/>
                  <w:vMerge w:val="continue"/>
                  <w:tcBorders>
                    <w:tl2br w:val="nil"/>
                    <w:tr2bl w:val="nil"/>
                  </w:tcBorders>
                  <w:noWrap w:val="0"/>
                  <w:vAlign w:val="center"/>
                </w:tcPr>
                <w:p w14:paraId="01A100D6">
                  <w:pPr>
                    <w:jc w:val="center"/>
                    <w:rPr>
                      <w:rFonts w:hint="default" w:ascii="Times New Roman" w:hAnsi="Times New Roman" w:eastAsia="宋体" w:cs="Times New Roman"/>
                      <w:color w:val="auto"/>
                      <w:sz w:val="21"/>
                      <w:szCs w:val="21"/>
                      <w:highlight w:val="none"/>
                      <w:lang w:val="en-US" w:eastAsia="zh-CN"/>
                    </w:rPr>
                  </w:pPr>
                </w:p>
              </w:tc>
              <w:tc>
                <w:tcPr>
                  <w:tcW w:w="420" w:type="pct"/>
                  <w:tcBorders>
                    <w:tl2br w:val="nil"/>
                    <w:tr2bl w:val="nil"/>
                  </w:tcBorders>
                  <w:noWrap w:val="0"/>
                  <w:vAlign w:val="center"/>
                </w:tcPr>
                <w:p w14:paraId="3598947E">
                  <w:pPr>
                    <w:pStyle w:val="49"/>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SE</w:t>
                  </w:r>
                </w:p>
              </w:tc>
              <w:tc>
                <w:tcPr>
                  <w:tcW w:w="532" w:type="pct"/>
                  <w:tcBorders>
                    <w:tl2br w:val="nil"/>
                    <w:tr2bl w:val="nil"/>
                  </w:tcBorders>
                  <w:noWrap w:val="0"/>
                  <w:vAlign w:val="center"/>
                </w:tcPr>
                <w:p w14:paraId="587CC489">
                  <w:pPr>
                    <w:pStyle w:val="49"/>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310</w:t>
                  </w:r>
                </w:p>
              </w:tc>
            </w:tr>
            <w:tr w14:paraId="0A3FA80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017" w:type="pct"/>
                  <w:tcBorders>
                    <w:tl2br w:val="nil"/>
                    <w:tr2bl w:val="nil"/>
                  </w:tcBorders>
                  <w:noWrap w:val="0"/>
                  <w:vAlign w:val="center"/>
                </w:tcPr>
                <w:p w14:paraId="45847C19">
                  <w:pPr>
                    <w:widowControl/>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东河村东南侧居民区</w:t>
                  </w:r>
                </w:p>
              </w:tc>
              <w:tc>
                <w:tcPr>
                  <w:tcW w:w="492" w:type="pct"/>
                  <w:tcBorders>
                    <w:tl2br w:val="nil"/>
                    <w:tr2bl w:val="nil"/>
                  </w:tcBorders>
                  <w:noWrap w:val="0"/>
                  <w:vAlign w:val="center"/>
                </w:tcPr>
                <w:p w14:paraId="49DC18D8">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409.45</w:t>
                  </w:r>
                </w:p>
              </w:tc>
              <w:tc>
                <w:tcPr>
                  <w:tcW w:w="544" w:type="pct"/>
                  <w:tcBorders>
                    <w:tl2br w:val="nil"/>
                    <w:tr2bl w:val="nil"/>
                  </w:tcBorders>
                  <w:noWrap w:val="0"/>
                  <w:vAlign w:val="center"/>
                </w:tcPr>
                <w:p w14:paraId="0F21E138">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-213.54</w:t>
                  </w:r>
                </w:p>
              </w:tc>
              <w:tc>
                <w:tcPr>
                  <w:tcW w:w="560" w:type="pct"/>
                  <w:vMerge w:val="continue"/>
                  <w:tcBorders>
                    <w:tl2br w:val="nil"/>
                    <w:tr2bl w:val="nil"/>
                  </w:tcBorders>
                  <w:noWrap w:val="0"/>
                  <w:vAlign w:val="center"/>
                </w:tcPr>
                <w:p w14:paraId="02EB0B3D">
                  <w:pPr>
                    <w:jc w:val="center"/>
                    <w:rPr>
                      <w:rFonts w:hint="eastAsia" w:cs="Times New Roman"/>
                      <w:color w:val="auto"/>
                      <w:sz w:val="21"/>
                      <w:szCs w:val="21"/>
                      <w:highlight w:val="none"/>
                      <w:lang w:val="en-US" w:eastAsia="zh-CN"/>
                    </w:rPr>
                  </w:pPr>
                </w:p>
              </w:tc>
              <w:tc>
                <w:tcPr>
                  <w:tcW w:w="424" w:type="pct"/>
                  <w:vMerge w:val="continue"/>
                  <w:tcBorders>
                    <w:tl2br w:val="nil"/>
                    <w:tr2bl w:val="nil"/>
                  </w:tcBorders>
                  <w:noWrap w:val="0"/>
                  <w:vAlign w:val="center"/>
                </w:tcPr>
                <w:p w14:paraId="128221BD">
                  <w:pPr>
                    <w:jc w:val="center"/>
                    <w:rPr>
                      <w:rFonts w:hint="default" w:ascii="Times New Roman" w:hAnsi="Times New Roman" w:eastAsia="宋体" w:cs="Times New Roman"/>
                      <w:color w:val="auto"/>
                      <w:sz w:val="21"/>
                      <w:szCs w:val="21"/>
                      <w:highlight w:val="none"/>
                      <w:lang w:val="en-US" w:eastAsia="zh-CN"/>
                    </w:rPr>
                  </w:pPr>
                </w:p>
              </w:tc>
              <w:tc>
                <w:tcPr>
                  <w:tcW w:w="1007" w:type="pct"/>
                  <w:vMerge w:val="continue"/>
                  <w:tcBorders>
                    <w:tl2br w:val="nil"/>
                    <w:tr2bl w:val="nil"/>
                  </w:tcBorders>
                  <w:noWrap w:val="0"/>
                  <w:vAlign w:val="center"/>
                </w:tcPr>
                <w:p w14:paraId="36378729">
                  <w:pPr>
                    <w:jc w:val="center"/>
                    <w:rPr>
                      <w:rFonts w:hint="default" w:ascii="Times New Roman" w:hAnsi="Times New Roman" w:eastAsia="宋体" w:cs="Times New Roman"/>
                      <w:color w:val="auto"/>
                      <w:sz w:val="21"/>
                      <w:szCs w:val="21"/>
                      <w:highlight w:val="none"/>
                      <w:lang w:val="en-US" w:eastAsia="zh-CN"/>
                    </w:rPr>
                  </w:pPr>
                </w:p>
              </w:tc>
              <w:tc>
                <w:tcPr>
                  <w:tcW w:w="420" w:type="pct"/>
                  <w:tcBorders>
                    <w:tl2br w:val="nil"/>
                    <w:tr2bl w:val="nil"/>
                  </w:tcBorders>
                  <w:noWrap w:val="0"/>
                  <w:vAlign w:val="center"/>
                </w:tcPr>
                <w:p w14:paraId="61E01F23">
                  <w:pPr>
                    <w:pStyle w:val="49"/>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SE</w:t>
                  </w:r>
                </w:p>
              </w:tc>
              <w:tc>
                <w:tcPr>
                  <w:tcW w:w="532" w:type="pct"/>
                  <w:tcBorders>
                    <w:tl2br w:val="nil"/>
                    <w:tr2bl w:val="nil"/>
                  </w:tcBorders>
                  <w:noWrap w:val="0"/>
                  <w:vAlign w:val="center"/>
                </w:tcPr>
                <w:p w14:paraId="6877C153">
                  <w:pPr>
                    <w:pStyle w:val="49"/>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427</w:t>
                  </w:r>
                </w:p>
              </w:tc>
            </w:tr>
            <w:tr w14:paraId="3D12F27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017" w:type="pct"/>
                  <w:tcBorders>
                    <w:tl2br w:val="nil"/>
                    <w:tr2bl w:val="nil"/>
                  </w:tcBorders>
                  <w:noWrap w:val="0"/>
                  <w:vAlign w:val="center"/>
                </w:tcPr>
                <w:p w14:paraId="1B0224EB">
                  <w:pPr>
                    <w:widowControl/>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黑龙江大佳河省级自然保护区</w:t>
                  </w:r>
                </w:p>
              </w:tc>
              <w:tc>
                <w:tcPr>
                  <w:tcW w:w="492" w:type="pct"/>
                  <w:tcBorders>
                    <w:tl2br w:val="nil"/>
                    <w:tr2bl w:val="nil"/>
                  </w:tcBorders>
                  <w:noWrap w:val="0"/>
                  <w:vAlign w:val="center"/>
                </w:tcPr>
                <w:p w14:paraId="14E644AD">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108.71</w:t>
                  </w:r>
                </w:p>
              </w:tc>
              <w:tc>
                <w:tcPr>
                  <w:tcW w:w="544" w:type="pct"/>
                  <w:tcBorders>
                    <w:tl2br w:val="nil"/>
                    <w:tr2bl w:val="nil"/>
                  </w:tcBorders>
                  <w:noWrap w:val="0"/>
                  <w:vAlign w:val="center"/>
                </w:tcPr>
                <w:p w14:paraId="412500DC">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-107.07</w:t>
                  </w:r>
                </w:p>
              </w:tc>
              <w:tc>
                <w:tcPr>
                  <w:tcW w:w="560" w:type="pct"/>
                  <w:tcBorders>
                    <w:tl2br w:val="nil"/>
                    <w:tr2bl w:val="nil"/>
                  </w:tcBorders>
                  <w:noWrap w:val="0"/>
                  <w:vAlign w:val="center"/>
                </w:tcPr>
                <w:p w14:paraId="2319470B">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自然保护区</w:t>
                  </w:r>
                </w:p>
              </w:tc>
              <w:tc>
                <w:tcPr>
                  <w:tcW w:w="424" w:type="pct"/>
                  <w:vMerge w:val="restart"/>
                  <w:tcBorders>
                    <w:tl2br w:val="nil"/>
                    <w:tr2bl w:val="nil"/>
                  </w:tcBorders>
                  <w:noWrap w:val="0"/>
                  <w:vAlign w:val="center"/>
                </w:tcPr>
                <w:p w14:paraId="73EFCF4F">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景观、动植物及其生境</w:t>
                  </w:r>
                </w:p>
              </w:tc>
              <w:tc>
                <w:tcPr>
                  <w:tcW w:w="1007" w:type="pct"/>
                  <w:vMerge w:val="restart"/>
                  <w:tcBorders>
                    <w:tl2br w:val="nil"/>
                    <w:tr2bl w:val="nil"/>
                  </w:tcBorders>
                  <w:noWrap w:val="0"/>
                  <w:vAlign w:val="center"/>
                </w:tcPr>
                <w:p w14:paraId="0388EA2A">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《环境空气质量标准》（GB3095-</w:t>
                  </w:r>
                  <w:r>
                    <w:rPr>
                      <w:rFonts w:hint="eastAsia" w:ascii="Times New Roman" w:hAnsi="Times New Roman" w:eastAsia="宋体" w:cs="Times New Roman"/>
                      <w:color w:val="auto"/>
                      <w:sz w:val="21"/>
                      <w:szCs w:val="21"/>
                      <w:highlight w:val="none"/>
                      <w:lang w:val="en-US" w:eastAsia="zh-CN"/>
                    </w:rPr>
                    <w:t>2026</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中一类区</w:t>
                  </w:r>
                </w:p>
              </w:tc>
              <w:tc>
                <w:tcPr>
                  <w:tcW w:w="420" w:type="pct"/>
                  <w:tcBorders>
                    <w:tl2br w:val="nil"/>
                    <w:tr2bl w:val="nil"/>
                  </w:tcBorders>
                  <w:noWrap w:val="0"/>
                  <w:vAlign w:val="center"/>
                </w:tcPr>
                <w:p w14:paraId="03D3F18B">
                  <w:pPr>
                    <w:pStyle w:val="49"/>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NW</w:t>
                  </w:r>
                </w:p>
              </w:tc>
              <w:tc>
                <w:tcPr>
                  <w:tcW w:w="532" w:type="pct"/>
                  <w:tcBorders>
                    <w:tl2br w:val="nil"/>
                    <w:tr2bl w:val="nil"/>
                  </w:tcBorders>
                  <w:noWrap w:val="0"/>
                  <w:vAlign w:val="center"/>
                </w:tcPr>
                <w:p w14:paraId="5FBB0C61">
                  <w:pPr>
                    <w:pStyle w:val="49"/>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90</w:t>
                  </w:r>
                </w:p>
              </w:tc>
            </w:tr>
            <w:tr w14:paraId="651B696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017" w:type="pct"/>
                  <w:tcBorders>
                    <w:tl2br w:val="nil"/>
                    <w:tr2bl w:val="nil"/>
                  </w:tcBorders>
                  <w:noWrap w:val="0"/>
                  <w:vAlign w:val="center"/>
                </w:tcPr>
                <w:p w14:paraId="6DE71AE1">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乌苏里江风景名胜区</w:t>
                  </w:r>
                </w:p>
              </w:tc>
              <w:tc>
                <w:tcPr>
                  <w:tcW w:w="492" w:type="pct"/>
                  <w:tcBorders>
                    <w:tl2br w:val="nil"/>
                    <w:tr2bl w:val="nil"/>
                  </w:tcBorders>
                  <w:noWrap w:val="0"/>
                  <w:vAlign w:val="center"/>
                </w:tcPr>
                <w:p w14:paraId="3DAF61B1">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500.87</w:t>
                  </w:r>
                </w:p>
              </w:tc>
              <w:tc>
                <w:tcPr>
                  <w:tcW w:w="544" w:type="pct"/>
                  <w:tcBorders>
                    <w:tl2br w:val="nil"/>
                    <w:tr2bl w:val="nil"/>
                  </w:tcBorders>
                  <w:noWrap w:val="0"/>
                  <w:vAlign w:val="center"/>
                </w:tcPr>
                <w:p w14:paraId="62C8CB3E">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80.09</w:t>
                  </w:r>
                </w:p>
              </w:tc>
              <w:tc>
                <w:tcPr>
                  <w:tcW w:w="560" w:type="pct"/>
                  <w:tcBorders>
                    <w:tl2br w:val="nil"/>
                    <w:tr2bl w:val="nil"/>
                  </w:tcBorders>
                  <w:noWrap w:val="0"/>
                  <w:vAlign w:val="center"/>
                </w:tcPr>
                <w:p w14:paraId="250B52FF">
                  <w:pPr>
                    <w:widowControl/>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风景名胜区</w:t>
                  </w:r>
                </w:p>
              </w:tc>
              <w:tc>
                <w:tcPr>
                  <w:tcW w:w="424" w:type="pct"/>
                  <w:vMerge w:val="continue"/>
                  <w:tcBorders>
                    <w:tl2br w:val="nil"/>
                    <w:tr2bl w:val="nil"/>
                  </w:tcBorders>
                  <w:noWrap w:val="0"/>
                  <w:vAlign w:val="center"/>
                </w:tcPr>
                <w:p w14:paraId="04736517">
                  <w:pPr>
                    <w:widowControl/>
                    <w:jc w:val="center"/>
                    <w:textAlignment w:val="center"/>
                    <w:rPr>
                      <w:rFonts w:hint="default" w:ascii="Times New Roman" w:hAnsi="Times New Roman" w:eastAsia="宋体" w:cs="Times New Roman"/>
                      <w:color w:val="auto"/>
                      <w:sz w:val="21"/>
                      <w:szCs w:val="21"/>
                      <w:highlight w:val="none"/>
                      <w:lang w:val="en-US" w:eastAsia="zh-CN"/>
                    </w:rPr>
                  </w:pPr>
                </w:p>
              </w:tc>
              <w:tc>
                <w:tcPr>
                  <w:tcW w:w="1007" w:type="pct"/>
                  <w:vMerge w:val="continue"/>
                  <w:tcBorders>
                    <w:tl2br w:val="nil"/>
                    <w:tr2bl w:val="nil"/>
                  </w:tcBorders>
                  <w:noWrap w:val="0"/>
                  <w:vAlign w:val="center"/>
                </w:tcPr>
                <w:p w14:paraId="7F069A1F">
                  <w:pPr>
                    <w:widowControl/>
                    <w:jc w:val="center"/>
                    <w:textAlignment w:val="center"/>
                    <w:rPr>
                      <w:rFonts w:hint="default" w:ascii="Times New Roman" w:hAnsi="Times New Roman" w:eastAsia="宋体" w:cs="Times New Roman"/>
                      <w:color w:val="auto"/>
                      <w:sz w:val="21"/>
                      <w:szCs w:val="21"/>
                      <w:highlight w:val="none"/>
                      <w:lang w:val="en-US" w:eastAsia="zh-CN"/>
                    </w:rPr>
                  </w:pPr>
                </w:p>
              </w:tc>
              <w:tc>
                <w:tcPr>
                  <w:tcW w:w="420" w:type="pct"/>
                  <w:tcBorders>
                    <w:tl2br w:val="nil"/>
                    <w:tr2bl w:val="nil"/>
                  </w:tcBorders>
                  <w:noWrap w:val="0"/>
                  <w:vAlign w:val="center"/>
                </w:tcPr>
                <w:p w14:paraId="620C3774">
                  <w:pPr>
                    <w:pStyle w:val="49"/>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E</w:t>
                  </w:r>
                </w:p>
              </w:tc>
              <w:tc>
                <w:tcPr>
                  <w:tcW w:w="532" w:type="pct"/>
                  <w:tcBorders>
                    <w:tl2br w:val="nil"/>
                    <w:tr2bl w:val="nil"/>
                  </w:tcBorders>
                  <w:noWrap w:val="0"/>
                  <w:vAlign w:val="center"/>
                </w:tcPr>
                <w:p w14:paraId="3E5BBABB">
                  <w:pPr>
                    <w:pStyle w:val="49"/>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415</w:t>
                  </w:r>
                </w:p>
              </w:tc>
            </w:tr>
            <w:tr w14:paraId="068CF7D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5000" w:type="pct"/>
                  <w:gridSpan w:val="8"/>
                  <w:tcBorders>
                    <w:tl2br w:val="nil"/>
                    <w:tr2bl w:val="nil"/>
                  </w:tcBorders>
                  <w:noWrap w:val="0"/>
                  <w:vAlign w:val="center"/>
                </w:tcPr>
                <w:p w14:paraId="38B92170">
                  <w:pPr>
                    <w:pStyle w:val="49"/>
                    <w:jc w:val="left"/>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b/>
                      <w:bCs/>
                      <w:color w:val="auto"/>
                      <w:sz w:val="18"/>
                      <w:szCs w:val="18"/>
                      <w:highlight w:val="none"/>
                      <w:lang w:val="en-US" w:eastAsia="zh-CN"/>
                    </w:rPr>
                    <w:t>注：厂界西南角处为（0，0）</w:t>
                  </w:r>
                </w:p>
              </w:tc>
            </w:tr>
          </w:tbl>
          <w:p w14:paraId="2912DA09">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二、</w:t>
            </w:r>
            <w:r>
              <w:rPr>
                <w:rFonts w:hint="default" w:ascii="Times New Roman" w:hAnsi="Times New Roman" w:eastAsia="宋体" w:cs="Times New Roman"/>
                <w:b/>
                <w:bCs/>
                <w:color w:val="auto"/>
                <w:sz w:val="24"/>
                <w:szCs w:val="24"/>
                <w:highlight w:val="none"/>
                <w:lang w:val="en-US" w:eastAsia="zh-CN"/>
              </w:rPr>
              <w:t>声环境保护目标</w:t>
            </w:r>
          </w:p>
          <w:p w14:paraId="60F60B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本项目厂界外50米范围内声环境保护目标详见下表。</w:t>
            </w:r>
          </w:p>
          <w:p w14:paraId="2FFC191A">
            <w:pPr>
              <w:adjustRightInd w:val="0"/>
              <w:snapToGrid w:val="0"/>
              <w:spacing w:line="240" w:lineRule="auto"/>
              <w:jc w:val="center"/>
              <w:rPr>
                <w:rFonts w:hint="default"/>
                <w:color w:val="auto"/>
                <w:sz w:val="18"/>
                <w:szCs w:val="21"/>
                <w:highlight w:val="none"/>
                <w:lang w:val="en-US" w:eastAsia="zh-CN"/>
              </w:rPr>
            </w:pPr>
            <w:r>
              <w:rPr>
                <w:rFonts w:hint="default" w:ascii="Times New Roman" w:hAnsi="Times New Roman" w:eastAsia="宋体" w:cs="Times New Roman"/>
                <w:b/>
                <w:color w:val="auto"/>
                <w:kern w:val="44"/>
                <w:sz w:val="21"/>
                <w:szCs w:val="21"/>
                <w:highlight w:val="none"/>
                <w:lang w:val="en-US" w:eastAsia="zh-CN" w:bidi="ar-SA"/>
              </w:rPr>
              <w:t>表3-</w:t>
            </w:r>
            <w:r>
              <w:rPr>
                <w:rFonts w:hint="eastAsia" w:ascii="Times New Roman" w:hAnsi="Times New Roman" w:eastAsia="宋体" w:cs="Times New Roman"/>
                <w:b/>
                <w:color w:val="auto"/>
                <w:kern w:val="44"/>
                <w:sz w:val="21"/>
                <w:szCs w:val="21"/>
                <w:highlight w:val="none"/>
                <w:lang w:val="en-US" w:eastAsia="zh-CN" w:bidi="ar-SA"/>
              </w:rPr>
              <w:t xml:space="preserve">7 </w:t>
            </w:r>
            <w:r>
              <w:rPr>
                <w:rFonts w:hint="default" w:ascii="Times New Roman" w:hAnsi="Times New Roman" w:eastAsia="宋体" w:cs="Times New Roman"/>
                <w:b/>
                <w:color w:val="auto"/>
                <w:kern w:val="44"/>
                <w:sz w:val="21"/>
                <w:szCs w:val="21"/>
                <w:highlight w:val="none"/>
                <w:lang w:val="en-US" w:eastAsia="zh-CN" w:bidi="ar-SA"/>
              </w:rPr>
              <w:t xml:space="preserve"> </w:t>
            </w:r>
            <w:r>
              <w:rPr>
                <w:rFonts w:hint="eastAsia" w:ascii="Times New Roman" w:hAnsi="Times New Roman" w:eastAsia="宋体" w:cs="Times New Roman"/>
                <w:b/>
                <w:color w:val="auto"/>
                <w:kern w:val="44"/>
                <w:sz w:val="21"/>
                <w:szCs w:val="21"/>
                <w:highlight w:val="none"/>
                <w:lang w:val="en-US" w:eastAsia="zh-CN" w:bidi="ar-SA"/>
              </w:rPr>
              <w:t>声环境</w:t>
            </w:r>
            <w:r>
              <w:rPr>
                <w:rFonts w:hint="default" w:ascii="Times New Roman" w:hAnsi="Times New Roman" w:eastAsia="宋体" w:cs="Times New Roman"/>
                <w:b/>
                <w:color w:val="auto"/>
                <w:kern w:val="44"/>
                <w:sz w:val="21"/>
                <w:szCs w:val="21"/>
                <w:highlight w:val="none"/>
                <w:lang w:val="en-US" w:eastAsia="zh-CN" w:bidi="ar-SA"/>
              </w:rPr>
              <w:t>保护目标一览表</w:t>
            </w:r>
          </w:p>
          <w:tbl>
            <w:tblPr>
              <w:tblStyle w:val="20"/>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9"/>
              <w:gridCol w:w="1077"/>
              <w:gridCol w:w="940"/>
              <w:gridCol w:w="880"/>
              <w:gridCol w:w="680"/>
              <w:gridCol w:w="1020"/>
              <w:gridCol w:w="600"/>
              <w:gridCol w:w="1340"/>
              <w:gridCol w:w="1820"/>
            </w:tblGrid>
            <w:tr w14:paraId="14CAB43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 w:type="dxa"/>
                  <w:vMerge w:val="restart"/>
                  <w:tcBorders>
                    <w:tl2br w:val="nil"/>
                    <w:tr2bl w:val="nil"/>
                  </w:tcBorders>
                  <w:noWrap w:val="0"/>
                  <w:vAlign w:val="center"/>
                </w:tcPr>
                <w:p w14:paraId="5824F6DF">
                  <w:pPr>
                    <w:adjustRightInd w:val="0"/>
                    <w:snapToGrid w:val="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ascii="Times New Roman" w:hAnsi="Times New Roman" w:eastAsia="宋体" w:cs="Times New Roman"/>
                      <w:b/>
                      <w:bCs w:val="0"/>
                      <w:color w:val="auto"/>
                      <w:sz w:val="21"/>
                      <w:szCs w:val="21"/>
                      <w:highlight w:val="none"/>
                      <w:vertAlign w:val="baseline"/>
                      <w:lang w:val="en-US" w:eastAsia="zh-CN"/>
                    </w:rPr>
                    <w:t>序号</w:t>
                  </w:r>
                </w:p>
              </w:tc>
              <w:tc>
                <w:tcPr>
                  <w:tcW w:w="1077" w:type="dxa"/>
                  <w:vMerge w:val="restart"/>
                  <w:tcBorders>
                    <w:tl2br w:val="nil"/>
                    <w:tr2bl w:val="nil"/>
                  </w:tcBorders>
                  <w:noWrap w:val="0"/>
                  <w:vAlign w:val="center"/>
                </w:tcPr>
                <w:p w14:paraId="49734EFF">
                  <w:pPr>
                    <w:adjustRightInd w:val="0"/>
                    <w:snapToGrid w:val="0"/>
                    <w:jc w:val="center"/>
                    <w:rPr>
                      <w:rFonts w:hint="eastAsia" w:ascii="Times New Roman" w:hAnsi="Times New Roman" w:eastAsia="宋体" w:cs="Times New Roman"/>
                      <w:b/>
                      <w:bCs w:val="0"/>
                      <w:color w:val="auto"/>
                      <w:sz w:val="21"/>
                      <w:szCs w:val="21"/>
                      <w:highlight w:val="none"/>
                      <w:vertAlign w:val="baseline"/>
                      <w:lang w:val="en-US" w:eastAsia="zh-CN"/>
                    </w:rPr>
                  </w:pPr>
                  <w:r>
                    <w:rPr>
                      <w:rFonts w:hint="eastAsia" w:ascii="Times New Roman" w:hAnsi="Times New Roman" w:eastAsia="宋体" w:cs="Times New Roman"/>
                      <w:b/>
                      <w:bCs w:val="0"/>
                      <w:color w:val="auto"/>
                      <w:sz w:val="21"/>
                      <w:szCs w:val="21"/>
                      <w:highlight w:val="none"/>
                      <w:vertAlign w:val="baseline"/>
                      <w:lang w:val="en-US" w:eastAsia="zh-CN"/>
                    </w:rPr>
                    <w:t>声环境</w:t>
                  </w:r>
                </w:p>
                <w:p w14:paraId="5BCE5640">
                  <w:pPr>
                    <w:adjustRightInd w:val="0"/>
                    <w:snapToGrid w:val="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ascii="Times New Roman" w:hAnsi="Times New Roman" w:eastAsia="宋体" w:cs="Times New Roman"/>
                      <w:b/>
                      <w:bCs w:val="0"/>
                      <w:color w:val="auto"/>
                      <w:sz w:val="21"/>
                      <w:szCs w:val="21"/>
                      <w:highlight w:val="none"/>
                      <w:vertAlign w:val="baseline"/>
                      <w:lang w:val="en-US" w:eastAsia="zh-CN"/>
                    </w:rPr>
                    <w:t>保护目标</w:t>
                  </w:r>
                  <w:r>
                    <w:rPr>
                      <w:rFonts w:hint="default" w:ascii="Times New Roman" w:hAnsi="Times New Roman" w:eastAsia="宋体" w:cs="Times New Roman"/>
                      <w:b/>
                      <w:bCs w:val="0"/>
                      <w:color w:val="auto"/>
                      <w:sz w:val="21"/>
                      <w:szCs w:val="21"/>
                      <w:highlight w:val="none"/>
                      <w:vertAlign w:val="baseline"/>
                      <w:lang w:val="en-US" w:eastAsia="zh-CN"/>
                    </w:rPr>
                    <w:t>名称</w:t>
                  </w:r>
                </w:p>
              </w:tc>
              <w:tc>
                <w:tcPr>
                  <w:tcW w:w="2500" w:type="dxa"/>
                  <w:gridSpan w:val="3"/>
                  <w:tcBorders>
                    <w:tl2br w:val="nil"/>
                    <w:tr2bl w:val="nil"/>
                  </w:tcBorders>
                  <w:noWrap w:val="0"/>
                  <w:vAlign w:val="center"/>
                </w:tcPr>
                <w:p w14:paraId="4BD5F6E5">
                  <w:pPr>
                    <w:adjustRightInd w:val="0"/>
                    <w:snapToGrid w:val="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cs="Times New Roman"/>
                      <w:b/>
                      <w:bCs w:val="0"/>
                      <w:color w:val="auto"/>
                      <w:sz w:val="21"/>
                      <w:szCs w:val="21"/>
                      <w:highlight w:val="none"/>
                      <w:vertAlign w:val="baseline"/>
                      <w:lang w:val="en-US" w:eastAsia="zh-CN"/>
                    </w:rPr>
                    <w:t>空间相对位置/m</w:t>
                  </w:r>
                </w:p>
              </w:tc>
              <w:tc>
                <w:tcPr>
                  <w:tcW w:w="1020" w:type="dxa"/>
                  <w:vMerge w:val="restart"/>
                  <w:tcBorders>
                    <w:tl2br w:val="nil"/>
                    <w:tr2bl w:val="nil"/>
                  </w:tcBorders>
                  <w:noWrap w:val="0"/>
                  <w:vAlign w:val="center"/>
                </w:tcPr>
                <w:p w14:paraId="52F76E5C">
                  <w:pPr>
                    <w:adjustRightInd w:val="0"/>
                    <w:snapToGrid w:val="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ascii="Times New Roman" w:hAnsi="Times New Roman" w:eastAsia="宋体" w:cs="Times New Roman"/>
                      <w:b/>
                      <w:bCs w:val="0"/>
                      <w:color w:val="auto"/>
                      <w:sz w:val="21"/>
                      <w:szCs w:val="21"/>
                      <w:highlight w:val="none"/>
                      <w:vertAlign w:val="baseline"/>
                      <w:lang w:val="en-US" w:eastAsia="zh-CN"/>
                    </w:rPr>
                    <w:t>距离厂界最近距离/m</w:t>
                  </w:r>
                </w:p>
              </w:tc>
              <w:tc>
                <w:tcPr>
                  <w:tcW w:w="600" w:type="dxa"/>
                  <w:vMerge w:val="restart"/>
                  <w:tcBorders>
                    <w:tl2br w:val="nil"/>
                    <w:tr2bl w:val="nil"/>
                  </w:tcBorders>
                  <w:noWrap w:val="0"/>
                  <w:vAlign w:val="center"/>
                </w:tcPr>
                <w:p w14:paraId="0C553119">
                  <w:pPr>
                    <w:adjustRightInd w:val="0"/>
                    <w:snapToGrid w:val="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ascii="Times New Roman" w:hAnsi="Times New Roman" w:eastAsia="宋体" w:cs="Times New Roman"/>
                      <w:b/>
                      <w:bCs w:val="0"/>
                      <w:color w:val="auto"/>
                      <w:sz w:val="21"/>
                      <w:szCs w:val="21"/>
                      <w:highlight w:val="none"/>
                      <w:vertAlign w:val="baseline"/>
                      <w:lang w:val="en-US" w:eastAsia="zh-CN"/>
                    </w:rPr>
                    <w:t>方位</w:t>
                  </w:r>
                </w:p>
              </w:tc>
              <w:tc>
                <w:tcPr>
                  <w:tcW w:w="1340" w:type="dxa"/>
                  <w:vMerge w:val="restart"/>
                  <w:tcBorders>
                    <w:tl2br w:val="nil"/>
                    <w:tr2bl w:val="nil"/>
                  </w:tcBorders>
                  <w:noWrap w:val="0"/>
                  <w:vAlign w:val="center"/>
                </w:tcPr>
                <w:p w14:paraId="57FFEA74">
                  <w:pPr>
                    <w:adjustRightInd w:val="0"/>
                    <w:snapToGrid w:val="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ascii="Times New Roman" w:hAnsi="Times New Roman" w:eastAsia="宋体" w:cs="Times New Roman"/>
                      <w:b/>
                      <w:bCs w:val="0"/>
                      <w:color w:val="auto"/>
                      <w:sz w:val="21"/>
                      <w:szCs w:val="21"/>
                      <w:highlight w:val="none"/>
                      <w:vertAlign w:val="baseline"/>
                      <w:lang w:val="en-US" w:eastAsia="zh-CN"/>
                    </w:rPr>
                    <w:t>执行标准/</w:t>
                  </w:r>
                  <w:r>
                    <w:rPr>
                      <w:rFonts w:hint="default" w:ascii="Times New Roman" w:hAnsi="Times New Roman" w:eastAsia="宋体" w:cs="Times New Roman"/>
                      <w:b/>
                      <w:bCs w:val="0"/>
                      <w:color w:val="auto"/>
                      <w:sz w:val="21"/>
                      <w:szCs w:val="21"/>
                      <w:highlight w:val="none"/>
                      <w:vertAlign w:val="baseline"/>
                      <w:lang w:val="en-US" w:eastAsia="zh-CN"/>
                    </w:rPr>
                    <w:t>功能区</w:t>
                  </w:r>
                  <w:r>
                    <w:rPr>
                      <w:rFonts w:hint="eastAsia" w:ascii="Times New Roman" w:hAnsi="Times New Roman" w:eastAsia="宋体" w:cs="Times New Roman"/>
                      <w:b/>
                      <w:bCs w:val="0"/>
                      <w:color w:val="auto"/>
                      <w:sz w:val="21"/>
                      <w:szCs w:val="21"/>
                      <w:highlight w:val="none"/>
                      <w:vertAlign w:val="baseline"/>
                      <w:lang w:val="en-US" w:eastAsia="zh-CN"/>
                    </w:rPr>
                    <w:t>类别</w:t>
                  </w:r>
                </w:p>
              </w:tc>
              <w:tc>
                <w:tcPr>
                  <w:tcW w:w="1820" w:type="dxa"/>
                  <w:vMerge w:val="restart"/>
                  <w:tcBorders>
                    <w:tl2br w:val="nil"/>
                    <w:tr2bl w:val="nil"/>
                  </w:tcBorders>
                  <w:noWrap w:val="0"/>
                  <w:vAlign w:val="center"/>
                </w:tcPr>
                <w:p w14:paraId="14252815">
                  <w:pPr>
                    <w:adjustRightInd w:val="0"/>
                    <w:snapToGrid w:val="0"/>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ascii="Times New Roman" w:hAnsi="Times New Roman" w:eastAsia="宋体" w:cs="Times New Roman"/>
                      <w:b/>
                      <w:bCs w:val="0"/>
                      <w:color w:val="auto"/>
                      <w:sz w:val="21"/>
                      <w:szCs w:val="21"/>
                      <w:highlight w:val="none"/>
                      <w:vertAlign w:val="baseline"/>
                      <w:lang w:val="en-US" w:eastAsia="zh-CN"/>
                    </w:rPr>
                    <w:t>声环境保护目标情况说明</w:t>
                  </w:r>
                </w:p>
              </w:tc>
            </w:tr>
            <w:tr w14:paraId="6E6348F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9" w:type="dxa"/>
                  <w:vMerge w:val="continue"/>
                  <w:tcBorders>
                    <w:tl2br w:val="nil"/>
                    <w:tr2bl w:val="nil"/>
                  </w:tcBorders>
                  <w:noWrap w:val="0"/>
                  <w:vAlign w:val="center"/>
                </w:tcPr>
                <w:p w14:paraId="1F8805EF">
                  <w:pPr>
                    <w:adjustRightInd w:val="0"/>
                    <w:snapToGrid w:val="0"/>
                    <w:jc w:val="center"/>
                    <w:rPr>
                      <w:rFonts w:hint="default" w:ascii="Times New Roman" w:hAnsi="Times New Roman" w:eastAsia="宋体" w:cs="Times New Roman"/>
                      <w:b w:val="0"/>
                      <w:bCs/>
                      <w:color w:val="auto"/>
                      <w:sz w:val="21"/>
                      <w:szCs w:val="21"/>
                      <w:highlight w:val="none"/>
                      <w:vertAlign w:val="baseline"/>
                      <w:lang w:val="en-US" w:eastAsia="zh-CN"/>
                    </w:rPr>
                  </w:pPr>
                </w:p>
              </w:tc>
              <w:tc>
                <w:tcPr>
                  <w:tcW w:w="1077" w:type="dxa"/>
                  <w:vMerge w:val="continue"/>
                  <w:tcBorders>
                    <w:tl2br w:val="nil"/>
                    <w:tr2bl w:val="nil"/>
                  </w:tcBorders>
                  <w:noWrap w:val="0"/>
                  <w:vAlign w:val="center"/>
                </w:tcPr>
                <w:p w14:paraId="1AE38063">
                  <w:pPr>
                    <w:adjustRightInd w:val="0"/>
                    <w:snapToGrid w:val="0"/>
                    <w:jc w:val="center"/>
                    <w:rPr>
                      <w:rFonts w:hint="default" w:ascii="Times New Roman" w:hAnsi="Times New Roman" w:eastAsia="宋体" w:cs="Times New Roman"/>
                      <w:b w:val="0"/>
                      <w:bCs/>
                      <w:color w:val="auto"/>
                      <w:sz w:val="21"/>
                      <w:szCs w:val="21"/>
                      <w:highlight w:val="none"/>
                      <w:vertAlign w:val="baseline"/>
                      <w:lang w:val="en-US" w:eastAsia="zh-CN"/>
                    </w:rPr>
                  </w:pPr>
                </w:p>
              </w:tc>
              <w:tc>
                <w:tcPr>
                  <w:tcW w:w="940" w:type="dxa"/>
                  <w:tcBorders>
                    <w:tl2br w:val="nil"/>
                    <w:tr2bl w:val="nil"/>
                  </w:tcBorders>
                  <w:noWrap w:val="0"/>
                  <w:vAlign w:val="center"/>
                </w:tcPr>
                <w:p w14:paraId="1973EB5F">
                  <w:pPr>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cs="Times New Roman"/>
                      <w:b/>
                      <w:bCs/>
                      <w:i/>
                      <w:iCs/>
                      <w:color w:val="auto"/>
                      <w:sz w:val="21"/>
                      <w:szCs w:val="21"/>
                      <w:highlight w:val="none"/>
                      <w:lang w:val="en-US" w:eastAsia="zh-CN"/>
                    </w:rPr>
                    <w:t>X</w:t>
                  </w:r>
                </w:p>
              </w:tc>
              <w:tc>
                <w:tcPr>
                  <w:tcW w:w="880" w:type="dxa"/>
                  <w:tcBorders>
                    <w:tl2br w:val="nil"/>
                    <w:tr2bl w:val="nil"/>
                  </w:tcBorders>
                  <w:noWrap w:val="0"/>
                  <w:vAlign w:val="center"/>
                </w:tcPr>
                <w:p w14:paraId="2ADF7B35">
                  <w:pPr>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cs="Times New Roman"/>
                      <w:b/>
                      <w:bCs/>
                      <w:i/>
                      <w:iCs/>
                      <w:color w:val="auto"/>
                      <w:sz w:val="21"/>
                      <w:szCs w:val="21"/>
                      <w:highlight w:val="none"/>
                      <w:lang w:val="en-US" w:eastAsia="zh-CN"/>
                    </w:rPr>
                    <w:t>Y</w:t>
                  </w:r>
                </w:p>
              </w:tc>
              <w:tc>
                <w:tcPr>
                  <w:tcW w:w="680" w:type="dxa"/>
                  <w:tcBorders>
                    <w:tl2br w:val="nil"/>
                    <w:tr2bl w:val="nil"/>
                  </w:tcBorders>
                  <w:noWrap w:val="0"/>
                  <w:vAlign w:val="center"/>
                </w:tcPr>
                <w:p w14:paraId="76C1238C">
                  <w:pPr>
                    <w:jc w:val="center"/>
                    <w:rPr>
                      <w:rFonts w:hint="default" w:ascii="Times New Roman" w:hAnsi="Times New Roman" w:eastAsia="宋体" w:cs="Times New Roman"/>
                      <w:b/>
                      <w:bCs w:val="0"/>
                      <w:color w:val="auto"/>
                      <w:sz w:val="21"/>
                      <w:szCs w:val="21"/>
                      <w:highlight w:val="none"/>
                      <w:vertAlign w:val="baseline"/>
                      <w:lang w:val="en-US" w:eastAsia="zh-CN"/>
                    </w:rPr>
                  </w:pPr>
                  <w:r>
                    <w:rPr>
                      <w:rFonts w:hint="eastAsia" w:cs="Times New Roman"/>
                      <w:b/>
                      <w:bCs/>
                      <w:i/>
                      <w:iCs/>
                      <w:color w:val="auto"/>
                      <w:sz w:val="21"/>
                      <w:szCs w:val="21"/>
                      <w:highlight w:val="none"/>
                      <w:lang w:val="en-US" w:eastAsia="zh-CN"/>
                    </w:rPr>
                    <w:t>Z</w:t>
                  </w:r>
                </w:p>
              </w:tc>
              <w:tc>
                <w:tcPr>
                  <w:tcW w:w="1020" w:type="dxa"/>
                  <w:vMerge w:val="continue"/>
                  <w:tcBorders>
                    <w:tl2br w:val="nil"/>
                    <w:tr2bl w:val="nil"/>
                  </w:tcBorders>
                  <w:noWrap w:val="0"/>
                  <w:vAlign w:val="center"/>
                </w:tcPr>
                <w:p w14:paraId="5BB6B58E">
                  <w:pPr>
                    <w:adjustRightInd w:val="0"/>
                    <w:snapToGrid w:val="0"/>
                    <w:jc w:val="center"/>
                    <w:rPr>
                      <w:rFonts w:hint="default" w:ascii="Times New Roman" w:hAnsi="Times New Roman" w:eastAsia="宋体" w:cs="Times New Roman"/>
                      <w:b/>
                      <w:bCs w:val="0"/>
                      <w:color w:val="auto"/>
                      <w:sz w:val="21"/>
                      <w:szCs w:val="21"/>
                      <w:highlight w:val="none"/>
                      <w:vertAlign w:val="baseline"/>
                      <w:lang w:val="en-US" w:eastAsia="zh-CN"/>
                    </w:rPr>
                  </w:pPr>
                </w:p>
              </w:tc>
              <w:tc>
                <w:tcPr>
                  <w:tcW w:w="600" w:type="dxa"/>
                  <w:vMerge w:val="continue"/>
                  <w:tcBorders>
                    <w:tl2br w:val="nil"/>
                    <w:tr2bl w:val="nil"/>
                  </w:tcBorders>
                  <w:noWrap w:val="0"/>
                  <w:vAlign w:val="center"/>
                </w:tcPr>
                <w:p w14:paraId="17A2098D">
                  <w:pPr>
                    <w:adjustRightInd w:val="0"/>
                    <w:snapToGrid w:val="0"/>
                    <w:jc w:val="center"/>
                    <w:rPr>
                      <w:rFonts w:hint="default" w:ascii="Times New Roman" w:hAnsi="Times New Roman" w:eastAsia="宋体" w:cs="Times New Roman"/>
                      <w:b w:val="0"/>
                      <w:bCs/>
                      <w:color w:val="auto"/>
                      <w:sz w:val="21"/>
                      <w:szCs w:val="21"/>
                      <w:highlight w:val="none"/>
                      <w:vertAlign w:val="baseline"/>
                      <w:lang w:val="en-US" w:eastAsia="zh-CN"/>
                    </w:rPr>
                  </w:pPr>
                </w:p>
              </w:tc>
              <w:tc>
                <w:tcPr>
                  <w:tcW w:w="1340" w:type="dxa"/>
                  <w:vMerge w:val="continue"/>
                  <w:tcBorders>
                    <w:tl2br w:val="nil"/>
                    <w:tr2bl w:val="nil"/>
                  </w:tcBorders>
                  <w:noWrap w:val="0"/>
                  <w:vAlign w:val="center"/>
                </w:tcPr>
                <w:p w14:paraId="5DE6C7D5">
                  <w:pPr>
                    <w:adjustRightInd w:val="0"/>
                    <w:snapToGrid w:val="0"/>
                    <w:jc w:val="center"/>
                    <w:rPr>
                      <w:rFonts w:hint="default" w:ascii="Times New Roman" w:hAnsi="Times New Roman" w:eastAsia="宋体" w:cs="Times New Roman"/>
                      <w:b w:val="0"/>
                      <w:bCs/>
                      <w:color w:val="auto"/>
                      <w:sz w:val="21"/>
                      <w:szCs w:val="21"/>
                      <w:highlight w:val="none"/>
                      <w:vertAlign w:val="baseline"/>
                      <w:lang w:val="en-US" w:eastAsia="zh-CN"/>
                    </w:rPr>
                  </w:pPr>
                </w:p>
              </w:tc>
              <w:tc>
                <w:tcPr>
                  <w:tcW w:w="1820" w:type="dxa"/>
                  <w:vMerge w:val="continue"/>
                  <w:tcBorders>
                    <w:tl2br w:val="nil"/>
                    <w:tr2bl w:val="nil"/>
                  </w:tcBorders>
                  <w:noWrap w:val="0"/>
                  <w:vAlign w:val="center"/>
                </w:tcPr>
                <w:p w14:paraId="47585CC6">
                  <w:pPr>
                    <w:adjustRightInd w:val="0"/>
                    <w:snapToGrid w:val="0"/>
                    <w:jc w:val="center"/>
                    <w:rPr>
                      <w:rFonts w:hint="default" w:ascii="Times New Roman" w:hAnsi="Times New Roman" w:eastAsia="宋体" w:cs="Times New Roman"/>
                      <w:b w:val="0"/>
                      <w:bCs/>
                      <w:color w:val="auto"/>
                      <w:sz w:val="21"/>
                      <w:szCs w:val="21"/>
                      <w:highlight w:val="none"/>
                      <w:vertAlign w:val="baseline"/>
                      <w:lang w:val="en-US" w:eastAsia="zh-CN"/>
                    </w:rPr>
                  </w:pPr>
                </w:p>
              </w:tc>
            </w:tr>
            <w:tr w14:paraId="015D650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409" w:type="dxa"/>
                  <w:tcBorders>
                    <w:tl2br w:val="nil"/>
                    <w:tr2bl w:val="nil"/>
                  </w:tcBorders>
                  <w:noWrap w:val="0"/>
                  <w:vAlign w:val="center"/>
                </w:tcPr>
                <w:p w14:paraId="3B0D8DEE">
                  <w:pPr>
                    <w:adjustRightInd w:val="0"/>
                    <w:snapToGrid w:val="0"/>
                    <w:jc w:val="center"/>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1</w:t>
                  </w:r>
                </w:p>
              </w:tc>
              <w:tc>
                <w:tcPr>
                  <w:tcW w:w="1077" w:type="dxa"/>
                  <w:tcBorders>
                    <w:tl2br w:val="nil"/>
                    <w:tr2bl w:val="nil"/>
                  </w:tcBorders>
                  <w:noWrap w:val="0"/>
                  <w:vAlign w:val="center"/>
                </w:tcPr>
                <w:p w14:paraId="4E7346CD">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东侧居民区（四排乡）</w:t>
                  </w:r>
                </w:p>
              </w:tc>
              <w:tc>
                <w:tcPr>
                  <w:tcW w:w="940" w:type="dxa"/>
                  <w:tcBorders>
                    <w:tl2br w:val="nil"/>
                    <w:tr2bl w:val="nil"/>
                  </w:tcBorders>
                  <w:noWrap w:val="0"/>
                  <w:vAlign w:val="center"/>
                </w:tcPr>
                <w:p w14:paraId="47BF3C0C">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130.54</w:t>
                  </w:r>
                </w:p>
              </w:tc>
              <w:tc>
                <w:tcPr>
                  <w:tcW w:w="880" w:type="dxa"/>
                  <w:tcBorders>
                    <w:tl2br w:val="nil"/>
                    <w:tr2bl w:val="nil"/>
                  </w:tcBorders>
                  <w:noWrap w:val="0"/>
                  <w:vAlign w:val="center"/>
                </w:tcPr>
                <w:p w14:paraId="1E6B508F">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82.93</w:t>
                  </w:r>
                </w:p>
              </w:tc>
              <w:tc>
                <w:tcPr>
                  <w:tcW w:w="680" w:type="dxa"/>
                  <w:tcBorders>
                    <w:tl2br w:val="nil"/>
                    <w:tr2bl w:val="nil"/>
                  </w:tcBorders>
                  <w:noWrap w:val="0"/>
                  <w:vAlign w:val="center"/>
                </w:tcPr>
                <w:p w14:paraId="7D8E3DF1">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w:t>
                  </w:r>
                </w:p>
              </w:tc>
              <w:tc>
                <w:tcPr>
                  <w:tcW w:w="1020" w:type="dxa"/>
                  <w:tcBorders>
                    <w:tl2br w:val="nil"/>
                    <w:tr2bl w:val="nil"/>
                  </w:tcBorders>
                  <w:noWrap w:val="0"/>
                  <w:vAlign w:val="center"/>
                </w:tcPr>
                <w:p w14:paraId="09830C80">
                  <w:pPr>
                    <w:pStyle w:val="49"/>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E</w:t>
                  </w:r>
                </w:p>
              </w:tc>
              <w:tc>
                <w:tcPr>
                  <w:tcW w:w="600" w:type="dxa"/>
                  <w:tcBorders>
                    <w:tl2br w:val="nil"/>
                    <w:tr2bl w:val="nil"/>
                  </w:tcBorders>
                  <w:noWrap w:val="0"/>
                  <w:vAlign w:val="center"/>
                </w:tcPr>
                <w:p w14:paraId="6449D086">
                  <w:pPr>
                    <w:pStyle w:val="49"/>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48</w:t>
                  </w:r>
                </w:p>
              </w:tc>
              <w:tc>
                <w:tcPr>
                  <w:tcW w:w="1340" w:type="dxa"/>
                  <w:tcBorders>
                    <w:tl2br w:val="nil"/>
                    <w:tr2bl w:val="nil"/>
                  </w:tcBorders>
                  <w:noWrap w:val="0"/>
                  <w:vAlign w:val="center"/>
                </w:tcPr>
                <w:p w14:paraId="7C974637">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《声环境质量标准》中</w:t>
                  </w:r>
                  <w:r>
                    <w:rPr>
                      <w:rFonts w:hint="eastAsia" w:ascii="Times New Roman" w:hAnsi="Times New Roman"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类</w:t>
                  </w:r>
                  <w:r>
                    <w:rPr>
                      <w:rFonts w:hint="eastAsia" w:ascii="Times New Roman" w:hAnsi="Times New Roman" w:eastAsia="宋体" w:cs="Times New Roman"/>
                      <w:color w:val="auto"/>
                      <w:sz w:val="21"/>
                      <w:szCs w:val="21"/>
                      <w:highlight w:val="none"/>
                      <w:lang w:val="en-US" w:eastAsia="zh-CN"/>
                    </w:rPr>
                    <w:t>区</w:t>
                  </w:r>
                </w:p>
              </w:tc>
              <w:tc>
                <w:tcPr>
                  <w:tcW w:w="1820" w:type="dxa"/>
                  <w:tcBorders>
                    <w:tl2br w:val="nil"/>
                    <w:tr2bl w:val="nil"/>
                  </w:tcBorders>
                  <w:noWrap w:val="0"/>
                  <w:vAlign w:val="center"/>
                </w:tcPr>
                <w:p w14:paraId="66CC9AD0">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砖瓦结构居民区、朝南、1层、周边环境为居民区</w:t>
                  </w:r>
                </w:p>
              </w:tc>
            </w:tr>
            <w:tr w14:paraId="3737258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66" w:type="dxa"/>
                  <w:gridSpan w:val="9"/>
                  <w:tcBorders>
                    <w:tl2br w:val="nil"/>
                    <w:tr2bl w:val="nil"/>
                  </w:tcBorders>
                  <w:noWrap w:val="0"/>
                  <w:vAlign w:val="center"/>
                </w:tcPr>
                <w:p w14:paraId="4D6142C8">
                  <w:pPr>
                    <w:jc w:val="left"/>
                    <w:rPr>
                      <w:rFonts w:hint="eastAsia" w:cs="Times New Roman"/>
                      <w:color w:val="auto"/>
                      <w:sz w:val="21"/>
                      <w:szCs w:val="21"/>
                      <w:highlight w:val="none"/>
                      <w:lang w:val="en-US" w:eastAsia="zh-CN"/>
                    </w:rPr>
                  </w:pPr>
                  <w:r>
                    <w:rPr>
                      <w:rFonts w:hint="eastAsia" w:ascii="Times New Roman" w:hAnsi="Times New Roman" w:cs="Times New Roman"/>
                      <w:b/>
                      <w:bCs/>
                      <w:color w:val="auto"/>
                      <w:sz w:val="18"/>
                      <w:szCs w:val="18"/>
                      <w:highlight w:val="none"/>
                      <w:lang w:val="en-US" w:eastAsia="zh-CN"/>
                    </w:rPr>
                    <w:t>注：厂界西南角处为（0，0）</w:t>
                  </w:r>
                </w:p>
              </w:tc>
            </w:tr>
          </w:tbl>
          <w:p w14:paraId="08942486">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hint="eastAsia"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三、地下水环境保护目标</w:t>
            </w:r>
          </w:p>
          <w:p w14:paraId="08717EA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项目周边居住区饮用水源为集中式自来水，厂界外500m范围内无地下水集中式饮用水水源和热水、矿泉水、温泉等特殊地下水资源。</w:t>
            </w:r>
          </w:p>
          <w:p w14:paraId="0E949A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四、</w:t>
            </w:r>
            <w:r>
              <w:rPr>
                <w:rFonts w:hint="default" w:ascii="Times New Roman" w:hAnsi="Times New Roman" w:eastAsia="宋体" w:cs="Times New Roman"/>
                <w:b/>
                <w:bCs/>
                <w:color w:val="auto"/>
                <w:sz w:val="24"/>
                <w:szCs w:val="24"/>
                <w:highlight w:val="none"/>
                <w:lang w:val="en-US" w:eastAsia="zh-CN"/>
              </w:rPr>
              <w:t>生态环境保护目标</w:t>
            </w:r>
          </w:p>
          <w:p w14:paraId="6C5759D0">
            <w:pPr>
              <w:widowControl/>
              <w:spacing w:line="360" w:lineRule="auto"/>
              <w:ind w:firstLine="488" w:firstLineChars="200"/>
              <w:jc w:val="left"/>
              <w:rPr>
                <w:rFonts w:hint="default"/>
                <w:b w:val="0"/>
                <w:bCs w:val="0"/>
                <w:color w:val="FF0000"/>
                <w:highlight w:val="none"/>
                <w:lang w:val="en-US" w:eastAsia="zh-CN"/>
              </w:rPr>
            </w:pPr>
            <w:r>
              <w:rPr>
                <w:rFonts w:hint="eastAsia" w:ascii="Times New Roman" w:hAnsi="Times New Roman" w:cs="Times New Roman"/>
                <w:color w:val="auto"/>
                <w:spacing w:val="2"/>
                <w:kern w:val="0"/>
                <w:sz w:val="24"/>
                <w:szCs w:val="24"/>
                <w:highlight w:val="none"/>
                <w:lang w:val="en-US" w:eastAsia="zh-CN"/>
              </w:rPr>
              <w:t>项目用地现状属于</w:t>
            </w:r>
            <w:r>
              <w:rPr>
                <w:rFonts w:hint="eastAsia" w:cs="Times New Roman"/>
                <w:color w:val="auto"/>
                <w:spacing w:val="2"/>
                <w:kern w:val="0"/>
                <w:sz w:val="24"/>
                <w:szCs w:val="24"/>
                <w:highlight w:val="none"/>
                <w:lang w:val="en-US" w:eastAsia="zh-CN"/>
              </w:rPr>
              <w:t>建设用地</w:t>
            </w:r>
            <w:r>
              <w:rPr>
                <w:rFonts w:hint="eastAsia" w:ascii="Times New Roman" w:hAnsi="Times New Roman" w:cs="Times New Roman"/>
                <w:color w:val="auto"/>
                <w:spacing w:val="2"/>
                <w:kern w:val="0"/>
                <w:sz w:val="24"/>
                <w:szCs w:val="24"/>
                <w:highlight w:val="none"/>
                <w:lang w:val="en-US" w:eastAsia="zh-CN"/>
              </w:rPr>
              <w:t>，</w:t>
            </w:r>
            <w:r>
              <w:rPr>
                <w:rFonts w:hint="eastAsia"/>
                <w:sz w:val="24"/>
              </w:rPr>
              <w:t>用地范围内无国家公园、自然保护区、自然公园、世界自然遗产和生态保护红线等生态敏感区</w:t>
            </w:r>
            <w:r>
              <w:rPr>
                <w:rFonts w:hint="eastAsia"/>
                <w:sz w:val="24"/>
                <w:lang w:eastAsia="zh-CN"/>
              </w:rPr>
              <w:t>；</w:t>
            </w:r>
            <w:r>
              <w:rPr>
                <w:rFonts w:hint="eastAsia" w:cs="Times New Roman"/>
                <w:color w:val="000000" w:themeColor="text1"/>
                <w:sz w:val="24"/>
                <w:szCs w:val="24"/>
                <w:highlight w:val="none"/>
                <w:u w:val="none"/>
                <w:lang w:val="en-US" w:eastAsia="zh-CN"/>
                <w14:textFill>
                  <w14:solidFill>
                    <w14:schemeClr w14:val="tx1"/>
                  </w14:solidFill>
                </w14:textFill>
              </w:rPr>
              <w:t>项目与黑龙江饶河东北黑蜂国家级自然保护区整合优化调整后无相交情况，一般控制区最近距离约8.2km；核心区最近距离约11km，</w:t>
            </w:r>
            <w:r>
              <w:rPr>
                <w:rFonts w:hint="eastAsia" w:cs="Times New Roman"/>
                <w:color w:val="auto"/>
                <w:spacing w:val="2"/>
                <w:kern w:val="0"/>
                <w:sz w:val="24"/>
                <w:szCs w:val="24"/>
                <w:highlight w:val="none"/>
                <w:lang w:val="en-US" w:eastAsia="zh-CN"/>
              </w:rPr>
              <w:t>因此无生态环境保护目标</w:t>
            </w:r>
            <w:r>
              <w:rPr>
                <w:rFonts w:hint="eastAsia" w:ascii="Times New Roman" w:hAnsi="Times New Roman" w:eastAsia="宋体" w:cs="Times New Roman"/>
                <w:color w:val="auto"/>
                <w:spacing w:val="2"/>
                <w:kern w:val="0"/>
                <w:sz w:val="24"/>
                <w:szCs w:val="24"/>
                <w:highlight w:val="none"/>
                <w:lang w:val="en-US" w:eastAsia="zh-CN"/>
              </w:rPr>
              <w:t>。</w:t>
            </w:r>
          </w:p>
        </w:tc>
      </w:tr>
      <w:tr w14:paraId="0BF45E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7" w:hRule="atLeast"/>
          <w:jc w:val="center"/>
        </w:trPr>
        <w:tc>
          <w:tcPr>
            <w:tcW w:w="628" w:type="dxa"/>
            <w:noWrap w:val="0"/>
            <w:tcMar>
              <w:left w:w="28" w:type="dxa"/>
              <w:right w:w="28" w:type="dxa"/>
            </w:tcMar>
            <w:vAlign w:val="center"/>
          </w:tcPr>
          <w:p w14:paraId="66A853FD">
            <w:pPr>
              <w:adjustRightInd w:val="0"/>
              <w:snapToGrid w:val="0"/>
              <w:jc w:val="center"/>
              <w:rPr>
                <w:rFonts w:ascii="宋体" w:hAnsi="宋体" w:cs="宋体"/>
                <w:color w:val="FF0000"/>
                <w:kern w:val="0"/>
                <w:szCs w:val="21"/>
                <w:highlight w:val="none"/>
              </w:rPr>
            </w:pPr>
            <w:r>
              <w:rPr>
                <w:rFonts w:hint="eastAsia" w:ascii="宋体" w:hAnsi="宋体" w:cs="宋体"/>
                <w:color w:val="auto"/>
                <w:kern w:val="0"/>
                <w:sz w:val="24"/>
                <w:szCs w:val="24"/>
                <w:highlight w:val="none"/>
              </w:rPr>
              <w:t>污染物排放控制标准</w:t>
            </w:r>
          </w:p>
        </w:tc>
        <w:tc>
          <w:tcPr>
            <w:tcW w:w="8985" w:type="dxa"/>
            <w:noWrap w:val="0"/>
            <w:vAlign w:val="center"/>
          </w:tcPr>
          <w:p w14:paraId="7E950813">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b/>
                <w:bCs/>
                <w:color w:val="auto"/>
                <w:sz w:val="24"/>
                <w:szCs w:val="24"/>
                <w:highlight w:val="none"/>
              </w:rPr>
            </w:pPr>
            <w:r>
              <w:rPr>
                <w:rFonts w:hint="eastAsia"/>
                <w:b/>
                <w:bCs/>
                <w:color w:val="auto"/>
                <w:sz w:val="24"/>
                <w:szCs w:val="24"/>
                <w:highlight w:val="none"/>
              </w:rPr>
              <w:t>一、</w:t>
            </w:r>
            <w:r>
              <w:rPr>
                <w:rFonts w:hint="eastAsia"/>
                <w:b/>
                <w:bCs/>
                <w:color w:val="auto"/>
                <w:sz w:val="24"/>
                <w:szCs w:val="24"/>
                <w:highlight w:val="none"/>
                <w:lang w:val="en-US" w:eastAsia="zh-CN"/>
              </w:rPr>
              <w:t>大气</w:t>
            </w:r>
            <w:r>
              <w:rPr>
                <w:rFonts w:hint="eastAsia"/>
                <w:b/>
                <w:bCs/>
                <w:color w:val="auto"/>
                <w:sz w:val="24"/>
                <w:szCs w:val="24"/>
                <w:highlight w:val="none"/>
              </w:rPr>
              <w:t>污染物排放标准</w:t>
            </w:r>
          </w:p>
          <w:p w14:paraId="087DAC63">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b w:val="0"/>
                <w:bCs w:val="0"/>
                <w:color w:val="auto"/>
                <w:sz w:val="24"/>
                <w:szCs w:val="24"/>
                <w:highlight w:val="none"/>
                <w:lang w:val="en-US" w:eastAsia="zh-CN"/>
              </w:rPr>
            </w:pPr>
            <w:r>
              <w:rPr>
                <w:rFonts w:hint="eastAsia"/>
                <w:b w:val="0"/>
                <w:bCs w:val="0"/>
                <w:color w:val="auto"/>
                <w:sz w:val="24"/>
                <w:szCs w:val="24"/>
                <w:highlight w:val="none"/>
                <w:lang w:eastAsia="zh-CN"/>
              </w:rPr>
              <w:t>（</w:t>
            </w:r>
            <w:r>
              <w:rPr>
                <w:rFonts w:hint="eastAsia"/>
                <w:b w:val="0"/>
                <w:bCs w:val="0"/>
                <w:color w:val="auto"/>
                <w:sz w:val="24"/>
                <w:szCs w:val="24"/>
                <w:highlight w:val="none"/>
                <w:lang w:val="en-US" w:eastAsia="zh-CN"/>
              </w:rPr>
              <w:t>一</w:t>
            </w:r>
            <w:r>
              <w:rPr>
                <w:rFonts w:hint="eastAsia"/>
                <w:b w:val="0"/>
                <w:bCs w:val="0"/>
                <w:color w:val="auto"/>
                <w:sz w:val="24"/>
                <w:szCs w:val="24"/>
                <w:highlight w:val="none"/>
                <w:lang w:eastAsia="zh-CN"/>
              </w:rPr>
              <w:t>）</w:t>
            </w:r>
            <w:r>
              <w:rPr>
                <w:rFonts w:hint="eastAsia"/>
                <w:b w:val="0"/>
                <w:bCs w:val="0"/>
                <w:color w:val="auto"/>
                <w:sz w:val="24"/>
                <w:szCs w:val="24"/>
                <w:highlight w:val="none"/>
                <w:lang w:val="en-US" w:eastAsia="zh-CN"/>
              </w:rPr>
              <w:t>运营期</w:t>
            </w:r>
          </w:p>
          <w:p w14:paraId="68B19127">
            <w:pPr>
              <w:widowControl/>
              <w:spacing w:line="360" w:lineRule="auto"/>
              <w:ind w:firstLine="480" w:firstLineChars="200"/>
              <w:jc w:val="left"/>
              <w:rPr>
                <w:rFonts w:hint="default"/>
                <w:b w:val="0"/>
                <w:bCs w:val="0"/>
                <w:color w:val="auto"/>
                <w:sz w:val="24"/>
                <w:szCs w:val="24"/>
                <w:highlight w:val="none"/>
                <w:lang w:val="en-US" w:eastAsia="zh-CN"/>
              </w:rPr>
            </w:pPr>
            <w:r>
              <w:rPr>
                <w:rFonts w:hint="eastAsia"/>
                <w:b w:val="0"/>
                <w:bCs w:val="0"/>
                <w:color w:val="auto"/>
                <w:sz w:val="24"/>
                <w:szCs w:val="24"/>
                <w:highlight w:val="none"/>
                <w:lang w:val="en-US" w:eastAsia="zh-CN"/>
              </w:rPr>
              <w:t>1.锅炉烟气</w:t>
            </w:r>
          </w:p>
          <w:p w14:paraId="6F8FEBF1">
            <w:pPr>
              <w:widowControl/>
              <w:spacing w:line="360" w:lineRule="auto"/>
              <w:ind w:firstLine="480" w:firstLineChars="200"/>
              <w:jc w:val="left"/>
              <w:rPr>
                <w:rFonts w:hint="default" w:eastAsia="宋体"/>
                <w:b w:val="0"/>
                <w:bCs w:val="0"/>
                <w:color w:val="auto"/>
                <w:sz w:val="24"/>
                <w:szCs w:val="24"/>
                <w:highlight w:val="none"/>
                <w:lang w:val="en-US" w:eastAsia="zh-CN"/>
              </w:rPr>
            </w:pPr>
            <w:r>
              <w:rPr>
                <w:rFonts w:hint="eastAsia"/>
                <w:b w:val="0"/>
                <w:bCs w:val="0"/>
                <w:color w:val="auto"/>
                <w:sz w:val="24"/>
                <w:szCs w:val="24"/>
                <w:highlight w:val="none"/>
                <w:lang w:val="en-US" w:eastAsia="zh-CN"/>
              </w:rPr>
              <w:t>项目运营期锅炉烟气污染物</w:t>
            </w:r>
            <w:r>
              <w:rPr>
                <w:rFonts w:hint="eastAsia"/>
                <w:color w:val="auto"/>
                <w:sz w:val="24"/>
                <w:szCs w:val="24"/>
                <w:highlight w:val="none"/>
              </w:rPr>
              <w:t>颗粒物、SO</w:t>
            </w:r>
            <w:r>
              <w:rPr>
                <w:rFonts w:hint="eastAsia"/>
                <w:color w:val="auto"/>
                <w:sz w:val="24"/>
                <w:szCs w:val="24"/>
                <w:highlight w:val="none"/>
                <w:vertAlign w:val="subscript"/>
              </w:rPr>
              <w:t>2</w:t>
            </w:r>
            <w:r>
              <w:rPr>
                <w:rFonts w:hint="eastAsia"/>
                <w:color w:val="auto"/>
                <w:sz w:val="24"/>
                <w:szCs w:val="24"/>
                <w:highlight w:val="none"/>
              </w:rPr>
              <w:t>、NO</w:t>
            </w:r>
            <w:r>
              <w:rPr>
                <w:rFonts w:hint="eastAsia"/>
                <w:color w:val="auto"/>
                <w:sz w:val="24"/>
                <w:szCs w:val="24"/>
                <w:highlight w:val="none"/>
                <w:vertAlign w:val="subscript"/>
              </w:rPr>
              <w:t>X</w:t>
            </w:r>
            <w:r>
              <w:rPr>
                <w:rFonts w:hint="eastAsia" w:ascii="Times New Roman" w:hAnsi="Times New Roman" w:eastAsia="宋体" w:cs="Times New Roman"/>
                <w:color w:val="auto"/>
                <w:sz w:val="24"/>
                <w:szCs w:val="24"/>
                <w:highlight w:val="none"/>
                <w:lang w:val="en-US" w:eastAsia="zh-CN"/>
              </w:rPr>
              <w:t>、汞及其化合物、烟气黑度的排放浓度执行《锅炉大气污染物排放标准》（GB13271-2014）表3中燃</w:t>
            </w:r>
            <w:r>
              <w:rPr>
                <w:rFonts w:hint="eastAsia"/>
                <w:color w:val="auto"/>
                <w:sz w:val="24"/>
                <w:szCs w:val="24"/>
                <w:highlight w:val="none"/>
              </w:rPr>
              <w:t>煤锅炉大气污染物特别排放限值</w:t>
            </w:r>
            <w:r>
              <w:rPr>
                <w:rFonts w:hint="eastAsia"/>
                <w:color w:val="auto"/>
                <w:sz w:val="24"/>
                <w:szCs w:val="24"/>
                <w:highlight w:val="none"/>
                <w:lang w:eastAsia="zh-CN"/>
              </w:rPr>
              <w:t>，</w:t>
            </w:r>
            <w:r>
              <w:rPr>
                <w:rFonts w:hint="eastAsia"/>
                <w:color w:val="auto"/>
                <w:sz w:val="24"/>
                <w:szCs w:val="24"/>
                <w:highlight w:val="none"/>
                <w:lang w:val="en-US" w:eastAsia="zh-CN"/>
              </w:rPr>
              <w:t>废气排放标准具体执行情况如下表所示。</w:t>
            </w:r>
          </w:p>
          <w:p w14:paraId="5DD78715">
            <w:pPr>
              <w:widowControl/>
              <w:spacing w:line="240" w:lineRule="auto"/>
              <w:jc w:val="center"/>
              <w:rPr>
                <w:rFonts w:hint="default"/>
                <w:b/>
                <w:bCs/>
                <w:color w:val="auto"/>
                <w:sz w:val="21"/>
                <w:szCs w:val="21"/>
                <w:highlight w:val="none"/>
                <w:lang w:val="en-US" w:eastAsia="zh-CN"/>
              </w:rPr>
            </w:pPr>
            <w:r>
              <w:rPr>
                <w:rFonts w:hint="eastAsia"/>
                <w:b/>
                <w:bCs/>
                <w:color w:val="auto"/>
                <w:sz w:val="21"/>
                <w:szCs w:val="21"/>
                <w:highlight w:val="none"/>
                <w:lang w:val="en-US" w:eastAsia="zh-CN"/>
              </w:rPr>
              <w:t>表3-8  大气污染物特别排放限值（燃煤锅炉）  单位:mg/m</w:t>
            </w:r>
            <w:r>
              <w:rPr>
                <w:rFonts w:hint="eastAsia"/>
                <w:b/>
                <w:bCs/>
                <w:color w:val="auto"/>
                <w:sz w:val="21"/>
                <w:szCs w:val="21"/>
                <w:highlight w:val="none"/>
                <w:vertAlign w:val="superscript"/>
                <w:lang w:val="en-US" w:eastAsia="zh-CN"/>
              </w:rPr>
              <w:t>3</w:t>
            </w:r>
          </w:p>
          <w:tbl>
            <w:tblPr>
              <w:tblStyle w:val="21"/>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325"/>
              <w:gridCol w:w="2911"/>
              <w:gridCol w:w="2533"/>
            </w:tblGrid>
            <w:tr w14:paraId="6D8ABA7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25" w:type="dxa"/>
                  <w:vMerge w:val="restart"/>
                  <w:tcBorders>
                    <w:tl2br w:val="nil"/>
                    <w:tr2bl w:val="nil"/>
                  </w:tcBorders>
                  <w:vAlign w:val="center"/>
                </w:tcPr>
                <w:p w14:paraId="42BE6F2C">
                  <w:pPr>
                    <w:widowControl/>
                    <w:spacing w:line="240" w:lineRule="auto"/>
                    <w:jc w:val="center"/>
                    <w:rPr>
                      <w:rFonts w:hint="default"/>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污染物项目</w:t>
                  </w:r>
                </w:p>
              </w:tc>
              <w:tc>
                <w:tcPr>
                  <w:tcW w:w="2911" w:type="dxa"/>
                  <w:tcBorders>
                    <w:tl2br w:val="nil"/>
                    <w:tr2bl w:val="nil"/>
                  </w:tcBorders>
                  <w:vAlign w:val="center"/>
                </w:tcPr>
                <w:p w14:paraId="4A64D619">
                  <w:pPr>
                    <w:widowControl/>
                    <w:spacing w:line="240" w:lineRule="auto"/>
                    <w:jc w:val="center"/>
                    <w:rPr>
                      <w:rFonts w:hint="default"/>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限值</w:t>
                  </w:r>
                </w:p>
              </w:tc>
              <w:tc>
                <w:tcPr>
                  <w:tcW w:w="2533" w:type="dxa"/>
                  <w:vMerge w:val="restart"/>
                  <w:tcBorders>
                    <w:tl2br w:val="nil"/>
                    <w:tr2bl w:val="nil"/>
                  </w:tcBorders>
                  <w:vAlign w:val="center"/>
                </w:tcPr>
                <w:p w14:paraId="1EAA2C1A">
                  <w:pPr>
                    <w:widowControl/>
                    <w:spacing w:line="240" w:lineRule="auto"/>
                    <w:jc w:val="center"/>
                    <w:rPr>
                      <w:rFonts w:hint="default"/>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污染物排放监控位置</w:t>
                  </w:r>
                </w:p>
              </w:tc>
            </w:tr>
            <w:tr w14:paraId="3DCCFB5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325" w:type="dxa"/>
                  <w:vMerge w:val="continue"/>
                  <w:tcBorders>
                    <w:tl2br w:val="nil"/>
                    <w:tr2bl w:val="nil"/>
                  </w:tcBorders>
                  <w:vAlign w:val="center"/>
                </w:tcPr>
                <w:p w14:paraId="7CEB5AAB">
                  <w:pPr>
                    <w:widowControl/>
                    <w:spacing w:line="240" w:lineRule="auto"/>
                    <w:jc w:val="center"/>
                    <w:rPr>
                      <w:rFonts w:hint="eastAsia"/>
                      <w:b w:val="0"/>
                      <w:bCs w:val="0"/>
                      <w:color w:val="auto"/>
                      <w:sz w:val="21"/>
                      <w:szCs w:val="21"/>
                      <w:highlight w:val="none"/>
                      <w:vertAlign w:val="baseline"/>
                      <w:lang w:eastAsia="zh-CN"/>
                    </w:rPr>
                  </w:pPr>
                </w:p>
              </w:tc>
              <w:tc>
                <w:tcPr>
                  <w:tcW w:w="2911" w:type="dxa"/>
                  <w:tcBorders>
                    <w:tl2br w:val="nil"/>
                    <w:tr2bl w:val="nil"/>
                  </w:tcBorders>
                  <w:vAlign w:val="center"/>
                </w:tcPr>
                <w:p w14:paraId="575725A2">
                  <w:pPr>
                    <w:widowControl/>
                    <w:spacing w:line="240" w:lineRule="auto"/>
                    <w:jc w:val="center"/>
                    <w:rPr>
                      <w:rFonts w:hint="default"/>
                      <w:b w:val="0"/>
                      <w:bCs w:val="0"/>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燃煤锅炉</w:t>
                  </w:r>
                </w:p>
              </w:tc>
              <w:tc>
                <w:tcPr>
                  <w:tcW w:w="2533" w:type="dxa"/>
                  <w:vMerge w:val="continue"/>
                  <w:tcBorders>
                    <w:tl2br w:val="nil"/>
                    <w:tr2bl w:val="nil"/>
                  </w:tcBorders>
                  <w:vAlign w:val="center"/>
                </w:tcPr>
                <w:p w14:paraId="10AB6191">
                  <w:pPr>
                    <w:widowControl/>
                    <w:spacing w:line="240" w:lineRule="auto"/>
                    <w:jc w:val="center"/>
                    <w:rPr>
                      <w:rFonts w:hint="default"/>
                      <w:b w:val="0"/>
                      <w:bCs w:val="0"/>
                      <w:color w:val="auto"/>
                      <w:sz w:val="21"/>
                      <w:szCs w:val="21"/>
                      <w:highlight w:val="none"/>
                      <w:vertAlign w:val="baseline"/>
                      <w:lang w:val="en-US" w:eastAsia="zh-CN"/>
                    </w:rPr>
                  </w:pPr>
                </w:p>
              </w:tc>
            </w:tr>
            <w:tr w14:paraId="50946A7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25" w:type="dxa"/>
                  <w:tcBorders>
                    <w:tl2br w:val="nil"/>
                    <w:tr2bl w:val="nil"/>
                  </w:tcBorders>
                  <w:vAlign w:val="center"/>
                </w:tcPr>
                <w:p w14:paraId="72BCE32B">
                  <w:pPr>
                    <w:widowControl/>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颗粒物</w:t>
                  </w:r>
                </w:p>
              </w:tc>
              <w:tc>
                <w:tcPr>
                  <w:tcW w:w="2911" w:type="dxa"/>
                  <w:tcBorders>
                    <w:tl2br w:val="nil"/>
                    <w:tr2bl w:val="nil"/>
                  </w:tcBorders>
                  <w:vAlign w:val="center"/>
                </w:tcPr>
                <w:p w14:paraId="0E4FF99A">
                  <w:pPr>
                    <w:widowControl/>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30</w:t>
                  </w:r>
                </w:p>
              </w:tc>
              <w:tc>
                <w:tcPr>
                  <w:tcW w:w="2533" w:type="dxa"/>
                  <w:vMerge w:val="restart"/>
                  <w:tcBorders>
                    <w:tl2br w:val="nil"/>
                    <w:tr2bl w:val="nil"/>
                  </w:tcBorders>
                  <w:vAlign w:val="center"/>
                </w:tcPr>
                <w:p w14:paraId="68DFFF33">
                  <w:pPr>
                    <w:widowControl/>
                    <w:spacing w:line="240" w:lineRule="auto"/>
                    <w:jc w:val="center"/>
                    <w:rPr>
                      <w:rFonts w:hint="eastAsia"/>
                      <w:b w:val="0"/>
                      <w:bCs w:val="0"/>
                      <w:color w:val="auto"/>
                      <w:sz w:val="21"/>
                      <w:szCs w:val="21"/>
                      <w:highlight w:val="none"/>
                      <w:vertAlign w:val="baseline"/>
                      <w:lang w:eastAsia="zh-CN"/>
                    </w:rPr>
                  </w:pPr>
                  <w:r>
                    <w:rPr>
                      <w:rFonts w:hint="eastAsia"/>
                      <w:b w:val="0"/>
                      <w:bCs w:val="0"/>
                      <w:color w:val="auto"/>
                      <w:sz w:val="21"/>
                      <w:szCs w:val="21"/>
                      <w:highlight w:val="none"/>
                      <w:vertAlign w:val="baseline"/>
                      <w:lang w:val="en-US" w:eastAsia="zh-CN"/>
                    </w:rPr>
                    <w:t>烟囱或烟道</w:t>
                  </w:r>
                </w:p>
              </w:tc>
            </w:tr>
            <w:tr w14:paraId="725D5DB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25" w:type="dxa"/>
                  <w:tcBorders>
                    <w:tl2br w:val="nil"/>
                    <w:tr2bl w:val="nil"/>
                  </w:tcBorders>
                  <w:vAlign w:val="center"/>
                </w:tcPr>
                <w:p w14:paraId="59A66D3C">
                  <w:pPr>
                    <w:widowControl/>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二氧化硫</w:t>
                  </w:r>
                </w:p>
              </w:tc>
              <w:tc>
                <w:tcPr>
                  <w:tcW w:w="2911" w:type="dxa"/>
                  <w:tcBorders>
                    <w:tl2br w:val="nil"/>
                    <w:tr2bl w:val="nil"/>
                  </w:tcBorders>
                  <w:vAlign w:val="center"/>
                </w:tcPr>
                <w:p w14:paraId="6299A193">
                  <w:pPr>
                    <w:widowControl/>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200</w:t>
                  </w:r>
                </w:p>
              </w:tc>
              <w:tc>
                <w:tcPr>
                  <w:tcW w:w="2533" w:type="dxa"/>
                  <w:vMerge w:val="continue"/>
                  <w:tcBorders>
                    <w:tl2br w:val="nil"/>
                    <w:tr2bl w:val="nil"/>
                  </w:tcBorders>
                  <w:vAlign w:val="center"/>
                </w:tcPr>
                <w:p w14:paraId="363E55DB">
                  <w:pPr>
                    <w:widowControl/>
                    <w:spacing w:line="240" w:lineRule="auto"/>
                    <w:jc w:val="center"/>
                    <w:rPr>
                      <w:rFonts w:hint="eastAsia"/>
                      <w:b w:val="0"/>
                      <w:bCs w:val="0"/>
                      <w:color w:val="auto"/>
                      <w:sz w:val="21"/>
                      <w:szCs w:val="21"/>
                      <w:highlight w:val="none"/>
                      <w:vertAlign w:val="baseline"/>
                      <w:lang w:eastAsia="zh-CN"/>
                    </w:rPr>
                  </w:pPr>
                </w:p>
              </w:tc>
            </w:tr>
            <w:tr w14:paraId="426D658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25" w:type="dxa"/>
                  <w:tcBorders>
                    <w:tl2br w:val="nil"/>
                    <w:tr2bl w:val="nil"/>
                  </w:tcBorders>
                  <w:vAlign w:val="center"/>
                </w:tcPr>
                <w:p w14:paraId="5FAFCC57">
                  <w:pPr>
                    <w:widowControl/>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氮氧化物</w:t>
                  </w:r>
                </w:p>
              </w:tc>
              <w:tc>
                <w:tcPr>
                  <w:tcW w:w="2911" w:type="dxa"/>
                  <w:tcBorders>
                    <w:tl2br w:val="nil"/>
                    <w:tr2bl w:val="nil"/>
                  </w:tcBorders>
                  <w:vAlign w:val="center"/>
                </w:tcPr>
                <w:p w14:paraId="522F39CC">
                  <w:pPr>
                    <w:widowControl/>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200</w:t>
                  </w:r>
                </w:p>
              </w:tc>
              <w:tc>
                <w:tcPr>
                  <w:tcW w:w="2533" w:type="dxa"/>
                  <w:vMerge w:val="continue"/>
                  <w:tcBorders>
                    <w:tl2br w:val="nil"/>
                    <w:tr2bl w:val="nil"/>
                  </w:tcBorders>
                  <w:vAlign w:val="center"/>
                </w:tcPr>
                <w:p w14:paraId="3AC4D5B3">
                  <w:pPr>
                    <w:widowControl/>
                    <w:spacing w:line="240" w:lineRule="auto"/>
                    <w:jc w:val="center"/>
                    <w:rPr>
                      <w:rFonts w:hint="eastAsia"/>
                      <w:b w:val="0"/>
                      <w:bCs w:val="0"/>
                      <w:color w:val="auto"/>
                      <w:sz w:val="21"/>
                      <w:szCs w:val="21"/>
                      <w:highlight w:val="none"/>
                      <w:vertAlign w:val="baseline"/>
                      <w:lang w:eastAsia="zh-CN"/>
                    </w:rPr>
                  </w:pPr>
                </w:p>
              </w:tc>
            </w:tr>
            <w:tr w14:paraId="357FE51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25" w:type="dxa"/>
                  <w:tcBorders>
                    <w:tl2br w:val="nil"/>
                    <w:tr2bl w:val="nil"/>
                  </w:tcBorders>
                  <w:vAlign w:val="center"/>
                </w:tcPr>
                <w:p w14:paraId="41DD68B3">
                  <w:pPr>
                    <w:widowControl/>
                    <w:spacing w:line="240" w:lineRule="auto"/>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汞及其化合物</w:t>
                  </w:r>
                </w:p>
              </w:tc>
              <w:tc>
                <w:tcPr>
                  <w:tcW w:w="2911" w:type="dxa"/>
                  <w:tcBorders>
                    <w:tl2br w:val="nil"/>
                    <w:tr2bl w:val="nil"/>
                  </w:tcBorders>
                  <w:vAlign w:val="center"/>
                </w:tcPr>
                <w:p w14:paraId="00794600">
                  <w:pPr>
                    <w:widowControl/>
                    <w:spacing w:line="240" w:lineRule="auto"/>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0.05</w:t>
                  </w:r>
                </w:p>
              </w:tc>
              <w:tc>
                <w:tcPr>
                  <w:tcW w:w="2533" w:type="dxa"/>
                  <w:vMerge w:val="continue"/>
                  <w:tcBorders>
                    <w:tl2br w:val="nil"/>
                    <w:tr2bl w:val="nil"/>
                  </w:tcBorders>
                  <w:vAlign w:val="center"/>
                </w:tcPr>
                <w:p w14:paraId="3F7999F1">
                  <w:pPr>
                    <w:widowControl/>
                    <w:spacing w:line="240" w:lineRule="auto"/>
                    <w:jc w:val="center"/>
                    <w:rPr>
                      <w:rFonts w:hint="eastAsia"/>
                      <w:b w:val="0"/>
                      <w:bCs w:val="0"/>
                      <w:color w:val="auto"/>
                      <w:sz w:val="21"/>
                      <w:szCs w:val="21"/>
                      <w:highlight w:val="none"/>
                      <w:vertAlign w:val="baseline"/>
                      <w:lang w:eastAsia="zh-CN"/>
                    </w:rPr>
                  </w:pPr>
                </w:p>
              </w:tc>
            </w:tr>
            <w:tr w14:paraId="600BAD5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25" w:type="dxa"/>
                  <w:tcBorders>
                    <w:tl2br w:val="nil"/>
                    <w:tr2bl w:val="nil"/>
                  </w:tcBorders>
                  <w:vAlign w:val="center"/>
                </w:tcPr>
                <w:p w14:paraId="61E61924">
                  <w:pPr>
                    <w:widowControl/>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烟气黑度（林格曼黑度，级）</w:t>
                  </w:r>
                </w:p>
              </w:tc>
              <w:tc>
                <w:tcPr>
                  <w:tcW w:w="2911" w:type="dxa"/>
                  <w:tcBorders>
                    <w:tl2br w:val="nil"/>
                    <w:tr2bl w:val="nil"/>
                  </w:tcBorders>
                  <w:vAlign w:val="center"/>
                </w:tcPr>
                <w:p w14:paraId="186F1F27">
                  <w:pPr>
                    <w:widowControl/>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≤1</w:t>
                  </w:r>
                </w:p>
              </w:tc>
              <w:tc>
                <w:tcPr>
                  <w:tcW w:w="2533" w:type="dxa"/>
                  <w:tcBorders>
                    <w:tl2br w:val="nil"/>
                    <w:tr2bl w:val="nil"/>
                  </w:tcBorders>
                  <w:vAlign w:val="center"/>
                </w:tcPr>
                <w:p w14:paraId="7A2EB48A">
                  <w:pPr>
                    <w:widowControl/>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烟囱排放口</w:t>
                  </w:r>
                </w:p>
              </w:tc>
            </w:tr>
          </w:tbl>
          <w:p w14:paraId="2073A55F">
            <w:pPr>
              <w:pStyle w:val="16"/>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firstLine="480" w:firstLineChars="200"/>
              <w:jc w:val="left"/>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2.厂界</w:t>
            </w:r>
          </w:p>
          <w:p w14:paraId="3935BFA1">
            <w:pPr>
              <w:keepNext w:val="0"/>
              <w:keepLines w:val="0"/>
              <w:pageBreakBefore w:val="0"/>
              <w:widowControl w:val="0"/>
              <w:kinsoku/>
              <w:wordWrap/>
              <w:overflowPunct/>
              <w:topLinePunct w:val="0"/>
              <w:autoSpaceDE/>
              <w:autoSpaceDN/>
              <w:bidi w:val="0"/>
              <w:spacing w:line="360" w:lineRule="auto"/>
              <w:ind w:left="0" w:leftChars="0" w:firstLine="480" w:firstLineChars="200"/>
              <w:jc w:val="left"/>
              <w:textAlignment w:val="auto"/>
              <w:rPr>
                <w:rFonts w:hint="eastAsia" w:ascii="Times New Roman" w:hAnsi="Times New Roman" w:eastAsia="宋体" w:cs="Times New Roman"/>
                <w:b w:val="0"/>
                <w:bCs w:val="0"/>
                <w:color w:val="auto"/>
                <w:sz w:val="24"/>
                <w:szCs w:val="24"/>
                <w:highlight w:val="none"/>
                <w:lang w:val="en-US" w:eastAsia="zh-CN"/>
              </w:rPr>
            </w:pPr>
            <w:r>
              <w:rPr>
                <w:rFonts w:hint="eastAsia" w:ascii="宋体" w:hAnsi="宋体" w:cs="宋体"/>
                <w:color w:val="auto"/>
                <w:kern w:val="0"/>
                <w:sz w:val="24"/>
                <w:szCs w:val="24"/>
                <w:highlight w:val="none"/>
                <w:lang w:val="en-US" w:eastAsia="zh-CN"/>
              </w:rPr>
              <w:t>项目运营期颗粒物无组织</w:t>
            </w:r>
            <w:r>
              <w:rPr>
                <w:rFonts w:hint="eastAsia" w:cs="Times New Roman"/>
                <w:b w:val="0"/>
                <w:bCs w:val="0"/>
                <w:color w:val="auto"/>
                <w:sz w:val="24"/>
                <w:szCs w:val="24"/>
                <w:highlight w:val="none"/>
                <w:lang w:val="en-US" w:eastAsia="zh-CN"/>
              </w:rPr>
              <w:t>执行</w:t>
            </w:r>
            <w:r>
              <w:rPr>
                <w:rFonts w:hint="default" w:ascii="Times New Roman" w:hAnsi="Times New Roman" w:eastAsia="宋体" w:cs="Times New Roman"/>
                <w:b w:val="0"/>
                <w:bCs w:val="0"/>
                <w:color w:val="auto"/>
                <w:sz w:val="24"/>
                <w:szCs w:val="24"/>
                <w:highlight w:val="none"/>
                <w:lang w:val="en-US" w:eastAsia="zh-CN"/>
              </w:rPr>
              <w:t>《大气污染物综合排放标准》（GB16297-1996）表2</w:t>
            </w:r>
            <w:r>
              <w:rPr>
                <w:rFonts w:hint="eastAsia" w:ascii="Times New Roman" w:hAnsi="Times New Roman" w:eastAsia="宋体" w:cs="Times New Roman"/>
                <w:b w:val="0"/>
                <w:bCs w:val="0"/>
                <w:color w:val="auto"/>
                <w:sz w:val="24"/>
                <w:szCs w:val="24"/>
                <w:highlight w:val="none"/>
                <w:lang w:val="en-US" w:eastAsia="zh-CN"/>
              </w:rPr>
              <w:t>无组织排放浓度限值。</w:t>
            </w:r>
          </w:p>
          <w:p w14:paraId="72A7F3B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表3-</w:t>
            </w:r>
            <w:r>
              <w:rPr>
                <w:rFonts w:hint="eastAsia" w:cs="Times New Roman"/>
                <w:b/>
                <w:bCs/>
                <w:color w:val="auto"/>
                <w:sz w:val="21"/>
                <w:szCs w:val="21"/>
                <w:highlight w:val="none"/>
                <w:lang w:val="en-US" w:eastAsia="zh-CN"/>
              </w:rPr>
              <w:t xml:space="preserve">9  </w:t>
            </w:r>
            <w:r>
              <w:rPr>
                <w:rFonts w:hint="eastAsia" w:ascii="Times New Roman" w:hAnsi="Times New Roman" w:eastAsia="宋体" w:cs="Times New Roman"/>
                <w:b/>
                <w:bCs/>
                <w:color w:val="auto"/>
                <w:sz w:val="21"/>
                <w:szCs w:val="21"/>
                <w:highlight w:val="none"/>
                <w:lang w:val="en-US" w:eastAsia="zh-CN"/>
              </w:rPr>
              <w:t>《大气污染物综合排放标准》（GB16297-1996）表2</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416"/>
              <w:gridCol w:w="2378"/>
              <w:gridCol w:w="2976"/>
            </w:tblGrid>
            <w:tr w14:paraId="2B25F24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947" w:type="pct"/>
                  <w:vMerge w:val="restart"/>
                  <w:tcBorders>
                    <w:tl2br w:val="nil"/>
                    <w:tr2bl w:val="nil"/>
                  </w:tcBorders>
                  <w:noWrap w:val="0"/>
                  <w:vAlign w:val="center"/>
                </w:tcPr>
                <w:p w14:paraId="5DE8A3AB">
                  <w:pPr>
                    <w:spacing w:after="12" w:line="240" w:lineRule="auto"/>
                    <w:jc w:val="center"/>
                    <w:rPr>
                      <w:b/>
                      <w:bCs/>
                      <w:color w:val="auto"/>
                      <w:sz w:val="21"/>
                      <w:szCs w:val="21"/>
                      <w:highlight w:val="none"/>
                    </w:rPr>
                  </w:pPr>
                  <w:r>
                    <w:rPr>
                      <w:rFonts w:hAnsi="宋体"/>
                      <w:b/>
                      <w:bCs/>
                      <w:color w:val="auto"/>
                      <w:sz w:val="21"/>
                      <w:szCs w:val="21"/>
                      <w:highlight w:val="none"/>
                    </w:rPr>
                    <w:t>污染物</w:t>
                  </w:r>
                </w:p>
              </w:tc>
              <w:tc>
                <w:tcPr>
                  <w:tcW w:w="3052" w:type="pct"/>
                  <w:gridSpan w:val="2"/>
                  <w:tcBorders>
                    <w:tl2br w:val="nil"/>
                    <w:tr2bl w:val="nil"/>
                  </w:tcBorders>
                  <w:noWrap w:val="0"/>
                  <w:vAlign w:val="center"/>
                </w:tcPr>
                <w:p w14:paraId="3323CE58">
                  <w:pPr>
                    <w:spacing w:after="12" w:line="240" w:lineRule="auto"/>
                    <w:jc w:val="center"/>
                    <w:rPr>
                      <w:b/>
                      <w:bCs/>
                      <w:color w:val="auto"/>
                      <w:sz w:val="21"/>
                      <w:szCs w:val="21"/>
                      <w:highlight w:val="none"/>
                    </w:rPr>
                  </w:pPr>
                  <w:r>
                    <w:rPr>
                      <w:b/>
                      <w:bCs/>
                      <w:color w:val="auto"/>
                      <w:spacing w:val="-6"/>
                      <w:sz w:val="21"/>
                      <w:szCs w:val="21"/>
                      <w:highlight w:val="none"/>
                    </w:rPr>
                    <w:t>无组织排放监控浓度限值</w:t>
                  </w:r>
                </w:p>
              </w:tc>
            </w:tr>
            <w:tr w14:paraId="7C98F71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947" w:type="pct"/>
                  <w:vMerge w:val="continue"/>
                  <w:tcBorders>
                    <w:tl2br w:val="nil"/>
                    <w:tr2bl w:val="nil"/>
                  </w:tcBorders>
                  <w:noWrap w:val="0"/>
                  <w:vAlign w:val="center"/>
                </w:tcPr>
                <w:p w14:paraId="302CFCD6">
                  <w:pPr>
                    <w:widowControl/>
                    <w:spacing w:line="240" w:lineRule="auto"/>
                    <w:jc w:val="center"/>
                    <w:rPr>
                      <w:b/>
                      <w:bCs/>
                      <w:color w:val="auto"/>
                      <w:sz w:val="21"/>
                      <w:szCs w:val="21"/>
                      <w:highlight w:val="none"/>
                    </w:rPr>
                  </w:pPr>
                </w:p>
              </w:tc>
              <w:tc>
                <w:tcPr>
                  <w:tcW w:w="1323" w:type="pct"/>
                  <w:tcBorders>
                    <w:tl2br w:val="nil"/>
                    <w:tr2bl w:val="nil"/>
                  </w:tcBorders>
                  <w:noWrap w:val="0"/>
                  <w:vAlign w:val="center"/>
                </w:tcPr>
                <w:p w14:paraId="5B7D6DC9">
                  <w:pPr>
                    <w:spacing w:after="12" w:line="240" w:lineRule="auto"/>
                    <w:jc w:val="center"/>
                    <w:rPr>
                      <w:b/>
                      <w:bCs/>
                      <w:color w:val="auto"/>
                      <w:sz w:val="21"/>
                      <w:szCs w:val="21"/>
                      <w:highlight w:val="none"/>
                    </w:rPr>
                  </w:pPr>
                  <w:r>
                    <w:rPr>
                      <w:b/>
                      <w:bCs/>
                      <w:color w:val="auto"/>
                      <w:sz w:val="21"/>
                      <w:szCs w:val="21"/>
                      <w:highlight w:val="none"/>
                    </w:rPr>
                    <w:t>监控点</w:t>
                  </w:r>
                </w:p>
              </w:tc>
              <w:tc>
                <w:tcPr>
                  <w:tcW w:w="1729" w:type="pct"/>
                  <w:tcBorders>
                    <w:tl2br w:val="nil"/>
                    <w:tr2bl w:val="nil"/>
                  </w:tcBorders>
                  <w:noWrap w:val="0"/>
                  <w:vAlign w:val="center"/>
                </w:tcPr>
                <w:p w14:paraId="39A055DD">
                  <w:pPr>
                    <w:spacing w:line="240" w:lineRule="auto"/>
                    <w:jc w:val="center"/>
                    <w:rPr>
                      <w:rFonts w:hint="eastAsia" w:eastAsia="宋体"/>
                      <w:b/>
                      <w:bCs/>
                      <w:color w:val="auto"/>
                      <w:spacing w:val="-6"/>
                      <w:sz w:val="21"/>
                      <w:szCs w:val="21"/>
                      <w:highlight w:val="none"/>
                      <w:lang w:eastAsia="zh-CN"/>
                    </w:rPr>
                  </w:pPr>
                  <w:r>
                    <w:rPr>
                      <w:b/>
                      <w:bCs/>
                      <w:color w:val="auto"/>
                      <w:spacing w:val="-6"/>
                      <w:sz w:val="21"/>
                      <w:szCs w:val="21"/>
                      <w:highlight w:val="none"/>
                    </w:rPr>
                    <w:t>浓度</w:t>
                  </w:r>
                  <w:r>
                    <w:rPr>
                      <w:rFonts w:hint="eastAsia"/>
                      <w:b/>
                      <w:bCs/>
                      <w:color w:val="auto"/>
                      <w:spacing w:val="-6"/>
                      <w:sz w:val="21"/>
                      <w:szCs w:val="21"/>
                      <w:highlight w:val="none"/>
                      <w:lang w:val="en-US" w:eastAsia="zh-CN"/>
                    </w:rPr>
                    <w:t>（</w:t>
                  </w:r>
                  <w:r>
                    <w:rPr>
                      <w:b/>
                      <w:bCs/>
                      <w:color w:val="auto"/>
                      <w:sz w:val="21"/>
                      <w:szCs w:val="21"/>
                      <w:highlight w:val="none"/>
                    </w:rPr>
                    <w:t>mg/m</w:t>
                  </w:r>
                  <w:r>
                    <w:rPr>
                      <w:b/>
                      <w:bCs/>
                      <w:color w:val="auto"/>
                      <w:sz w:val="21"/>
                      <w:szCs w:val="21"/>
                      <w:highlight w:val="none"/>
                      <w:vertAlign w:val="superscript"/>
                    </w:rPr>
                    <w:t>3</w:t>
                  </w:r>
                  <w:r>
                    <w:rPr>
                      <w:rFonts w:hint="eastAsia"/>
                      <w:b/>
                      <w:bCs/>
                      <w:color w:val="auto"/>
                      <w:sz w:val="21"/>
                      <w:szCs w:val="21"/>
                      <w:highlight w:val="none"/>
                      <w:lang w:eastAsia="zh-CN"/>
                    </w:rPr>
                    <w:t>）</w:t>
                  </w:r>
                </w:p>
              </w:tc>
            </w:tr>
            <w:tr w14:paraId="6F5C172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947" w:type="pct"/>
                  <w:tcBorders>
                    <w:tl2br w:val="nil"/>
                    <w:tr2bl w:val="nil"/>
                  </w:tcBorders>
                  <w:noWrap w:val="0"/>
                  <w:vAlign w:val="center"/>
                </w:tcPr>
                <w:p w14:paraId="674FF2FF">
                  <w:pPr>
                    <w:spacing w:after="12" w:line="240" w:lineRule="auto"/>
                    <w:jc w:val="center"/>
                    <w:rPr>
                      <w:rFonts w:hint="eastAsia" w:hAnsi="宋体" w:eastAsia="宋体"/>
                      <w:color w:val="auto"/>
                      <w:sz w:val="21"/>
                      <w:szCs w:val="21"/>
                      <w:highlight w:val="none"/>
                      <w:lang w:val="en-US" w:eastAsia="zh-CN"/>
                    </w:rPr>
                  </w:pPr>
                  <w:r>
                    <w:rPr>
                      <w:rFonts w:hint="eastAsia" w:hAnsi="宋体" w:eastAsia="宋体"/>
                      <w:color w:val="auto"/>
                      <w:sz w:val="21"/>
                      <w:szCs w:val="21"/>
                      <w:highlight w:val="none"/>
                      <w:lang w:val="en-US" w:eastAsia="zh-CN"/>
                    </w:rPr>
                    <w:t>颗粒物</w:t>
                  </w:r>
                </w:p>
              </w:tc>
              <w:tc>
                <w:tcPr>
                  <w:tcW w:w="1323" w:type="pct"/>
                  <w:tcBorders>
                    <w:tl2br w:val="nil"/>
                    <w:tr2bl w:val="nil"/>
                  </w:tcBorders>
                  <w:noWrap w:val="0"/>
                  <w:vAlign w:val="center"/>
                </w:tcPr>
                <w:p w14:paraId="3DBF48BA">
                  <w:pPr>
                    <w:spacing w:after="12" w:line="240" w:lineRule="auto"/>
                    <w:jc w:val="center"/>
                    <w:rPr>
                      <w:color w:val="auto"/>
                      <w:sz w:val="21"/>
                      <w:szCs w:val="21"/>
                      <w:highlight w:val="none"/>
                    </w:rPr>
                  </w:pPr>
                  <w:r>
                    <w:rPr>
                      <w:rFonts w:hint="eastAsia" w:ascii="Times New Roman" w:hAnsi="Times New Roman" w:eastAsia="宋体" w:cs="Times New Roman"/>
                      <w:color w:val="auto"/>
                      <w:sz w:val="21"/>
                      <w:szCs w:val="21"/>
                      <w:highlight w:val="none"/>
                    </w:rPr>
                    <w:t>周界外浓度最高点</w:t>
                  </w:r>
                </w:p>
              </w:tc>
              <w:tc>
                <w:tcPr>
                  <w:tcW w:w="1729" w:type="pct"/>
                  <w:tcBorders>
                    <w:tl2br w:val="nil"/>
                    <w:tr2bl w:val="nil"/>
                  </w:tcBorders>
                  <w:noWrap w:val="0"/>
                  <w:vAlign w:val="center"/>
                </w:tcPr>
                <w:p w14:paraId="6628293D">
                  <w:pPr>
                    <w:spacing w:line="240" w:lineRule="auto"/>
                    <w:jc w:val="center"/>
                    <w:rPr>
                      <w:rFonts w:hint="default" w:eastAsia="宋体"/>
                      <w:color w:val="auto"/>
                      <w:spacing w:val="-6"/>
                      <w:sz w:val="21"/>
                      <w:szCs w:val="21"/>
                      <w:highlight w:val="none"/>
                      <w:lang w:val="en-US" w:eastAsia="zh-CN"/>
                    </w:rPr>
                  </w:pPr>
                  <w:r>
                    <w:rPr>
                      <w:rFonts w:hint="eastAsia"/>
                      <w:color w:val="auto"/>
                      <w:spacing w:val="-6"/>
                      <w:sz w:val="21"/>
                      <w:szCs w:val="21"/>
                      <w:highlight w:val="none"/>
                      <w:lang w:val="en-US" w:eastAsia="zh-CN"/>
                    </w:rPr>
                    <w:t>1.</w:t>
                  </w:r>
                  <w:r>
                    <w:rPr>
                      <w:color w:val="auto"/>
                      <w:spacing w:val="-6"/>
                      <w:sz w:val="21"/>
                      <w:szCs w:val="21"/>
                      <w:highlight w:val="none"/>
                    </w:rPr>
                    <w:t>0</w:t>
                  </w:r>
                </w:p>
              </w:tc>
            </w:tr>
          </w:tbl>
          <w:p w14:paraId="231A4224">
            <w:pPr>
              <w:keepNext w:val="0"/>
              <w:keepLines w:val="0"/>
              <w:pageBreakBefore w:val="0"/>
              <w:widowControl/>
              <w:kinsoku/>
              <w:wordWrap/>
              <w:overflowPunct/>
              <w:topLinePunct w:val="0"/>
              <w:autoSpaceDE/>
              <w:autoSpaceDN/>
              <w:bidi w:val="0"/>
              <w:adjustRightInd/>
              <w:snapToGrid/>
              <w:spacing w:before="157" w:beforeLines="50" w:line="360" w:lineRule="auto"/>
              <w:ind w:firstLine="482" w:firstLineChars="200"/>
              <w:jc w:val="left"/>
              <w:textAlignment w:val="auto"/>
              <w:rPr>
                <w:rFonts w:hint="eastAsia"/>
                <w:b/>
                <w:bCs/>
                <w:color w:val="auto"/>
                <w:sz w:val="24"/>
                <w:szCs w:val="24"/>
                <w:highlight w:val="none"/>
                <w:lang w:val="en-US" w:eastAsia="zh-CN"/>
              </w:rPr>
            </w:pPr>
          </w:p>
          <w:p w14:paraId="5A8FE3A1">
            <w:pPr>
              <w:keepNext w:val="0"/>
              <w:keepLines w:val="0"/>
              <w:pageBreakBefore w:val="0"/>
              <w:widowControl/>
              <w:kinsoku/>
              <w:wordWrap/>
              <w:overflowPunct/>
              <w:topLinePunct w:val="0"/>
              <w:autoSpaceDE/>
              <w:autoSpaceDN/>
              <w:bidi w:val="0"/>
              <w:adjustRightInd/>
              <w:snapToGrid/>
              <w:spacing w:before="157" w:beforeLines="50" w:line="360" w:lineRule="auto"/>
              <w:ind w:firstLine="482" w:firstLineChars="200"/>
              <w:jc w:val="left"/>
              <w:textAlignment w:val="auto"/>
              <w:rPr>
                <w:rFonts w:hint="default"/>
                <w:b/>
                <w:bCs/>
                <w:color w:val="auto"/>
                <w:sz w:val="24"/>
                <w:szCs w:val="24"/>
                <w:highlight w:val="none"/>
                <w:lang w:val="en-US" w:eastAsia="zh-CN"/>
              </w:rPr>
            </w:pPr>
            <w:r>
              <w:rPr>
                <w:rFonts w:hint="eastAsia"/>
                <w:b/>
                <w:bCs/>
                <w:color w:val="auto"/>
                <w:sz w:val="24"/>
                <w:szCs w:val="24"/>
                <w:highlight w:val="none"/>
                <w:lang w:val="en-US" w:eastAsia="zh-CN"/>
              </w:rPr>
              <w:t>二、污水排放标准</w:t>
            </w:r>
          </w:p>
          <w:p w14:paraId="0EE48953">
            <w:pPr>
              <w:pStyle w:val="57"/>
              <w:bidi w:val="0"/>
              <w:rPr>
                <w:rFonts w:hint="default"/>
                <w:lang w:val="en-US" w:eastAsia="zh-CN"/>
              </w:rPr>
            </w:pPr>
            <w:r>
              <w:rPr>
                <w:rFonts w:hint="eastAsia"/>
                <w:lang w:val="en-US" w:eastAsia="zh-CN"/>
              </w:rPr>
              <w:t>项目运</w:t>
            </w:r>
            <w:r>
              <w:rPr>
                <w:rFonts w:hint="eastAsia" w:ascii="Times New Roman" w:hAnsi="Times New Roman" w:eastAsia="宋体" w:cs="Times New Roman"/>
                <w:lang w:val="en-US" w:eastAsia="zh-CN"/>
              </w:rPr>
              <w:t>营期产生的生活污水、锅炉排污水及软化处理废水均排入厂区化粪池内，定期由吸污车拉运至</w:t>
            </w:r>
            <w:r>
              <w:rPr>
                <w:rFonts w:hint="default" w:ascii="Times New Roman" w:hAnsi="Times New Roman" w:eastAsia="宋体" w:cs="Times New Roman"/>
                <w:lang w:val="en-US" w:eastAsia="zh-CN"/>
              </w:rPr>
              <w:t>饶河县西林子乡污水处理站</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污水处理站出水水质</w:t>
            </w:r>
            <w:r>
              <w:rPr>
                <w:rFonts w:hint="eastAsia" w:ascii="Times New Roman" w:hAnsi="Times New Roman" w:eastAsia="宋体" w:cs="Times New Roman"/>
                <w:lang w:val="en-US" w:eastAsia="zh-CN"/>
              </w:rPr>
              <w:t>达标后排入小安河。项目化粪池出水水质执行</w:t>
            </w:r>
            <w:r>
              <w:rPr>
                <w:rFonts w:hint="default" w:ascii="Times New Roman" w:hAnsi="Times New Roman" w:cs="Times New Roman"/>
                <w:color w:val="auto"/>
                <w:sz w:val="24"/>
                <w:szCs w:val="24"/>
                <w:highlight w:val="none"/>
                <w:lang w:val="en-US" w:eastAsia="zh-CN"/>
              </w:rPr>
              <w:t>《污水综合排放标准》（GB8978-1996）表4中三级标准</w:t>
            </w:r>
            <w:r>
              <w:rPr>
                <w:rFonts w:hint="eastAsia" w:ascii="Times New Roman" w:hAnsi="Times New Roman" w:eastAsia="宋体" w:cs="Times New Roman"/>
                <w:lang w:val="en-US" w:eastAsia="zh-CN"/>
              </w:rPr>
              <w:t>，详见下表。</w:t>
            </w:r>
          </w:p>
          <w:p w14:paraId="30D70CED">
            <w:pPr>
              <w:pStyle w:val="57"/>
              <w:bidi w:val="0"/>
              <w:ind w:left="0" w:leftChars="0" w:firstLine="0" w:firstLineChars="0"/>
              <w:jc w:val="center"/>
              <w:rPr>
                <w:rFonts w:hint="default"/>
                <w:b/>
                <w:bCs/>
                <w:sz w:val="21"/>
                <w:szCs w:val="21"/>
                <w:lang w:val="en-US" w:eastAsia="zh-CN"/>
              </w:rPr>
            </w:pPr>
            <w:r>
              <w:rPr>
                <w:rFonts w:hint="eastAsia"/>
                <w:b/>
                <w:bCs/>
                <w:sz w:val="21"/>
                <w:szCs w:val="21"/>
                <w:lang w:val="en-US" w:eastAsia="zh-CN"/>
              </w:rPr>
              <w:t>表3-10  项目污水执行排放标准情况表</w:t>
            </w:r>
          </w:p>
          <w:tbl>
            <w:tblPr>
              <w:tblStyle w:val="21"/>
              <w:tblW w:w="8890"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22"/>
              <w:gridCol w:w="2222"/>
              <w:gridCol w:w="2222"/>
              <w:gridCol w:w="2224"/>
            </w:tblGrid>
            <w:tr w14:paraId="462A7CF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22" w:type="dxa"/>
                  <w:tcBorders>
                    <w:tl2br w:val="nil"/>
                    <w:tr2bl w:val="nil"/>
                  </w:tcBorders>
                  <w:vAlign w:val="center"/>
                </w:tcPr>
                <w:p w14:paraId="33A2A504">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sz w:val="21"/>
                      <w:szCs w:val="21"/>
                      <w:vertAlign w:val="baseline"/>
                      <w:lang w:val="en-US" w:eastAsia="zh-CN"/>
                    </w:rPr>
                  </w:pPr>
                  <w:r>
                    <w:rPr>
                      <w:rFonts w:hint="eastAsia"/>
                      <w:b/>
                      <w:bCs/>
                      <w:sz w:val="21"/>
                      <w:szCs w:val="21"/>
                      <w:vertAlign w:val="baseline"/>
                      <w:lang w:val="en-US" w:eastAsia="zh-CN"/>
                    </w:rPr>
                    <w:t>污染因子</w:t>
                  </w:r>
                </w:p>
              </w:tc>
              <w:tc>
                <w:tcPr>
                  <w:tcW w:w="2222" w:type="dxa"/>
                  <w:tcBorders>
                    <w:tl2br w:val="nil"/>
                    <w:tr2bl w:val="nil"/>
                  </w:tcBorders>
                  <w:vAlign w:val="center"/>
                </w:tcPr>
                <w:p w14:paraId="404EAD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b/>
                      <w:bCs/>
                      <w:sz w:val="21"/>
                      <w:szCs w:val="21"/>
                      <w:vertAlign w:val="baseline"/>
                      <w:lang w:val="en-US" w:eastAsia="zh-CN"/>
                    </w:rPr>
                  </w:pPr>
                  <w:r>
                    <w:rPr>
                      <w:rFonts w:hint="eastAsia"/>
                      <w:b/>
                      <w:bCs/>
                      <w:sz w:val="21"/>
                      <w:szCs w:val="21"/>
                      <w:vertAlign w:val="baseline"/>
                      <w:lang w:val="en-US" w:eastAsia="zh-CN"/>
                    </w:rPr>
                    <w:t>浓度限值</w:t>
                  </w:r>
                </w:p>
              </w:tc>
              <w:tc>
                <w:tcPr>
                  <w:tcW w:w="2222" w:type="dxa"/>
                  <w:tcBorders>
                    <w:tl2br w:val="nil"/>
                    <w:tr2bl w:val="nil"/>
                  </w:tcBorders>
                  <w:shd w:val="clear" w:color="auto" w:fill="auto"/>
                  <w:vAlign w:val="center"/>
                </w:tcPr>
                <w:p w14:paraId="5A3C6C46">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sz w:val="21"/>
                      <w:szCs w:val="21"/>
                      <w:vertAlign w:val="baseline"/>
                      <w:lang w:val="en-US" w:eastAsia="zh-CN" w:bidi="ar-SA"/>
                    </w:rPr>
                  </w:pPr>
                  <w:r>
                    <w:rPr>
                      <w:rFonts w:hint="eastAsia"/>
                      <w:b/>
                      <w:bCs/>
                      <w:sz w:val="21"/>
                      <w:szCs w:val="21"/>
                      <w:vertAlign w:val="baseline"/>
                      <w:lang w:val="en-US" w:eastAsia="zh-CN"/>
                    </w:rPr>
                    <w:t>污染因子</w:t>
                  </w:r>
                </w:p>
              </w:tc>
              <w:tc>
                <w:tcPr>
                  <w:tcW w:w="2224" w:type="dxa"/>
                  <w:tcBorders>
                    <w:tl2br w:val="nil"/>
                    <w:tr2bl w:val="nil"/>
                  </w:tcBorders>
                  <w:shd w:val="clear" w:color="auto" w:fill="auto"/>
                  <w:vAlign w:val="center"/>
                </w:tcPr>
                <w:p w14:paraId="39E774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kern w:val="2"/>
                      <w:sz w:val="21"/>
                      <w:szCs w:val="21"/>
                      <w:vertAlign w:val="baseline"/>
                      <w:lang w:val="en-US" w:eastAsia="zh-CN" w:bidi="ar-SA"/>
                    </w:rPr>
                  </w:pPr>
                  <w:r>
                    <w:rPr>
                      <w:rFonts w:hint="eastAsia"/>
                      <w:b/>
                      <w:bCs/>
                      <w:sz w:val="21"/>
                      <w:szCs w:val="21"/>
                      <w:vertAlign w:val="baseline"/>
                      <w:lang w:val="en-US" w:eastAsia="zh-CN"/>
                    </w:rPr>
                    <w:t>浓度限值</w:t>
                  </w:r>
                </w:p>
              </w:tc>
            </w:tr>
            <w:tr w14:paraId="732A7FA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22" w:type="dxa"/>
                  <w:tcBorders>
                    <w:tl2br w:val="nil"/>
                    <w:tr2bl w:val="nil"/>
                  </w:tcBorders>
                  <w:vAlign w:val="center"/>
                </w:tcPr>
                <w:p w14:paraId="5B64D962">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pH（无量纲）</w:t>
                  </w:r>
                </w:p>
              </w:tc>
              <w:tc>
                <w:tcPr>
                  <w:tcW w:w="2222" w:type="dxa"/>
                  <w:tcBorders>
                    <w:tl2br w:val="nil"/>
                    <w:tr2bl w:val="nil"/>
                  </w:tcBorders>
                  <w:vAlign w:val="center"/>
                </w:tcPr>
                <w:p w14:paraId="14F30075">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6-9</w:t>
                  </w:r>
                </w:p>
              </w:tc>
              <w:tc>
                <w:tcPr>
                  <w:tcW w:w="2222" w:type="dxa"/>
                  <w:tcBorders>
                    <w:tl2br w:val="nil"/>
                    <w:tr2bl w:val="nil"/>
                  </w:tcBorders>
                  <w:shd w:val="clear" w:color="auto" w:fill="auto"/>
                  <w:vAlign w:val="center"/>
                </w:tcPr>
                <w:p w14:paraId="0EC031C3">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sz w:val="21"/>
                      <w:szCs w:val="21"/>
                      <w:vertAlign w:val="baseline"/>
                      <w:lang w:val="en-US" w:eastAsia="zh-CN" w:bidi="ar-SA"/>
                    </w:rPr>
                  </w:pPr>
                  <w:r>
                    <w:rPr>
                      <w:rFonts w:hint="eastAsia" w:ascii="Times New Roman" w:hAnsi="Times New Roman" w:cs="Times New Roman"/>
                      <w:bCs/>
                      <w:sz w:val="21"/>
                      <w:szCs w:val="21"/>
                      <w:lang w:val="en-US" w:eastAsia="zh-CN"/>
                    </w:rPr>
                    <w:t>SS</w:t>
                  </w:r>
                </w:p>
              </w:tc>
              <w:tc>
                <w:tcPr>
                  <w:tcW w:w="2224" w:type="dxa"/>
                  <w:tcBorders>
                    <w:tl2br w:val="nil"/>
                    <w:tr2bl w:val="nil"/>
                  </w:tcBorders>
                  <w:shd w:val="clear" w:color="auto" w:fill="auto"/>
                  <w:vAlign w:val="center"/>
                </w:tcPr>
                <w:p w14:paraId="13E3587B">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sz w:val="21"/>
                      <w:szCs w:val="21"/>
                      <w:vertAlign w:val="baseline"/>
                      <w:lang w:val="en-US" w:eastAsia="zh-CN" w:bidi="ar-SA"/>
                    </w:rPr>
                  </w:pPr>
                  <w:r>
                    <w:rPr>
                      <w:rFonts w:hint="eastAsia" w:ascii="Times New Roman" w:hAnsi="Times New Roman" w:eastAsia="宋体" w:cs="Times New Roman"/>
                      <w:b w:val="0"/>
                      <w:bCs w:val="0"/>
                      <w:sz w:val="21"/>
                      <w:szCs w:val="21"/>
                      <w:vertAlign w:val="baseline"/>
                      <w:lang w:val="en-US" w:eastAsia="zh-CN"/>
                    </w:rPr>
                    <w:t>400mg/L</w:t>
                  </w:r>
                </w:p>
              </w:tc>
            </w:tr>
            <w:tr w14:paraId="3BEE492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22" w:type="dxa"/>
                  <w:tcBorders>
                    <w:tl2br w:val="nil"/>
                    <w:tr2bl w:val="nil"/>
                  </w:tcBorders>
                  <w:vAlign w:val="center"/>
                </w:tcPr>
                <w:p w14:paraId="787C0BE3">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val="0"/>
                      <w:bCs w:val="0"/>
                      <w:sz w:val="21"/>
                      <w:szCs w:val="21"/>
                      <w:vertAlign w:val="baseline"/>
                      <w:lang w:val="en-US" w:eastAsia="zh-CN"/>
                    </w:rPr>
                  </w:pPr>
                  <w:r>
                    <w:rPr>
                      <w:rFonts w:hint="eastAsia"/>
                      <w:b w:val="0"/>
                      <w:bCs w:val="0"/>
                      <w:sz w:val="21"/>
                      <w:szCs w:val="21"/>
                      <w:vertAlign w:val="baseline"/>
                      <w:lang w:val="en-US" w:eastAsia="zh-CN"/>
                    </w:rPr>
                    <w:t>COD</w:t>
                  </w:r>
                </w:p>
              </w:tc>
              <w:tc>
                <w:tcPr>
                  <w:tcW w:w="2222" w:type="dxa"/>
                  <w:tcBorders>
                    <w:tl2br w:val="nil"/>
                    <w:tr2bl w:val="nil"/>
                  </w:tcBorders>
                  <w:vAlign w:val="center"/>
                </w:tcPr>
                <w:p w14:paraId="5D7743DA">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500mg/L</w:t>
                  </w:r>
                </w:p>
              </w:tc>
              <w:tc>
                <w:tcPr>
                  <w:tcW w:w="2222" w:type="dxa"/>
                  <w:tcBorders>
                    <w:tl2br w:val="nil"/>
                    <w:tr2bl w:val="nil"/>
                  </w:tcBorders>
                  <w:shd w:val="clear" w:color="auto" w:fill="auto"/>
                  <w:vAlign w:val="center"/>
                </w:tcPr>
                <w:p w14:paraId="28716ACD">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sz w:val="21"/>
                      <w:szCs w:val="21"/>
                      <w:vertAlign w:val="baseline"/>
                      <w:lang w:val="en-US" w:eastAsia="zh-CN" w:bidi="ar-SA"/>
                    </w:rPr>
                  </w:pPr>
                  <w:r>
                    <w:rPr>
                      <w:rFonts w:hint="eastAsia" w:ascii="Times New Roman" w:hAnsi="Times New Roman" w:cs="Times New Roman"/>
                      <w:bCs/>
                      <w:sz w:val="21"/>
                      <w:szCs w:val="21"/>
                      <w:lang w:val="en-US" w:eastAsia="zh-CN"/>
                    </w:rPr>
                    <w:t>TN</w:t>
                  </w:r>
                </w:p>
              </w:tc>
              <w:tc>
                <w:tcPr>
                  <w:tcW w:w="2224" w:type="dxa"/>
                  <w:tcBorders>
                    <w:tl2br w:val="nil"/>
                    <w:tr2bl w:val="nil"/>
                  </w:tcBorders>
                  <w:shd w:val="clear" w:color="auto" w:fill="auto"/>
                  <w:vAlign w:val="center"/>
                </w:tcPr>
                <w:p w14:paraId="08A410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kern w:val="2"/>
                      <w:sz w:val="21"/>
                      <w:szCs w:val="21"/>
                      <w:vertAlign w:val="baseline"/>
                      <w:lang w:val="en-US" w:eastAsia="zh-CN" w:bidi="ar-SA"/>
                    </w:rPr>
                  </w:pPr>
                  <w:r>
                    <w:rPr>
                      <w:rFonts w:hint="eastAsia" w:ascii="Times New Roman" w:hAnsi="Times New Roman" w:eastAsia="宋体" w:cs="Times New Roman"/>
                      <w:b w:val="0"/>
                      <w:bCs w:val="0"/>
                      <w:sz w:val="21"/>
                      <w:szCs w:val="21"/>
                      <w:vertAlign w:val="baseline"/>
                      <w:lang w:val="en-US" w:eastAsia="zh-CN"/>
                    </w:rPr>
                    <w:t>/</w:t>
                  </w:r>
                </w:p>
              </w:tc>
            </w:tr>
            <w:tr w14:paraId="55BE8DB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22" w:type="dxa"/>
                  <w:tcBorders>
                    <w:tl2br w:val="nil"/>
                    <w:tr2bl w:val="nil"/>
                  </w:tcBorders>
                  <w:vAlign w:val="center"/>
                </w:tcPr>
                <w:p w14:paraId="40EF4AAB">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val="0"/>
                      <w:bCs w:val="0"/>
                      <w:sz w:val="21"/>
                      <w:szCs w:val="21"/>
                      <w:vertAlign w:val="baseline"/>
                      <w:lang w:val="en-US" w:eastAsia="zh-CN"/>
                    </w:rPr>
                  </w:pPr>
                  <w:r>
                    <w:rPr>
                      <w:rFonts w:hint="eastAsia" w:ascii="Times New Roman" w:hAnsi="Times New Roman" w:cs="Times New Roman"/>
                      <w:bCs/>
                      <w:sz w:val="21"/>
                      <w:szCs w:val="21"/>
                      <w:lang w:val="en-US" w:eastAsia="zh-CN"/>
                    </w:rPr>
                    <w:t>BOD</w:t>
                  </w:r>
                  <w:r>
                    <w:rPr>
                      <w:rFonts w:hint="eastAsia" w:ascii="Times New Roman" w:hAnsi="Times New Roman" w:cs="Times New Roman"/>
                      <w:bCs/>
                      <w:sz w:val="21"/>
                      <w:szCs w:val="21"/>
                      <w:vertAlign w:val="subscript"/>
                      <w:lang w:val="en-US" w:eastAsia="zh-CN"/>
                    </w:rPr>
                    <w:t>5</w:t>
                  </w:r>
                </w:p>
              </w:tc>
              <w:tc>
                <w:tcPr>
                  <w:tcW w:w="2222" w:type="dxa"/>
                  <w:tcBorders>
                    <w:tl2br w:val="nil"/>
                    <w:tr2bl w:val="nil"/>
                  </w:tcBorders>
                  <w:vAlign w:val="center"/>
                </w:tcPr>
                <w:p w14:paraId="6D54C362">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300mg/L</w:t>
                  </w:r>
                </w:p>
              </w:tc>
              <w:tc>
                <w:tcPr>
                  <w:tcW w:w="2222" w:type="dxa"/>
                  <w:tcBorders>
                    <w:tl2br w:val="nil"/>
                    <w:tr2bl w:val="nil"/>
                  </w:tcBorders>
                  <w:shd w:val="clear" w:color="auto" w:fill="auto"/>
                  <w:vAlign w:val="center"/>
                </w:tcPr>
                <w:p w14:paraId="42AAE673">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sz w:val="21"/>
                      <w:szCs w:val="21"/>
                      <w:vertAlign w:val="baseline"/>
                      <w:lang w:val="en-US" w:eastAsia="zh-CN" w:bidi="ar-SA"/>
                    </w:rPr>
                  </w:pPr>
                  <w:r>
                    <w:rPr>
                      <w:rFonts w:hint="eastAsia" w:ascii="Times New Roman" w:hAnsi="Times New Roman" w:cs="Times New Roman"/>
                      <w:bCs/>
                      <w:sz w:val="21"/>
                      <w:szCs w:val="21"/>
                      <w:lang w:val="en-US" w:eastAsia="zh-CN"/>
                    </w:rPr>
                    <w:t>TP</w:t>
                  </w:r>
                </w:p>
              </w:tc>
              <w:tc>
                <w:tcPr>
                  <w:tcW w:w="2224" w:type="dxa"/>
                  <w:tcBorders>
                    <w:tl2br w:val="nil"/>
                    <w:tr2bl w:val="nil"/>
                  </w:tcBorders>
                  <w:shd w:val="clear" w:color="auto" w:fill="auto"/>
                  <w:vAlign w:val="center"/>
                </w:tcPr>
                <w:p w14:paraId="314AFD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kern w:val="2"/>
                      <w:sz w:val="21"/>
                      <w:szCs w:val="21"/>
                      <w:vertAlign w:val="baseline"/>
                      <w:lang w:val="en-US" w:eastAsia="zh-CN" w:bidi="ar-SA"/>
                    </w:rPr>
                  </w:pPr>
                  <w:r>
                    <w:rPr>
                      <w:rFonts w:hint="eastAsia" w:ascii="Times New Roman" w:hAnsi="Times New Roman" w:eastAsia="宋体" w:cs="Times New Roman"/>
                      <w:b w:val="0"/>
                      <w:bCs w:val="0"/>
                      <w:sz w:val="21"/>
                      <w:szCs w:val="21"/>
                      <w:vertAlign w:val="baseline"/>
                      <w:lang w:val="en-US" w:eastAsia="zh-CN"/>
                    </w:rPr>
                    <w:t>/</w:t>
                  </w:r>
                </w:p>
              </w:tc>
            </w:tr>
            <w:tr w14:paraId="033BDC1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22" w:type="dxa"/>
                  <w:tcBorders>
                    <w:tl2br w:val="nil"/>
                    <w:tr2bl w:val="nil"/>
                  </w:tcBorders>
                  <w:vAlign w:val="center"/>
                </w:tcPr>
                <w:p w14:paraId="0E03AA81">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val="0"/>
                      <w:bCs w:val="0"/>
                      <w:sz w:val="21"/>
                      <w:szCs w:val="21"/>
                      <w:vertAlign w:val="baseline"/>
                      <w:lang w:val="en-US" w:eastAsia="zh-CN"/>
                    </w:rPr>
                  </w:pPr>
                  <w:r>
                    <w:rPr>
                      <w:rFonts w:hint="default" w:ascii="Times New Roman" w:hAnsi="Times New Roman" w:eastAsia="宋体" w:cs="Times New Roman"/>
                      <w:bCs/>
                      <w:sz w:val="21"/>
                      <w:szCs w:val="21"/>
                      <w:lang w:val="en-US" w:eastAsia="zh-CN"/>
                    </w:rPr>
                    <w:t>NH</w:t>
                  </w:r>
                  <w:r>
                    <w:rPr>
                      <w:rFonts w:hint="default" w:ascii="Times New Roman" w:hAnsi="Times New Roman" w:eastAsia="宋体" w:cs="Times New Roman"/>
                      <w:bCs/>
                      <w:sz w:val="21"/>
                      <w:szCs w:val="21"/>
                      <w:vertAlign w:val="subscript"/>
                      <w:lang w:val="en-US" w:eastAsia="zh-CN"/>
                    </w:rPr>
                    <w:t>3</w:t>
                  </w:r>
                  <w:r>
                    <w:rPr>
                      <w:rFonts w:hint="default" w:ascii="Times New Roman" w:hAnsi="Times New Roman" w:eastAsia="宋体" w:cs="Times New Roman"/>
                      <w:bCs/>
                      <w:sz w:val="21"/>
                      <w:szCs w:val="21"/>
                      <w:lang w:val="en-US" w:eastAsia="zh-CN"/>
                    </w:rPr>
                    <w:t>-N</w:t>
                  </w:r>
                </w:p>
              </w:tc>
              <w:tc>
                <w:tcPr>
                  <w:tcW w:w="2222" w:type="dxa"/>
                  <w:tcBorders>
                    <w:tl2br w:val="nil"/>
                    <w:tr2bl w:val="nil"/>
                  </w:tcBorders>
                  <w:vAlign w:val="center"/>
                </w:tcPr>
                <w:p w14:paraId="51FE17B2">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w:t>
                  </w:r>
                </w:p>
              </w:tc>
              <w:tc>
                <w:tcPr>
                  <w:tcW w:w="2222" w:type="dxa"/>
                  <w:tcBorders>
                    <w:tl2br w:val="nil"/>
                    <w:tr2bl w:val="nil"/>
                  </w:tcBorders>
                  <w:vAlign w:val="center"/>
                </w:tcPr>
                <w:p w14:paraId="3294DA0E">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z w:val="21"/>
                      <w:szCs w:val="21"/>
                      <w:vertAlign w:val="baseline"/>
                      <w:lang w:val="en-US" w:eastAsia="zh-CN"/>
                    </w:rPr>
                  </w:pPr>
                </w:p>
              </w:tc>
              <w:tc>
                <w:tcPr>
                  <w:tcW w:w="2224" w:type="dxa"/>
                  <w:tcBorders>
                    <w:tl2br w:val="nil"/>
                    <w:tr2bl w:val="nil"/>
                  </w:tcBorders>
                  <w:vAlign w:val="center"/>
                </w:tcPr>
                <w:p w14:paraId="797CAF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val="0"/>
                      <w:bCs w:val="0"/>
                      <w:sz w:val="21"/>
                      <w:szCs w:val="21"/>
                      <w:vertAlign w:val="baseline"/>
                      <w:lang w:val="en-US" w:eastAsia="zh-CN"/>
                    </w:rPr>
                  </w:pPr>
                </w:p>
              </w:tc>
            </w:tr>
          </w:tbl>
          <w:p w14:paraId="6FFD5267">
            <w:pPr>
              <w:keepNext w:val="0"/>
              <w:keepLines w:val="0"/>
              <w:pageBreakBefore w:val="0"/>
              <w:widowControl/>
              <w:kinsoku/>
              <w:wordWrap/>
              <w:overflowPunct/>
              <w:topLinePunct w:val="0"/>
              <w:autoSpaceDE/>
              <w:autoSpaceDN/>
              <w:bidi w:val="0"/>
              <w:adjustRightInd/>
              <w:snapToGrid/>
              <w:spacing w:before="157" w:beforeLines="50" w:line="360" w:lineRule="auto"/>
              <w:ind w:firstLine="482" w:firstLineChars="200"/>
              <w:jc w:val="left"/>
              <w:textAlignment w:val="auto"/>
              <w:rPr>
                <w:rFonts w:hint="eastAsia"/>
                <w:b/>
                <w:bCs/>
                <w:color w:val="auto"/>
                <w:sz w:val="24"/>
                <w:szCs w:val="24"/>
                <w:highlight w:val="none"/>
              </w:rPr>
            </w:pPr>
            <w:r>
              <w:rPr>
                <w:rFonts w:hint="eastAsia"/>
                <w:b/>
                <w:bCs/>
                <w:color w:val="auto"/>
                <w:sz w:val="24"/>
                <w:szCs w:val="24"/>
                <w:highlight w:val="none"/>
                <w:lang w:val="en-US" w:eastAsia="zh-CN"/>
              </w:rPr>
              <w:t>三、噪声</w:t>
            </w:r>
            <w:r>
              <w:rPr>
                <w:rFonts w:hint="eastAsia"/>
                <w:b/>
                <w:bCs/>
                <w:color w:val="auto"/>
                <w:sz w:val="24"/>
                <w:szCs w:val="24"/>
                <w:highlight w:val="none"/>
              </w:rPr>
              <w:t>排放标准</w:t>
            </w:r>
          </w:p>
          <w:p w14:paraId="7B6C6938">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b/>
                <w:bCs/>
                <w:color w:val="auto"/>
                <w:sz w:val="24"/>
                <w:szCs w:val="24"/>
                <w:highlight w:val="none"/>
                <w:lang w:eastAsia="zh-CN"/>
              </w:rPr>
            </w:pPr>
            <w:r>
              <w:rPr>
                <w:rFonts w:hint="eastAsia"/>
                <w:b w:val="0"/>
                <w:bCs w:val="0"/>
                <w:color w:val="auto"/>
                <w:sz w:val="24"/>
                <w:szCs w:val="24"/>
                <w:highlight w:val="none"/>
                <w:lang w:eastAsia="zh-CN"/>
              </w:rPr>
              <w:t>（</w:t>
            </w:r>
            <w:r>
              <w:rPr>
                <w:rFonts w:hint="eastAsia"/>
                <w:b w:val="0"/>
                <w:bCs w:val="0"/>
                <w:color w:val="auto"/>
                <w:sz w:val="24"/>
                <w:szCs w:val="24"/>
                <w:highlight w:val="none"/>
                <w:lang w:val="en-US" w:eastAsia="zh-CN"/>
              </w:rPr>
              <w:t>一</w:t>
            </w:r>
            <w:r>
              <w:rPr>
                <w:rFonts w:hint="eastAsia"/>
                <w:b w:val="0"/>
                <w:bCs w:val="0"/>
                <w:color w:val="auto"/>
                <w:sz w:val="24"/>
                <w:szCs w:val="24"/>
                <w:highlight w:val="none"/>
                <w:lang w:eastAsia="zh-CN"/>
              </w:rPr>
              <w:t>）</w:t>
            </w:r>
            <w:r>
              <w:rPr>
                <w:rFonts w:hint="eastAsia"/>
                <w:b w:val="0"/>
                <w:bCs w:val="0"/>
                <w:color w:val="auto"/>
                <w:sz w:val="24"/>
                <w:szCs w:val="24"/>
                <w:highlight w:val="none"/>
                <w:lang w:val="en-US" w:eastAsia="zh-CN"/>
              </w:rPr>
              <w:t>运营期</w:t>
            </w:r>
          </w:p>
          <w:p w14:paraId="45CEFD7B">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b w:val="0"/>
                <w:bCs w:val="0"/>
                <w:color w:val="auto"/>
                <w:sz w:val="24"/>
                <w:szCs w:val="24"/>
                <w:highlight w:val="none"/>
                <w:lang w:val="en-US" w:eastAsia="zh-CN"/>
              </w:rPr>
            </w:pPr>
            <w:r>
              <w:rPr>
                <w:rFonts w:hint="eastAsia"/>
                <w:b w:val="0"/>
                <w:bCs w:val="0"/>
                <w:color w:val="auto"/>
                <w:sz w:val="24"/>
                <w:szCs w:val="24"/>
                <w:highlight w:val="none"/>
                <w:lang w:val="en-US" w:eastAsia="zh-CN"/>
              </w:rPr>
              <w:t>项目运营期厂界噪声执行</w:t>
            </w:r>
            <w:r>
              <w:rPr>
                <w:rFonts w:hint="default" w:ascii="Times New Roman" w:hAnsi="Times New Roman" w:cs="Times New Roman"/>
                <w:b w:val="0"/>
                <w:color w:val="auto"/>
                <w:sz w:val="24"/>
                <w:szCs w:val="24"/>
                <w:highlight w:val="none"/>
              </w:rPr>
              <w:t>《工业企业厂界环境噪声排放标准》（GB12348-2008）</w:t>
            </w:r>
            <w:r>
              <w:rPr>
                <w:rFonts w:hint="default" w:ascii="Times New Roman" w:hAnsi="Times New Roman" w:cs="Times New Roman"/>
                <w:b w:val="0"/>
                <w:color w:val="auto"/>
                <w:sz w:val="24"/>
                <w:szCs w:val="24"/>
                <w:highlight w:val="none"/>
                <w:lang w:val="en-US" w:eastAsia="zh-CN"/>
              </w:rPr>
              <w:t>表1中</w:t>
            </w:r>
            <w:r>
              <w:rPr>
                <w:rFonts w:hint="eastAsia" w:ascii="Times New Roman" w:hAnsi="Times New Roman" w:cs="Times New Roman"/>
                <w:b w:val="0"/>
                <w:color w:val="auto"/>
                <w:sz w:val="24"/>
                <w:szCs w:val="24"/>
                <w:highlight w:val="none"/>
                <w:lang w:val="en-US" w:eastAsia="zh-CN"/>
              </w:rPr>
              <w:t>2</w:t>
            </w:r>
            <w:r>
              <w:rPr>
                <w:rFonts w:hint="default" w:ascii="Times New Roman" w:hAnsi="Times New Roman" w:cs="Times New Roman"/>
                <w:b w:val="0"/>
                <w:color w:val="auto"/>
                <w:sz w:val="24"/>
                <w:szCs w:val="24"/>
                <w:highlight w:val="none"/>
              </w:rPr>
              <w:t>类标准</w:t>
            </w:r>
            <w:r>
              <w:rPr>
                <w:rFonts w:hint="default" w:ascii="Times New Roman" w:hAnsi="Times New Roman" w:cs="Times New Roman"/>
                <w:b w:val="0"/>
                <w:color w:val="auto"/>
                <w:sz w:val="24"/>
                <w:szCs w:val="24"/>
                <w:highlight w:val="none"/>
                <w:lang w:val="en-US" w:eastAsia="zh-CN"/>
              </w:rPr>
              <w:t>限值</w:t>
            </w:r>
            <w:r>
              <w:rPr>
                <w:rFonts w:hint="eastAsia" w:cs="Times New Roman"/>
                <w:b w:val="0"/>
                <w:color w:val="auto"/>
                <w:sz w:val="24"/>
                <w:szCs w:val="24"/>
                <w:highlight w:val="none"/>
                <w:lang w:val="en-US" w:eastAsia="zh-CN"/>
              </w:rPr>
              <w:t>。</w:t>
            </w:r>
          </w:p>
          <w:p w14:paraId="7CAB7D0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0" w:afterAutospacing="0" w:line="240" w:lineRule="auto"/>
              <w:ind w:left="0" w:right="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1"/>
                <w:szCs w:val="21"/>
                <w:highlight w:val="none"/>
                <w:lang w:val="en-US" w:eastAsia="zh-CN"/>
              </w:rPr>
              <w:t>表3-</w:t>
            </w:r>
            <w:r>
              <w:rPr>
                <w:rFonts w:hint="eastAsia" w:ascii="Times New Roman" w:hAnsi="Times New Roman" w:cs="Times New Roman"/>
                <w:b/>
                <w:bCs/>
                <w:color w:val="auto"/>
                <w:sz w:val="21"/>
                <w:szCs w:val="21"/>
                <w:highlight w:val="none"/>
                <w:lang w:val="en-US" w:eastAsia="zh-CN"/>
              </w:rPr>
              <w:t>1</w:t>
            </w:r>
            <w:r>
              <w:rPr>
                <w:rFonts w:hint="eastAsia" w:cs="Times New Roman"/>
                <w:b/>
                <w:bCs/>
                <w:color w:val="auto"/>
                <w:sz w:val="21"/>
                <w:szCs w:val="21"/>
                <w:highlight w:val="none"/>
                <w:lang w:val="en-US" w:eastAsia="zh-CN"/>
              </w:rPr>
              <w:t>1</w:t>
            </w:r>
            <w:r>
              <w:rPr>
                <w:rFonts w:hint="default" w:ascii="Times New Roman" w:hAnsi="Times New Roman" w:eastAsia="宋体" w:cs="Times New Roman"/>
                <w:b/>
                <w:bCs/>
                <w:color w:val="auto"/>
                <w:sz w:val="21"/>
                <w:szCs w:val="21"/>
                <w:highlight w:val="none"/>
                <w:lang w:val="en-US" w:eastAsia="zh-CN"/>
              </w:rPr>
              <w:t xml:space="preserve"> </w:t>
            </w:r>
            <w:r>
              <w:rPr>
                <w:rFonts w:hint="eastAsia"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val="en-US" w:eastAsia="zh-CN"/>
              </w:rPr>
              <w:t>《工业企业厂界环境噪声排放标准》（GB12348-2008）</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3754"/>
              <w:gridCol w:w="2656"/>
              <w:gridCol w:w="1188"/>
              <w:gridCol w:w="1171"/>
            </w:tblGrid>
            <w:tr w14:paraId="0FCF61D1">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07" w:hRule="atLeast"/>
                <w:jc w:val="center"/>
              </w:trPr>
              <w:tc>
                <w:tcPr>
                  <w:tcW w:w="3791" w:type="dxa"/>
                  <w:tcBorders>
                    <w:tl2br w:val="nil"/>
                    <w:tr2bl w:val="nil"/>
                  </w:tcBorders>
                  <w:noWrap w:val="0"/>
                  <w:vAlign w:val="center"/>
                </w:tcPr>
                <w:p w14:paraId="4168E5CC">
                  <w:pPr>
                    <w:pStyle w:val="51"/>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标准名称</w:t>
                  </w:r>
                </w:p>
              </w:tc>
              <w:tc>
                <w:tcPr>
                  <w:tcW w:w="2683" w:type="dxa"/>
                  <w:tcBorders>
                    <w:tl2br w:val="nil"/>
                    <w:tr2bl w:val="nil"/>
                  </w:tcBorders>
                  <w:noWrap w:val="0"/>
                  <w:vAlign w:val="center"/>
                </w:tcPr>
                <w:p w14:paraId="0A26EB27">
                  <w:pPr>
                    <w:pStyle w:val="51"/>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厂</w:t>
                  </w:r>
                  <w:r>
                    <w:rPr>
                      <w:rFonts w:hint="default" w:ascii="Times New Roman" w:hAnsi="Times New Roman" w:cs="Times New Roman"/>
                      <w:b/>
                      <w:bCs/>
                      <w:color w:val="auto"/>
                      <w:sz w:val="21"/>
                      <w:szCs w:val="21"/>
                      <w:highlight w:val="none"/>
                    </w:rPr>
                    <w:t>界外声环境功能区类别</w:t>
                  </w:r>
                </w:p>
              </w:tc>
              <w:tc>
                <w:tcPr>
                  <w:tcW w:w="1200" w:type="dxa"/>
                  <w:tcBorders>
                    <w:tl2br w:val="nil"/>
                    <w:tr2bl w:val="nil"/>
                  </w:tcBorders>
                  <w:noWrap w:val="0"/>
                  <w:vAlign w:val="center"/>
                </w:tcPr>
                <w:p w14:paraId="05B5BC44">
                  <w:pPr>
                    <w:pStyle w:val="51"/>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昼间</w:t>
                  </w:r>
                </w:p>
              </w:tc>
              <w:tc>
                <w:tcPr>
                  <w:tcW w:w="1183" w:type="dxa"/>
                  <w:tcBorders>
                    <w:tl2br w:val="nil"/>
                    <w:tr2bl w:val="nil"/>
                  </w:tcBorders>
                  <w:noWrap w:val="0"/>
                  <w:vAlign w:val="center"/>
                </w:tcPr>
                <w:p w14:paraId="48D3012B">
                  <w:pPr>
                    <w:pStyle w:val="51"/>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夜间</w:t>
                  </w:r>
                </w:p>
              </w:tc>
            </w:tr>
            <w:tr w14:paraId="593A3302">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9" w:hRule="atLeast"/>
                <w:jc w:val="center"/>
              </w:trPr>
              <w:tc>
                <w:tcPr>
                  <w:tcW w:w="3791" w:type="dxa"/>
                  <w:tcBorders>
                    <w:tl2br w:val="nil"/>
                    <w:tr2bl w:val="nil"/>
                  </w:tcBorders>
                  <w:noWrap w:val="0"/>
                  <w:vAlign w:val="center"/>
                </w:tcPr>
                <w:p w14:paraId="7E0FAFCE">
                  <w:pPr>
                    <w:pStyle w:val="51"/>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color w:val="auto"/>
                      <w:sz w:val="21"/>
                      <w:szCs w:val="21"/>
                      <w:highlight w:val="none"/>
                    </w:rPr>
                    <w:t>《工业企业厂界环境噪声排放标准》（GB12348-2008）</w:t>
                  </w:r>
                </w:p>
              </w:tc>
              <w:tc>
                <w:tcPr>
                  <w:tcW w:w="2683" w:type="dxa"/>
                  <w:tcBorders>
                    <w:tl2br w:val="nil"/>
                    <w:tr2bl w:val="nil"/>
                  </w:tcBorders>
                  <w:noWrap w:val="0"/>
                  <w:vAlign w:val="center"/>
                </w:tcPr>
                <w:p w14:paraId="5126CA16">
                  <w:pPr>
                    <w:pStyle w:val="51"/>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2</w:t>
                  </w:r>
                  <w:r>
                    <w:rPr>
                      <w:rFonts w:hint="eastAsia" w:hAnsi="Times New Roman" w:cs="Times New Roman"/>
                      <w:b w:val="0"/>
                      <w:bCs w:val="0"/>
                      <w:color w:val="auto"/>
                      <w:sz w:val="21"/>
                      <w:szCs w:val="21"/>
                      <w:highlight w:val="none"/>
                      <w:lang w:val="en-US" w:eastAsia="zh-CN"/>
                    </w:rPr>
                    <w:t>类</w:t>
                  </w:r>
                </w:p>
              </w:tc>
              <w:tc>
                <w:tcPr>
                  <w:tcW w:w="1200" w:type="dxa"/>
                  <w:tcBorders>
                    <w:tl2br w:val="nil"/>
                    <w:tr2bl w:val="nil"/>
                  </w:tcBorders>
                  <w:noWrap w:val="0"/>
                  <w:vAlign w:val="center"/>
                </w:tcPr>
                <w:p w14:paraId="65ABACB7">
                  <w:pPr>
                    <w:pStyle w:val="51"/>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60</w:t>
                  </w:r>
                  <w:r>
                    <w:rPr>
                      <w:rFonts w:hint="default"/>
                      <w:color w:val="auto"/>
                      <w:sz w:val="21"/>
                      <w:szCs w:val="21"/>
                      <w:highlight w:val="none"/>
                    </w:rPr>
                    <w:t>dB（A）</w:t>
                  </w:r>
                </w:p>
              </w:tc>
              <w:tc>
                <w:tcPr>
                  <w:tcW w:w="1183" w:type="dxa"/>
                  <w:tcBorders>
                    <w:tl2br w:val="nil"/>
                    <w:tr2bl w:val="nil"/>
                  </w:tcBorders>
                  <w:noWrap w:val="0"/>
                  <w:vAlign w:val="center"/>
                </w:tcPr>
                <w:p w14:paraId="514D2155">
                  <w:pPr>
                    <w:pStyle w:val="51"/>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5</w:t>
                  </w:r>
                  <w:r>
                    <w:rPr>
                      <w:rFonts w:hint="eastAsia" w:ascii="Times New Roman" w:hAnsi="Times New Roman" w:cs="Times New Roman"/>
                      <w:b w:val="0"/>
                      <w:bCs w:val="0"/>
                      <w:color w:val="auto"/>
                      <w:sz w:val="21"/>
                      <w:szCs w:val="21"/>
                      <w:highlight w:val="none"/>
                      <w:lang w:val="en-US" w:eastAsia="zh-CN"/>
                    </w:rPr>
                    <w:t>0</w:t>
                  </w:r>
                  <w:r>
                    <w:rPr>
                      <w:rFonts w:hint="default"/>
                      <w:color w:val="auto"/>
                      <w:sz w:val="21"/>
                      <w:szCs w:val="21"/>
                      <w:highlight w:val="none"/>
                    </w:rPr>
                    <w:t>dB（A）</w:t>
                  </w:r>
                </w:p>
              </w:tc>
            </w:tr>
          </w:tbl>
          <w:p w14:paraId="5A594F8C">
            <w:pPr>
              <w:pStyle w:val="45"/>
              <w:keepNext w:val="0"/>
              <w:keepLines w:val="0"/>
              <w:pageBreakBefore w:val="0"/>
              <w:widowControl w:val="0"/>
              <w:kinsoku/>
              <w:wordWrap/>
              <w:overflowPunct/>
              <w:topLinePunct w:val="0"/>
              <w:autoSpaceDE/>
              <w:autoSpaceDN/>
              <w:bidi w:val="0"/>
              <w:adjustRightInd/>
              <w:snapToGrid/>
              <w:spacing w:before="157" w:beforeLines="50"/>
              <w:ind w:left="0" w:leftChars="0" w:firstLine="482" w:firstLineChars="200"/>
              <w:textAlignment w:val="auto"/>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四</w:t>
            </w:r>
            <w:r>
              <w:rPr>
                <w:rFonts w:hint="eastAsia" w:ascii="宋体" w:hAnsi="宋体" w:cs="宋体"/>
                <w:b/>
                <w:bCs/>
                <w:color w:val="auto"/>
                <w:kern w:val="0"/>
                <w:sz w:val="24"/>
                <w:szCs w:val="24"/>
                <w:highlight w:val="none"/>
              </w:rPr>
              <w:t>、固体废物</w:t>
            </w:r>
          </w:p>
          <w:p w14:paraId="2640C6A4">
            <w:pPr>
              <w:pStyle w:val="43"/>
              <w:bidi w:val="0"/>
              <w:rPr>
                <w:rFonts w:hint="default" w:ascii="Times New Roman" w:hAnsi="Times New Roman" w:eastAsia="宋体" w:cs="Times New Roman"/>
                <w:color w:val="auto"/>
                <w:sz w:val="24"/>
                <w:szCs w:val="24"/>
                <w:highlight w:val="none"/>
                <w:lang w:val="en-US" w:eastAsia="zh-CN"/>
              </w:rPr>
            </w:pPr>
            <w:bookmarkStart w:id="8" w:name="_Toc24059"/>
            <w:bookmarkStart w:id="9" w:name="_Toc18135"/>
            <w:r>
              <w:rPr>
                <w:rFonts w:hint="eastAsia"/>
                <w:color w:val="auto"/>
                <w:sz w:val="24"/>
                <w:szCs w:val="24"/>
                <w:highlight w:val="none"/>
                <w:lang w:val="en-US" w:eastAsia="zh-CN"/>
              </w:rPr>
              <w:t>一般固体废物执行《一般工业固体废物贮存和填埋污染控制标准》（GB18599-2020）标准</w:t>
            </w:r>
            <w:bookmarkEnd w:id="8"/>
            <w:bookmarkEnd w:id="9"/>
            <w:r>
              <w:rPr>
                <w:rFonts w:hint="default" w:ascii="Times New Roman" w:hAnsi="Times New Roman" w:eastAsia="宋体" w:cs="Times New Roman"/>
                <w:color w:val="auto"/>
                <w:sz w:val="24"/>
                <w:szCs w:val="24"/>
                <w:highlight w:val="none"/>
                <w:lang w:val="en-US" w:eastAsia="zh-CN"/>
              </w:rPr>
              <w:t>。</w:t>
            </w:r>
          </w:p>
        </w:tc>
      </w:tr>
      <w:tr w14:paraId="207735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56" w:hRule="atLeast"/>
          <w:jc w:val="center"/>
        </w:trPr>
        <w:tc>
          <w:tcPr>
            <w:tcW w:w="628" w:type="dxa"/>
            <w:noWrap w:val="0"/>
            <w:vAlign w:val="center"/>
          </w:tcPr>
          <w:p w14:paraId="4A00D535">
            <w:pPr>
              <w:adjustRightInd w:val="0"/>
              <w:snapToGrid w:val="0"/>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总量</w:t>
            </w:r>
          </w:p>
          <w:p w14:paraId="475224A9">
            <w:pPr>
              <w:adjustRightInd w:val="0"/>
              <w:snapToGrid w:val="0"/>
              <w:jc w:val="center"/>
              <w:rPr>
                <w:rFonts w:ascii="宋体" w:hAnsi="宋体" w:cs="宋体"/>
                <w:color w:val="FF0000"/>
                <w:kern w:val="0"/>
                <w:szCs w:val="21"/>
                <w:highlight w:val="none"/>
              </w:rPr>
            </w:pPr>
            <w:r>
              <w:rPr>
                <w:rFonts w:hint="eastAsia" w:ascii="宋体" w:hAnsi="宋体" w:cs="宋体"/>
                <w:color w:val="auto"/>
                <w:kern w:val="0"/>
                <w:sz w:val="24"/>
                <w:szCs w:val="24"/>
                <w:highlight w:val="none"/>
              </w:rPr>
              <w:t>控制指标</w:t>
            </w:r>
          </w:p>
        </w:tc>
        <w:tc>
          <w:tcPr>
            <w:tcW w:w="8985" w:type="dxa"/>
            <w:noWrap w:val="0"/>
            <w:vAlign w:val="center"/>
          </w:tcPr>
          <w:p w14:paraId="7D8F39E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eastAsia="宋体" w:cs="Times New Roman"/>
                <w:b w:val="0"/>
                <w:bCs w:val="0"/>
                <w:color w:val="auto"/>
                <w:sz w:val="24"/>
                <w:szCs w:val="24"/>
                <w:highlight w:val="none"/>
                <w:lang w:val="en-US" w:eastAsia="zh-CN"/>
              </w:rPr>
            </w:pPr>
            <w:r>
              <w:rPr>
                <w:sz w:val="24"/>
              </w:rPr>
              <w:t>项目</w:t>
            </w:r>
            <w:r>
              <w:rPr>
                <w:sz w:val="24"/>
                <w:szCs w:val="24"/>
              </w:rPr>
              <w:t>排放的COD、NH</w:t>
            </w:r>
            <w:r>
              <w:rPr>
                <w:sz w:val="24"/>
                <w:szCs w:val="24"/>
                <w:vertAlign w:val="subscript"/>
              </w:rPr>
              <w:t>3</w:t>
            </w:r>
            <w:r>
              <w:rPr>
                <w:sz w:val="24"/>
                <w:szCs w:val="24"/>
              </w:rPr>
              <w:t>-N已</w:t>
            </w:r>
            <w:r>
              <w:rPr>
                <w:rFonts w:hint="eastAsia"/>
                <w:sz w:val="24"/>
                <w:szCs w:val="24"/>
              </w:rPr>
              <w:t>纳入</w:t>
            </w:r>
            <w:r>
              <w:rPr>
                <w:rFonts w:hint="default" w:ascii="Times New Roman" w:hAnsi="Times New Roman" w:cs="Times New Roman"/>
                <w:color w:val="auto"/>
                <w:sz w:val="24"/>
                <w:szCs w:val="24"/>
                <w:highlight w:val="none"/>
                <w:lang w:val="en-US" w:eastAsia="zh-CN"/>
              </w:rPr>
              <w:t>饶河县西林子乡污水处理站</w:t>
            </w:r>
            <w:r>
              <w:rPr>
                <w:sz w:val="24"/>
                <w:szCs w:val="24"/>
              </w:rPr>
              <w:t>总量控制指标，</w:t>
            </w:r>
            <w:r>
              <w:rPr>
                <w:rFonts w:hint="eastAsia"/>
                <w:sz w:val="24"/>
                <w:szCs w:val="24"/>
              </w:rPr>
              <w:t>颗粒物排放量通过</w:t>
            </w:r>
            <w:r>
              <w:rPr>
                <w:rFonts w:hint="eastAsia"/>
                <w:color w:val="auto"/>
                <w:sz w:val="24"/>
                <w:szCs w:val="24"/>
              </w:rPr>
              <w:t>区域削减平衡解决。</w:t>
            </w:r>
            <w:r>
              <w:rPr>
                <w:color w:val="auto"/>
                <w:sz w:val="24"/>
                <w:szCs w:val="24"/>
              </w:rPr>
              <w:t>项目污染物总量控制指标见下表</w:t>
            </w:r>
            <w:r>
              <w:rPr>
                <w:rFonts w:hint="eastAsia"/>
                <w:color w:val="auto"/>
                <w:sz w:val="24"/>
                <w:szCs w:val="24"/>
                <w:lang w:eastAsia="zh-CN"/>
              </w:rPr>
              <w:t>。</w:t>
            </w:r>
          </w:p>
          <w:p w14:paraId="24392C0C">
            <w:pPr>
              <w:pStyle w:val="53"/>
              <w:spacing w:line="240" w:lineRule="auto"/>
              <w:ind w:firstLine="0" w:firstLineChars="0"/>
              <w:jc w:val="center"/>
              <w:rPr>
                <w:rFonts w:hint="default"/>
                <w:b/>
                <w:color w:val="auto"/>
                <w:sz w:val="21"/>
                <w:szCs w:val="21"/>
                <w:highlight w:val="none"/>
                <w:lang w:val="en-US" w:eastAsia="zh-CN"/>
              </w:rPr>
            </w:pPr>
            <w:r>
              <w:rPr>
                <w:rFonts w:hint="default"/>
                <w:b/>
                <w:color w:val="auto"/>
                <w:sz w:val="21"/>
                <w:szCs w:val="21"/>
                <w:highlight w:val="none"/>
                <w:lang w:val="en-US" w:eastAsia="zh-CN"/>
              </w:rPr>
              <w:t>表3-</w:t>
            </w:r>
            <w:r>
              <w:rPr>
                <w:rFonts w:hint="eastAsia"/>
                <w:b/>
                <w:color w:val="auto"/>
                <w:sz w:val="21"/>
                <w:szCs w:val="21"/>
                <w:highlight w:val="none"/>
                <w:lang w:val="en-US" w:eastAsia="zh-CN"/>
              </w:rPr>
              <w:t>12</w:t>
            </w:r>
            <w:r>
              <w:rPr>
                <w:rFonts w:hint="default"/>
                <w:b/>
                <w:color w:val="auto"/>
                <w:sz w:val="21"/>
                <w:szCs w:val="21"/>
                <w:highlight w:val="none"/>
                <w:lang w:val="en-US" w:eastAsia="zh-CN"/>
              </w:rPr>
              <w:t xml:space="preserve">  </w:t>
            </w:r>
            <w:r>
              <w:rPr>
                <w:rFonts w:hint="eastAsia"/>
                <w:b/>
                <w:color w:val="auto"/>
                <w:sz w:val="21"/>
                <w:szCs w:val="21"/>
                <w:highlight w:val="none"/>
                <w:lang w:val="en-US" w:eastAsia="zh-CN"/>
              </w:rPr>
              <w:t>总量控制指标情况</w:t>
            </w:r>
            <w:r>
              <w:rPr>
                <w:rFonts w:hint="default"/>
                <w:b/>
                <w:color w:val="auto"/>
                <w:sz w:val="21"/>
                <w:szCs w:val="21"/>
                <w:highlight w:val="none"/>
                <w:lang w:val="en-US" w:eastAsia="zh-CN"/>
              </w:rPr>
              <w:t>表</w:t>
            </w:r>
            <w:r>
              <w:rPr>
                <w:rFonts w:hint="eastAsia"/>
                <w:b/>
                <w:color w:val="auto"/>
                <w:sz w:val="21"/>
                <w:szCs w:val="21"/>
                <w:highlight w:val="none"/>
                <w:lang w:val="en-US" w:eastAsia="zh-CN"/>
              </w:rPr>
              <w:t xml:space="preserve">  </w:t>
            </w:r>
          </w:p>
          <w:tbl>
            <w:tblPr>
              <w:tblStyle w:val="21"/>
              <w:tblW w:w="8790"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212"/>
              <w:gridCol w:w="2910"/>
              <w:gridCol w:w="2668"/>
            </w:tblGrid>
            <w:tr w14:paraId="4B2F540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7" w:type="pct"/>
                  <w:tcBorders>
                    <w:tl2br w:val="nil"/>
                    <w:tr2bl w:val="nil"/>
                  </w:tcBorders>
                  <w:noWrap w:val="0"/>
                  <w:vAlign w:val="center"/>
                </w:tcPr>
                <w:p w14:paraId="7A846E1A">
                  <w:pPr>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w:t>
                  </w:r>
                </w:p>
              </w:tc>
              <w:tc>
                <w:tcPr>
                  <w:tcW w:w="1655" w:type="pct"/>
                  <w:tcBorders>
                    <w:tl2br w:val="nil"/>
                    <w:tr2bl w:val="nil"/>
                  </w:tcBorders>
                  <w:noWrap w:val="0"/>
                  <w:vAlign w:val="center"/>
                </w:tcPr>
                <w:p w14:paraId="77268AEB">
                  <w:pPr>
                    <w:jc w:val="center"/>
                    <w:rPr>
                      <w:rFonts w:hint="default" w:ascii="Times New Roman" w:hAnsi="Times New Roman" w:eastAsia="宋体" w:cs="Times New Roman"/>
                      <w:b/>
                      <w:bCs/>
                      <w:color w:val="auto"/>
                      <w:kern w:val="2"/>
                      <w:sz w:val="21"/>
                      <w:szCs w:val="21"/>
                      <w:highlight w:val="yellow"/>
                      <w:lang w:val="en-US" w:eastAsia="zh-CN" w:bidi="ar-SA"/>
                    </w:rPr>
                  </w:pPr>
                  <w:r>
                    <w:rPr>
                      <w:rFonts w:hint="eastAsia" w:cs="Times New Roman"/>
                      <w:b/>
                      <w:bCs/>
                      <w:color w:val="auto"/>
                      <w:sz w:val="21"/>
                      <w:szCs w:val="21"/>
                      <w:highlight w:val="none"/>
                      <w:lang w:val="en-US" w:eastAsia="zh-CN"/>
                    </w:rPr>
                    <w:t>预测</w:t>
                  </w:r>
                  <w:r>
                    <w:rPr>
                      <w:rFonts w:hint="default" w:ascii="Times New Roman" w:hAnsi="Times New Roman" w:eastAsia="宋体" w:cs="Times New Roman"/>
                      <w:b/>
                      <w:bCs/>
                      <w:color w:val="auto"/>
                      <w:sz w:val="21"/>
                      <w:szCs w:val="21"/>
                      <w:highlight w:val="none"/>
                    </w:rPr>
                    <w:t>排放量</w:t>
                  </w:r>
                  <w:r>
                    <w:rPr>
                      <w:rFonts w:hint="eastAsia"/>
                      <w:b/>
                      <w:bCs/>
                      <w:color w:val="auto"/>
                      <w:szCs w:val="21"/>
                      <w:highlight w:val="none"/>
                    </w:rPr>
                    <w:t>（t/a）</w:t>
                  </w:r>
                </w:p>
              </w:tc>
              <w:tc>
                <w:tcPr>
                  <w:tcW w:w="1517" w:type="pct"/>
                  <w:tcBorders>
                    <w:tl2br w:val="nil"/>
                    <w:tr2bl w:val="nil"/>
                  </w:tcBorders>
                  <w:shd w:val="clear" w:color="auto" w:fill="auto"/>
                  <w:noWrap w:val="0"/>
                  <w:vAlign w:val="center"/>
                </w:tcPr>
                <w:p w14:paraId="78BB53C7">
                  <w:pPr>
                    <w:jc w:val="center"/>
                    <w:rPr>
                      <w:rFonts w:hint="default"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eastAsia="zh-CN"/>
                    </w:rPr>
                    <w:t>核定排放量</w:t>
                  </w:r>
                  <w:r>
                    <w:rPr>
                      <w:rFonts w:hint="eastAsia"/>
                      <w:b/>
                      <w:bCs/>
                      <w:color w:val="auto"/>
                      <w:szCs w:val="21"/>
                      <w:highlight w:val="none"/>
                    </w:rPr>
                    <w:t>（t/a）</w:t>
                  </w:r>
                </w:p>
              </w:tc>
            </w:tr>
            <w:tr w14:paraId="6A96182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7" w:type="pct"/>
                  <w:tcBorders>
                    <w:tl2br w:val="nil"/>
                    <w:tr2bl w:val="nil"/>
                  </w:tcBorders>
                  <w:noWrap w:val="0"/>
                  <w:vAlign w:val="center"/>
                </w:tcPr>
                <w:p w14:paraId="74EF39BF">
                  <w:pPr>
                    <w:jc w:val="center"/>
                    <w:rPr>
                      <w:rFonts w:hint="eastAsia" w:ascii="Times New Roman" w:hAnsi="Times New Roman" w:eastAsia="宋体" w:cs="Times New Roman"/>
                      <w:b w:val="0"/>
                      <w:bCs w:val="0"/>
                      <w:color w:val="auto"/>
                      <w:sz w:val="21"/>
                      <w:szCs w:val="21"/>
                      <w:highlight w:val="none"/>
                      <w:lang w:val="en-US" w:eastAsia="zh-CN"/>
                    </w:rPr>
                  </w:pPr>
                  <w:r>
                    <w:rPr>
                      <w:color w:val="auto"/>
                      <w:sz w:val="21"/>
                      <w:szCs w:val="21"/>
                      <w:highlight w:val="none"/>
                    </w:rPr>
                    <w:t>颗粒物</w:t>
                  </w:r>
                </w:p>
              </w:tc>
              <w:tc>
                <w:tcPr>
                  <w:tcW w:w="1655" w:type="pct"/>
                  <w:tcBorders>
                    <w:tl2br w:val="nil"/>
                    <w:tr2bl w:val="nil"/>
                  </w:tcBorders>
                  <w:noWrap w:val="0"/>
                  <w:vAlign w:val="center"/>
                </w:tcPr>
                <w:p w14:paraId="5480B15A">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yellow"/>
                      <w:lang w:val="en-US" w:eastAsia="zh-CN" w:bidi="ar-SA"/>
                    </w:rPr>
                  </w:pPr>
                  <w:r>
                    <w:rPr>
                      <w:rFonts w:hint="eastAsia" w:eastAsia="宋体" w:cs="Times New Roman"/>
                      <w:b w:val="0"/>
                      <w:bCs w:val="0"/>
                      <w:snapToGrid w:val="0"/>
                      <w:color w:val="auto"/>
                      <w:kern w:val="0"/>
                      <w:sz w:val="21"/>
                      <w:szCs w:val="21"/>
                      <w:highlight w:val="none"/>
                      <w:lang w:val="en-US" w:eastAsia="zh-CN" w:bidi="ar-SA"/>
                    </w:rPr>
                    <w:t>0.65</w:t>
                  </w:r>
                </w:p>
              </w:tc>
              <w:tc>
                <w:tcPr>
                  <w:tcW w:w="1517" w:type="pct"/>
                  <w:tcBorders>
                    <w:tl2br w:val="nil"/>
                    <w:tr2bl w:val="nil"/>
                  </w:tcBorders>
                  <w:shd w:val="clear" w:color="auto" w:fill="auto"/>
                  <w:noWrap w:val="0"/>
                  <w:vAlign w:val="center"/>
                </w:tcPr>
                <w:p w14:paraId="09454A39">
                  <w:pPr>
                    <w:pStyle w:val="54"/>
                    <w:spacing w:beforeLines="0" w:afterLines="0"/>
                    <w:ind w:firstLine="0" w:firstLineChars="0"/>
                    <w:jc w:val="center"/>
                    <w:rPr>
                      <w:rFonts w:hint="default" w:cs="Times New Roman"/>
                      <w:color w:val="auto"/>
                      <w:kern w:val="2"/>
                      <w:sz w:val="21"/>
                      <w:szCs w:val="21"/>
                      <w:highlight w:val="none"/>
                      <w:lang w:val="en-US" w:eastAsia="zh-CN" w:bidi="ar-SA"/>
                    </w:rPr>
                  </w:pPr>
                  <w:r>
                    <w:rPr>
                      <w:rFonts w:hint="eastAsia" w:cs="Times New Roman"/>
                      <w:color w:val="000000" w:themeColor="text1"/>
                      <w:kern w:val="2"/>
                      <w:sz w:val="21"/>
                      <w:szCs w:val="21"/>
                      <w:highlight w:val="none"/>
                      <w:lang w:val="en-US" w:eastAsia="zh-CN" w:bidi="ar-SA"/>
                      <w14:textFill>
                        <w14:solidFill>
                          <w14:schemeClr w14:val="tx1"/>
                        </w14:solidFill>
                      </w14:textFill>
                    </w:rPr>
                    <w:t>1.25</w:t>
                  </w:r>
                </w:p>
              </w:tc>
            </w:tr>
            <w:tr w14:paraId="0FF361B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7" w:type="pct"/>
                  <w:tcBorders>
                    <w:tl2br w:val="nil"/>
                    <w:tr2bl w:val="nil"/>
                  </w:tcBorders>
                  <w:noWrap w:val="0"/>
                  <w:vAlign w:val="center"/>
                </w:tcPr>
                <w:p w14:paraId="24909870">
                  <w:pPr>
                    <w:jc w:val="center"/>
                    <w:rPr>
                      <w:rFonts w:hint="eastAsia" w:ascii="Times New Roman" w:hAnsi="Times New Roman" w:eastAsia="宋体" w:cs="Times New Roman"/>
                      <w:b w:val="0"/>
                      <w:bCs w:val="0"/>
                      <w:color w:val="auto"/>
                      <w:sz w:val="21"/>
                      <w:szCs w:val="21"/>
                      <w:highlight w:val="none"/>
                      <w:lang w:val="en-US" w:eastAsia="zh-CN"/>
                    </w:rPr>
                  </w:pPr>
                  <w:r>
                    <w:rPr>
                      <w:color w:val="auto"/>
                      <w:sz w:val="21"/>
                      <w:szCs w:val="21"/>
                      <w:highlight w:val="none"/>
                    </w:rPr>
                    <w:t>SO</w:t>
                  </w:r>
                  <w:r>
                    <w:rPr>
                      <w:color w:val="auto"/>
                      <w:sz w:val="21"/>
                      <w:szCs w:val="21"/>
                      <w:highlight w:val="none"/>
                      <w:vertAlign w:val="subscript"/>
                    </w:rPr>
                    <w:t>2</w:t>
                  </w:r>
                </w:p>
              </w:tc>
              <w:tc>
                <w:tcPr>
                  <w:tcW w:w="1655" w:type="pct"/>
                  <w:tcBorders>
                    <w:tl2br w:val="nil"/>
                    <w:tr2bl w:val="nil"/>
                  </w:tcBorders>
                  <w:noWrap w:val="0"/>
                  <w:vAlign w:val="center"/>
                </w:tcPr>
                <w:p w14:paraId="5A5B8CA2">
                  <w:pPr>
                    <w:jc w:val="center"/>
                    <w:rPr>
                      <w:rFonts w:hint="default" w:ascii="Times New Roman" w:hAnsi="Times New Roman" w:eastAsia="宋体" w:cs="Times New Roman"/>
                      <w:color w:val="auto"/>
                      <w:kern w:val="2"/>
                      <w:sz w:val="21"/>
                      <w:szCs w:val="21"/>
                      <w:highlight w:val="yellow"/>
                      <w:lang w:val="en-US" w:eastAsia="zh-CN" w:bidi="ar-SA"/>
                    </w:rPr>
                  </w:pPr>
                  <w:r>
                    <w:rPr>
                      <w:rFonts w:hint="eastAsia" w:eastAsia="宋体" w:cs="Times New Roman"/>
                      <w:b w:val="0"/>
                      <w:bCs w:val="0"/>
                      <w:snapToGrid w:val="0"/>
                      <w:color w:val="auto"/>
                      <w:kern w:val="0"/>
                      <w:sz w:val="21"/>
                      <w:szCs w:val="21"/>
                      <w:highlight w:val="none"/>
                      <w:lang w:val="en-US" w:eastAsia="zh-CN" w:bidi="ar-SA"/>
                    </w:rPr>
                    <w:t>3.83</w:t>
                  </w:r>
                </w:p>
              </w:tc>
              <w:tc>
                <w:tcPr>
                  <w:tcW w:w="1517" w:type="pct"/>
                  <w:tcBorders>
                    <w:tl2br w:val="nil"/>
                    <w:tr2bl w:val="nil"/>
                  </w:tcBorders>
                  <w:shd w:val="clear" w:color="auto" w:fill="auto"/>
                  <w:noWrap w:val="0"/>
                  <w:vAlign w:val="center"/>
                </w:tcPr>
                <w:p w14:paraId="2B1854FA">
                  <w:pPr>
                    <w:widowControl/>
                    <w:jc w:val="center"/>
                    <w:textAlignment w:val="center"/>
                    <w:rPr>
                      <w:rFonts w:hint="default" w:cs="Times New Roman"/>
                      <w:color w:val="auto"/>
                      <w:kern w:val="2"/>
                      <w:sz w:val="21"/>
                      <w:szCs w:val="21"/>
                      <w:highlight w:val="none"/>
                      <w:lang w:val="en-US" w:eastAsia="zh-CN" w:bidi="ar-SA"/>
                    </w:rPr>
                  </w:pPr>
                  <w:r>
                    <w:rPr>
                      <w:rFonts w:hint="eastAsia" w:cs="Times New Roman"/>
                      <w:color w:val="000000" w:themeColor="text1"/>
                      <w:kern w:val="2"/>
                      <w:sz w:val="21"/>
                      <w:szCs w:val="21"/>
                      <w:highlight w:val="none"/>
                      <w:lang w:val="en-US" w:eastAsia="zh-CN" w:bidi="ar-SA"/>
                      <w14:textFill>
                        <w14:solidFill>
                          <w14:schemeClr w14:val="tx1"/>
                        </w14:solidFill>
                      </w14:textFill>
                    </w:rPr>
                    <w:t>6.59</w:t>
                  </w:r>
                </w:p>
              </w:tc>
            </w:tr>
            <w:tr w14:paraId="7405D4A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7" w:type="pct"/>
                  <w:tcBorders>
                    <w:tl2br w:val="nil"/>
                    <w:tr2bl w:val="nil"/>
                  </w:tcBorders>
                  <w:noWrap w:val="0"/>
                  <w:vAlign w:val="center"/>
                </w:tcPr>
                <w:p w14:paraId="0B0B5360">
                  <w:pPr>
                    <w:jc w:val="center"/>
                    <w:rPr>
                      <w:rFonts w:hint="default" w:eastAsia="宋体"/>
                      <w:color w:val="auto"/>
                      <w:highlight w:val="none"/>
                      <w:lang w:val="en-US" w:eastAsia="zh-CN"/>
                    </w:rPr>
                  </w:pPr>
                  <w:r>
                    <w:rPr>
                      <w:color w:val="auto"/>
                      <w:sz w:val="21"/>
                      <w:szCs w:val="21"/>
                      <w:highlight w:val="none"/>
                    </w:rPr>
                    <w:t>NOx</w:t>
                  </w:r>
                </w:p>
              </w:tc>
              <w:tc>
                <w:tcPr>
                  <w:tcW w:w="1655" w:type="pct"/>
                  <w:tcBorders>
                    <w:tl2br w:val="nil"/>
                    <w:tr2bl w:val="nil"/>
                  </w:tcBorders>
                  <w:noWrap w:val="0"/>
                  <w:vAlign w:val="center"/>
                </w:tcPr>
                <w:p w14:paraId="65F31E06">
                  <w:pPr>
                    <w:jc w:val="center"/>
                    <w:rPr>
                      <w:rFonts w:hint="default" w:ascii="Times New Roman" w:hAnsi="Times New Roman" w:eastAsia="宋体" w:cs="Times New Roman"/>
                      <w:color w:val="auto"/>
                      <w:kern w:val="2"/>
                      <w:sz w:val="21"/>
                      <w:szCs w:val="21"/>
                      <w:highlight w:val="yellow"/>
                      <w:lang w:val="en-US" w:eastAsia="zh-CN" w:bidi="ar-SA"/>
                    </w:rPr>
                  </w:pPr>
                  <w:r>
                    <w:rPr>
                      <w:rFonts w:hint="eastAsia" w:cs="Times New Roman"/>
                      <w:b w:val="0"/>
                      <w:bCs w:val="0"/>
                      <w:color w:val="auto"/>
                      <w:sz w:val="21"/>
                      <w:szCs w:val="21"/>
                      <w:highlight w:val="none"/>
                      <w:lang w:val="en-US" w:eastAsia="zh-CN"/>
                    </w:rPr>
                    <w:t>6.34</w:t>
                  </w:r>
                </w:p>
              </w:tc>
              <w:tc>
                <w:tcPr>
                  <w:tcW w:w="1517" w:type="pct"/>
                  <w:tcBorders>
                    <w:tl2br w:val="nil"/>
                    <w:tr2bl w:val="nil"/>
                  </w:tcBorders>
                  <w:shd w:val="clear" w:color="auto" w:fill="auto"/>
                  <w:noWrap w:val="0"/>
                  <w:vAlign w:val="center"/>
                </w:tcPr>
                <w:p w14:paraId="2FA0E0D8">
                  <w:pPr>
                    <w:widowControl/>
                    <w:jc w:val="center"/>
                    <w:textAlignment w:val="center"/>
                    <w:rPr>
                      <w:rFonts w:hint="default" w:cs="Times New Roman"/>
                      <w:color w:val="auto"/>
                      <w:kern w:val="2"/>
                      <w:sz w:val="21"/>
                      <w:szCs w:val="21"/>
                      <w:highlight w:val="none"/>
                      <w:lang w:val="en-US" w:eastAsia="zh-CN" w:bidi="ar-SA"/>
                    </w:rPr>
                  </w:pPr>
                  <w:r>
                    <w:rPr>
                      <w:rFonts w:hint="eastAsia" w:cs="Times New Roman"/>
                      <w:color w:val="000000" w:themeColor="text1"/>
                      <w:kern w:val="2"/>
                      <w:sz w:val="21"/>
                      <w:szCs w:val="21"/>
                      <w:highlight w:val="none"/>
                      <w:lang w:val="en-US" w:eastAsia="zh-CN" w:bidi="ar-SA"/>
                      <w14:textFill>
                        <w14:solidFill>
                          <w14:schemeClr w14:val="tx1"/>
                        </w14:solidFill>
                      </w14:textFill>
                    </w:rPr>
                    <w:t>8.23</w:t>
                  </w:r>
                </w:p>
              </w:tc>
            </w:tr>
            <w:tr w14:paraId="2511559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7" w:type="pct"/>
                  <w:tcBorders>
                    <w:tl2br w:val="nil"/>
                    <w:tr2bl w:val="nil"/>
                  </w:tcBorders>
                  <w:noWrap w:val="0"/>
                  <w:vAlign w:val="center"/>
                </w:tcPr>
                <w:p w14:paraId="71D2C095">
                  <w:pPr>
                    <w:spacing w:line="240" w:lineRule="auto"/>
                    <w:jc w:val="center"/>
                    <w:rPr>
                      <w:color w:val="auto"/>
                      <w:sz w:val="21"/>
                      <w:szCs w:val="21"/>
                      <w:highlight w:val="none"/>
                    </w:rPr>
                  </w:pPr>
                  <w:r>
                    <w:rPr>
                      <w:color w:val="auto"/>
                      <w:szCs w:val="21"/>
                    </w:rPr>
                    <w:t>COD</w:t>
                  </w:r>
                  <w:r>
                    <w:rPr>
                      <w:rFonts w:hint="eastAsia"/>
                      <w:color w:val="auto"/>
                      <w:szCs w:val="21"/>
                    </w:rPr>
                    <w:t>*</w:t>
                  </w:r>
                </w:p>
              </w:tc>
              <w:tc>
                <w:tcPr>
                  <w:tcW w:w="1655" w:type="pct"/>
                  <w:tcBorders>
                    <w:tl2br w:val="nil"/>
                    <w:tr2bl w:val="nil"/>
                  </w:tcBorders>
                  <w:noWrap w:val="0"/>
                  <w:vAlign w:val="center"/>
                </w:tcPr>
                <w:p w14:paraId="5BE375AF">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color w:val="auto"/>
                      <w:sz w:val="21"/>
                      <w:szCs w:val="21"/>
                      <w:highlight w:val="yellow"/>
                      <w:lang w:val="en-US" w:eastAsia="zh-CN"/>
                    </w:rPr>
                  </w:pPr>
                  <w:r>
                    <w:rPr>
                      <w:rFonts w:hint="eastAsia" w:ascii="Times New Roman" w:hAnsi="Times New Roman" w:eastAsia="宋体" w:cs="Times New Roman"/>
                      <w:bCs/>
                      <w:color w:val="auto"/>
                      <w:sz w:val="21"/>
                      <w:szCs w:val="21"/>
                      <w:highlight w:val="none"/>
                      <w:lang w:val="en-US" w:eastAsia="zh-CN"/>
                    </w:rPr>
                    <w:t>0.181</w:t>
                  </w:r>
                </w:p>
              </w:tc>
              <w:tc>
                <w:tcPr>
                  <w:tcW w:w="1517" w:type="pct"/>
                  <w:tcBorders>
                    <w:tl2br w:val="nil"/>
                    <w:tr2bl w:val="nil"/>
                  </w:tcBorders>
                  <w:shd w:val="clear" w:color="auto" w:fill="auto"/>
                  <w:noWrap w:val="0"/>
                  <w:vAlign w:val="center"/>
                </w:tcPr>
                <w:p w14:paraId="1DC71B90">
                  <w:pPr>
                    <w:widowControl/>
                    <w:jc w:val="center"/>
                    <w:textAlignment w:val="center"/>
                    <w:rPr>
                      <w:rFonts w:hint="eastAsia" w:cs="Times New Roman"/>
                      <w:color w:val="auto"/>
                      <w:kern w:val="2"/>
                      <w:sz w:val="21"/>
                      <w:szCs w:val="21"/>
                      <w:highlight w:val="none"/>
                      <w:lang w:val="en-US" w:eastAsia="zh-CN" w:bidi="ar-SA"/>
                    </w:rPr>
                  </w:pPr>
                  <w:r>
                    <w:rPr>
                      <w:rFonts w:hint="eastAsia" w:cs="Times New Roman"/>
                      <w:color w:val="000000" w:themeColor="text1"/>
                      <w:kern w:val="2"/>
                      <w:sz w:val="21"/>
                      <w:szCs w:val="21"/>
                      <w:highlight w:val="none"/>
                      <w:lang w:val="en-US" w:eastAsia="zh-CN" w:bidi="ar-SA"/>
                      <w14:textFill>
                        <w14:solidFill>
                          <w14:schemeClr w14:val="tx1"/>
                        </w14:solidFill>
                      </w14:textFill>
                    </w:rPr>
                    <w:t>1.01</w:t>
                  </w:r>
                </w:p>
              </w:tc>
            </w:tr>
            <w:tr w14:paraId="559B6D7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7" w:type="pct"/>
                  <w:tcBorders>
                    <w:tl2br w:val="nil"/>
                    <w:tr2bl w:val="nil"/>
                  </w:tcBorders>
                  <w:noWrap w:val="0"/>
                  <w:vAlign w:val="center"/>
                </w:tcPr>
                <w:p w14:paraId="6A56561F">
                  <w:pPr>
                    <w:spacing w:line="240" w:lineRule="auto"/>
                    <w:jc w:val="center"/>
                    <w:rPr>
                      <w:color w:val="auto"/>
                      <w:sz w:val="21"/>
                      <w:szCs w:val="21"/>
                      <w:highlight w:val="none"/>
                    </w:rPr>
                  </w:pPr>
                  <w:r>
                    <w:rPr>
                      <w:color w:val="auto"/>
                      <w:sz w:val="21"/>
                      <w:szCs w:val="21"/>
                    </w:rPr>
                    <w:t>NH</w:t>
                  </w:r>
                  <w:r>
                    <w:rPr>
                      <w:color w:val="auto"/>
                      <w:sz w:val="21"/>
                      <w:szCs w:val="21"/>
                      <w:vertAlign w:val="subscript"/>
                    </w:rPr>
                    <w:t>3</w:t>
                  </w:r>
                  <w:r>
                    <w:rPr>
                      <w:color w:val="auto"/>
                      <w:sz w:val="21"/>
                      <w:szCs w:val="21"/>
                    </w:rPr>
                    <w:t>-N</w:t>
                  </w:r>
                  <w:r>
                    <w:rPr>
                      <w:rFonts w:hint="eastAsia"/>
                      <w:color w:val="auto"/>
                      <w:szCs w:val="21"/>
                    </w:rPr>
                    <w:t>*</w:t>
                  </w:r>
                </w:p>
              </w:tc>
              <w:tc>
                <w:tcPr>
                  <w:tcW w:w="1655" w:type="pct"/>
                  <w:tcBorders>
                    <w:tl2br w:val="nil"/>
                    <w:tr2bl w:val="nil"/>
                  </w:tcBorders>
                  <w:noWrap w:val="0"/>
                  <w:vAlign w:val="center"/>
                </w:tcPr>
                <w:p w14:paraId="19A5F6E9">
                  <w:pPr>
                    <w:keepNext w:val="0"/>
                    <w:keepLines w:val="0"/>
                    <w:widowControl/>
                    <w:suppressLineNumbers w:val="0"/>
                    <w:jc w:val="center"/>
                    <w:textAlignment w:val="center"/>
                    <w:rPr>
                      <w:rFonts w:hint="eastAsia" w:ascii="Times New Roman" w:hAnsi="Times New Roman" w:eastAsia="宋体" w:cs="Times New Roman"/>
                      <w:b w:val="0"/>
                      <w:bCs w:val="0"/>
                      <w:color w:val="auto"/>
                      <w:sz w:val="21"/>
                      <w:szCs w:val="21"/>
                      <w:highlight w:val="yellow"/>
                      <w:lang w:val="en-US" w:eastAsia="zh-CN"/>
                    </w:rPr>
                  </w:pPr>
                  <w:r>
                    <w:rPr>
                      <w:rFonts w:hint="default" w:ascii="Times New Roman" w:hAnsi="Times New Roman" w:eastAsia="宋体" w:cs="Times New Roman"/>
                      <w:i w:val="0"/>
                      <w:iCs w:val="0"/>
                      <w:color w:val="auto"/>
                      <w:kern w:val="0"/>
                      <w:sz w:val="21"/>
                      <w:szCs w:val="21"/>
                      <w:u w:val="none"/>
                      <w:lang w:val="en-US" w:eastAsia="zh-CN" w:bidi="ar"/>
                    </w:rPr>
                    <w:t>0.001</w:t>
                  </w:r>
                </w:p>
              </w:tc>
              <w:tc>
                <w:tcPr>
                  <w:tcW w:w="1517" w:type="pct"/>
                  <w:tcBorders>
                    <w:tl2br w:val="nil"/>
                    <w:tr2bl w:val="nil"/>
                  </w:tcBorders>
                  <w:shd w:val="clear" w:color="auto" w:fill="auto"/>
                  <w:noWrap w:val="0"/>
                  <w:vAlign w:val="center"/>
                </w:tcPr>
                <w:p w14:paraId="566B22BF">
                  <w:pPr>
                    <w:widowControl/>
                    <w:jc w:val="center"/>
                    <w:textAlignment w:val="center"/>
                    <w:rPr>
                      <w:rFonts w:hint="eastAsia" w:cs="Times New Roman"/>
                      <w:color w:val="auto"/>
                      <w:kern w:val="2"/>
                      <w:sz w:val="21"/>
                      <w:szCs w:val="21"/>
                      <w:highlight w:val="none"/>
                      <w:lang w:val="en-US" w:eastAsia="zh-CN" w:bidi="ar-SA"/>
                    </w:rPr>
                  </w:pPr>
                  <w:r>
                    <w:rPr>
                      <w:rFonts w:hint="eastAsia" w:cs="Times New Roman"/>
                      <w:color w:val="000000" w:themeColor="text1"/>
                      <w:kern w:val="2"/>
                      <w:sz w:val="21"/>
                      <w:szCs w:val="21"/>
                      <w:highlight w:val="none"/>
                      <w:lang w:val="en-US" w:eastAsia="zh-CN" w:bidi="ar-SA"/>
                      <w14:textFill>
                        <w14:solidFill>
                          <w14:schemeClr w14:val="tx1"/>
                        </w14:solidFill>
                      </w14:textFill>
                    </w:rPr>
                    <w:t>0.10</w:t>
                  </w:r>
                </w:p>
              </w:tc>
            </w:tr>
          </w:tbl>
          <w:p w14:paraId="41D1B94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color w:val="FF0000"/>
                <w:highlight w:val="none"/>
              </w:rPr>
            </w:pPr>
            <w:r>
              <w:rPr>
                <w:kern w:val="0"/>
                <w:szCs w:val="21"/>
              </w:rPr>
              <w:t>注：</w:t>
            </w:r>
            <w:r>
              <w:rPr>
                <w:rFonts w:hint="eastAsia"/>
                <w:szCs w:val="21"/>
              </w:rPr>
              <w:t>*</w:t>
            </w:r>
            <w:r>
              <w:rPr>
                <w:kern w:val="0"/>
                <w:szCs w:val="21"/>
              </w:rPr>
              <w:t>代表</w:t>
            </w:r>
            <w:r>
              <w:rPr>
                <w:rFonts w:hint="default" w:ascii="Times New Roman" w:hAnsi="Times New Roman" w:cs="Times New Roman"/>
                <w:color w:val="auto"/>
                <w:sz w:val="21"/>
                <w:szCs w:val="21"/>
                <w:highlight w:val="none"/>
                <w:lang w:val="en-US" w:eastAsia="zh-CN"/>
              </w:rPr>
              <w:t>饶河县西林子乡污水处理站</w:t>
            </w:r>
            <w:r>
              <w:rPr>
                <w:kern w:val="0"/>
                <w:szCs w:val="21"/>
              </w:rPr>
              <w:t>分担量</w:t>
            </w:r>
          </w:p>
        </w:tc>
      </w:tr>
    </w:tbl>
    <w:p w14:paraId="7B7375BC">
      <w:pPr>
        <w:pStyle w:val="17"/>
        <w:jc w:val="center"/>
        <w:outlineLvl w:val="0"/>
        <w:rPr>
          <w:rFonts w:ascii="黑体" w:hAnsi="黑体" w:eastAsia="黑体"/>
          <w:snapToGrid w:val="0"/>
          <w:color w:val="FF0000"/>
          <w:sz w:val="30"/>
          <w:szCs w:val="30"/>
          <w:highlight w:val="none"/>
        </w:rPr>
      </w:pPr>
      <w:r>
        <w:rPr>
          <w:rFonts w:ascii="黑体" w:hAnsi="黑体" w:eastAsia="黑体"/>
          <w:snapToGrid w:val="0"/>
          <w:color w:val="FF0000"/>
          <w:sz w:val="36"/>
          <w:szCs w:val="36"/>
          <w:highlight w:val="none"/>
        </w:rPr>
        <w:br w:type="page"/>
      </w:r>
      <w:bookmarkStart w:id="10" w:name="_Toc21094"/>
      <w:r>
        <w:rPr>
          <w:rFonts w:hint="eastAsia" w:ascii="黑体" w:hAnsi="黑体" w:eastAsia="黑体"/>
          <w:snapToGrid w:val="0"/>
          <w:color w:val="auto"/>
          <w:sz w:val="30"/>
          <w:szCs w:val="30"/>
          <w:highlight w:val="none"/>
        </w:rPr>
        <w:t>四、主要环境影响和保护措施</w:t>
      </w:r>
      <w:bookmarkEnd w:id="10"/>
    </w:p>
    <w:tbl>
      <w:tblPr>
        <w:tblStyle w:val="20"/>
        <w:tblW w:w="952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3"/>
        <w:gridCol w:w="9106"/>
      </w:tblGrid>
      <w:tr w14:paraId="3D88E7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1730" w:hRule="atLeast"/>
          <w:jc w:val="center"/>
        </w:trPr>
        <w:tc>
          <w:tcPr>
            <w:tcW w:w="423" w:type="dxa"/>
            <w:noWrap w:val="0"/>
            <w:tcMar>
              <w:left w:w="28" w:type="dxa"/>
              <w:right w:w="28" w:type="dxa"/>
            </w:tcMar>
            <w:vAlign w:val="center"/>
          </w:tcPr>
          <w:p w14:paraId="26A197C9">
            <w:pPr>
              <w:pStyle w:val="17"/>
              <w:adjustRightInd w:val="0"/>
              <w:snapToGrid w:val="0"/>
              <w:spacing w:before="0" w:beforeAutospacing="0" w:after="0" w:afterAutospacing="0"/>
              <w:jc w:val="center"/>
              <w:rPr>
                <w:rFonts w:hint="eastAsia" w:cs="宋体"/>
                <w:bCs/>
                <w:color w:val="FF0000"/>
                <w:kern w:val="2"/>
                <w:sz w:val="21"/>
                <w:szCs w:val="21"/>
                <w:highlight w:val="none"/>
              </w:rPr>
            </w:pPr>
            <w:r>
              <w:rPr>
                <w:rFonts w:hint="eastAsia" w:cs="宋体"/>
                <w:color w:val="auto"/>
                <w:kern w:val="2"/>
                <w:sz w:val="24"/>
                <w:szCs w:val="24"/>
                <w:highlight w:val="none"/>
              </w:rPr>
              <w:t>施工期环境保护措施</w:t>
            </w:r>
          </w:p>
        </w:tc>
        <w:tc>
          <w:tcPr>
            <w:tcW w:w="9106" w:type="dxa"/>
            <w:noWrap w:val="0"/>
            <w:vAlign w:val="top"/>
          </w:tcPr>
          <w:p w14:paraId="03905A80">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color w:val="auto"/>
                <w:sz w:val="24"/>
              </w:rPr>
            </w:pPr>
            <w:r>
              <w:rPr>
                <w:rFonts w:hint="eastAsia"/>
                <w:b/>
                <w:bCs/>
                <w:color w:val="auto"/>
                <w:sz w:val="24"/>
              </w:rPr>
              <w:t>一、环境空气保护措施</w:t>
            </w:r>
          </w:p>
          <w:p w14:paraId="7955DA8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szCs w:val="24"/>
                <w:vertAlign w:val="baseline"/>
                <w:lang w:val="en-US" w:eastAsia="zh-CN"/>
              </w:rPr>
            </w:pPr>
            <w:r>
              <w:rPr>
                <w:rFonts w:hint="eastAsia" w:cs="Times New Roman"/>
                <w:b w:val="0"/>
                <w:bCs w:val="0"/>
                <w:color w:val="auto"/>
                <w:sz w:val="24"/>
                <w:szCs w:val="24"/>
                <w:highlight w:val="none"/>
                <w:lang w:val="en-US" w:eastAsia="zh-CN"/>
              </w:rPr>
              <w:t>项目新建</w:t>
            </w:r>
            <w:r>
              <w:rPr>
                <w:rFonts w:hint="eastAsia" w:cs="Times New Roman"/>
                <w:b w:val="0"/>
                <w:bCs/>
                <w:color w:val="auto"/>
                <w:sz w:val="24"/>
                <w:szCs w:val="24"/>
                <w:highlight w:val="none"/>
                <w:lang w:val="en-US" w:eastAsia="zh-CN"/>
              </w:rPr>
              <w:t>锅炉房和375m</w:t>
            </w:r>
            <w:r>
              <w:rPr>
                <w:rFonts w:hint="eastAsia" w:ascii="Times New Roman" w:hAnsi="Times New Roman" w:cs="Times New Roman"/>
                <w:color w:val="auto"/>
                <w:sz w:val="24"/>
                <w:szCs w:val="24"/>
                <w:vertAlign w:val="baseline"/>
                <w:lang w:val="en-US" w:eastAsia="zh-CN"/>
              </w:rPr>
              <w:t>采暖供回水主干管道等，更换入户处热计量装置；依托现有厂区内综合用房。构筑物内部装修、设备安装，</w:t>
            </w:r>
            <w:r>
              <w:rPr>
                <w:rFonts w:hint="eastAsia" w:cs="Times New Roman"/>
                <w:color w:val="auto"/>
                <w:sz w:val="24"/>
                <w:szCs w:val="24"/>
                <w:vertAlign w:val="baseline"/>
                <w:lang w:val="en-US" w:eastAsia="zh-CN"/>
              </w:rPr>
              <w:t>施工期大气污染物主要为施工扬尘、施工车辆及机械尾气，施工</w:t>
            </w:r>
            <w:r>
              <w:rPr>
                <w:rFonts w:hint="eastAsia" w:ascii="Times New Roman" w:hAnsi="Times New Roman" w:cs="Times New Roman"/>
                <w:color w:val="auto"/>
                <w:sz w:val="24"/>
                <w:szCs w:val="24"/>
                <w:vertAlign w:val="baseline"/>
                <w:lang w:val="en-US" w:eastAsia="zh-CN"/>
              </w:rPr>
              <w:t>期采用环境保护措施如下所示。</w:t>
            </w:r>
          </w:p>
          <w:p w14:paraId="745D56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vertAlign w:val="baseline"/>
                <w:lang w:val="en-US" w:eastAsia="zh-CN"/>
              </w:rPr>
            </w:pPr>
            <w:r>
              <w:rPr>
                <w:rFonts w:hint="eastAsia" w:ascii="Times New Roman" w:hAnsi="Times New Roman" w:cs="Times New Roman"/>
                <w:color w:val="auto"/>
                <w:sz w:val="24"/>
                <w:szCs w:val="24"/>
                <w:vertAlign w:val="baseline"/>
                <w:lang w:val="en-US" w:eastAsia="zh-CN"/>
              </w:rPr>
              <w:t>（一）施工扬尘</w:t>
            </w:r>
          </w:p>
          <w:p w14:paraId="03EB7BC1">
            <w:pPr>
              <w:widowControl/>
              <w:spacing w:line="360" w:lineRule="auto"/>
              <w:ind w:firstLine="480" w:firstLineChars="200"/>
              <w:jc w:val="left"/>
              <w:rPr>
                <w:rFonts w:hint="eastAsia" w:ascii="宋体" w:hAnsi="宋体" w:cs="宋体"/>
                <w:kern w:val="0"/>
                <w:sz w:val="24"/>
              </w:rPr>
            </w:pPr>
            <w:r>
              <w:rPr>
                <w:rFonts w:hint="eastAsia" w:cs="Times New Roman"/>
                <w:color w:val="auto"/>
                <w:sz w:val="24"/>
                <w:szCs w:val="24"/>
                <w:vertAlign w:val="baseline"/>
                <w:lang w:val="en-US" w:eastAsia="zh-CN"/>
              </w:rPr>
              <w:t>施工扬尘来源于运输车辆</w:t>
            </w:r>
            <w:r>
              <w:rPr>
                <w:rFonts w:hint="eastAsia" w:ascii="宋体" w:hAnsi="宋体" w:cs="宋体"/>
                <w:kern w:val="0"/>
                <w:sz w:val="24"/>
              </w:rPr>
              <w:t>来往造成地面扬尘；施工垃圾堆放及清运过程中产生的扬尘</w:t>
            </w:r>
            <w:r>
              <w:rPr>
                <w:rFonts w:hint="eastAsia" w:ascii="宋体" w:hAnsi="宋体" w:cs="宋体"/>
                <w:kern w:val="0"/>
                <w:sz w:val="24"/>
                <w:lang w:eastAsia="zh-CN"/>
              </w:rPr>
              <w:t>；</w:t>
            </w:r>
            <w:r>
              <w:rPr>
                <w:rFonts w:hint="eastAsia" w:ascii="宋体" w:hAnsi="宋体" w:cs="宋体"/>
                <w:kern w:val="0"/>
                <w:sz w:val="24"/>
                <w:lang w:val="en-US" w:eastAsia="zh-CN"/>
              </w:rPr>
              <w:t>供热管网地面开挖产生扬尘</w:t>
            </w:r>
            <w:r>
              <w:rPr>
                <w:rFonts w:hint="eastAsia" w:cs="Times New Roman"/>
                <w:color w:val="auto"/>
                <w:sz w:val="24"/>
                <w:szCs w:val="24"/>
                <w:vertAlign w:val="baseline"/>
                <w:lang w:val="en-US" w:eastAsia="zh-CN"/>
              </w:rPr>
              <w:t>。</w:t>
            </w:r>
            <w:r>
              <w:rPr>
                <w:rFonts w:hint="eastAsia" w:ascii="宋体" w:hAnsi="宋体" w:cs="宋体"/>
                <w:kern w:val="0"/>
                <w:sz w:val="24"/>
              </w:rPr>
              <w:t>施工期间产生的扬尘污染主要取决于施工作业方式、材料的堆放以及风力等因素，其受风力因素的影响最大。随风速的增大，施工扬尘产生的污染程度和超标范围也将随之增强或扩大，</w:t>
            </w:r>
            <w:r>
              <w:rPr>
                <w:rFonts w:hint="eastAsia" w:ascii="宋体" w:hAnsi="宋体" w:cs="宋体"/>
                <w:kern w:val="0"/>
                <w:sz w:val="24"/>
                <w:lang w:val="en-US" w:eastAsia="zh-CN"/>
              </w:rPr>
              <w:t>厂界及管道</w:t>
            </w:r>
            <w:r>
              <w:rPr>
                <w:rFonts w:hint="eastAsia" w:ascii="宋体" w:hAnsi="宋体" w:cs="宋体"/>
                <w:kern w:val="0"/>
                <w:sz w:val="24"/>
              </w:rPr>
              <w:t>施工场地设置</w:t>
            </w:r>
            <w:r>
              <w:rPr>
                <w:rFonts w:hint="eastAsia" w:ascii="宋体" w:hAnsi="宋体" w:cs="宋体"/>
                <w:kern w:val="0"/>
                <w:sz w:val="24"/>
                <w:lang w:val="en-US" w:eastAsia="zh-CN"/>
              </w:rPr>
              <w:t>硬质</w:t>
            </w:r>
            <w:r>
              <w:rPr>
                <w:rFonts w:hint="eastAsia" w:ascii="宋体" w:hAnsi="宋体" w:cs="宋体"/>
                <w:kern w:val="0"/>
                <w:sz w:val="24"/>
              </w:rPr>
              <w:t>围挡，粉性建筑材料运输采取遮挡，地面洒水抑尘，设备运输车辆来往路面进行洒水抑尘，减少车辆来往造成地面产生的扬尘。</w:t>
            </w:r>
          </w:p>
          <w:p w14:paraId="525BEEBE">
            <w:pPr>
              <w:pStyle w:val="57"/>
              <w:bidi w:val="0"/>
              <w:rPr>
                <w:rFonts w:hint="eastAsia" w:ascii="宋体" w:hAnsi="宋体" w:cs="宋体"/>
                <w:kern w:val="0"/>
                <w:sz w:val="24"/>
              </w:rPr>
            </w:pPr>
            <w:r>
              <w:rPr>
                <w:rFonts w:hint="eastAsia" w:ascii="Times New Roman" w:hAnsi="Times New Roman" w:eastAsia="宋体" w:cs="Times New Roman"/>
                <w:color w:val="auto"/>
                <w:sz w:val="24"/>
                <w:szCs w:val="24"/>
                <w:vertAlign w:val="baseline"/>
                <w:lang w:val="en-US" w:eastAsia="zh-CN"/>
              </w:rPr>
              <w:t>（二）</w:t>
            </w:r>
            <w:r>
              <w:rPr>
                <w:rFonts w:hint="eastAsia" w:ascii="宋体" w:hAnsi="宋体" w:cs="宋体"/>
                <w:kern w:val="0"/>
                <w:sz w:val="24"/>
              </w:rPr>
              <w:t>车辆及施工机械尾气</w:t>
            </w:r>
          </w:p>
          <w:p w14:paraId="59651B3D">
            <w:pPr>
              <w:pStyle w:val="57"/>
              <w:bidi w:val="0"/>
              <w:rPr>
                <w:rFonts w:hint="eastAsia" w:ascii="宋体" w:hAnsi="宋体" w:cs="宋体"/>
                <w:kern w:val="0"/>
                <w:sz w:val="24"/>
              </w:rPr>
            </w:pPr>
            <w:r>
              <w:rPr>
                <w:rFonts w:hint="eastAsia" w:ascii="宋体" w:hAnsi="宋体" w:cs="宋体"/>
                <w:kern w:val="0"/>
                <w:sz w:val="24"/>
              </w:rPr>
              <w:t>施工机械将产生含有总悬浮颗粒物、二氧化硫、一氧化碳和氮氧化物等污染物的废气，废气仅对施工区及交通道路两侧等局部地区的环境空气质量有短暂的不利影响，不会对大范围的环境空气质量产生不利影响。另外机动车辆运行过程中，所排放的尾气是流动污染源，虽然影响面大，但由于不是集中地大量排放，所以对周围环境和人群影响较小。项目对施工机械加强往返于车辆的管理和维修，施工机械完好率要求在</w:t>
            </w:r>
            <w:r>
              <w:rPr>
                <w:kern w:val="0"/>
                <w:sz w:val="24"/>
              </w:rPr>
              <w:t>90%</w:t>
            </w:r>
            <w:r>
              <w:rPr>
                <w:rFonts w:hint="eastAsia" w:ascii="宋体" w:hAnsi="宋体" w:cs="宋体"/>
                <w:kern w:val="0"/>
                <w:sz w:val="24"/>
              </w:rPr>
              <w:t>以上，使用有害物质量少的优质燃料，并定期对施工设备进行维护，以减少尾气排放；对尾气排放不达标的机械车辆，禁止进行进入施工区施工。采取以上措施后，施工场界扬尘污染物排放浓度符合《大气污染物综合排放标准》</w:t>
            </w:r>
            <w:r>
              <w:rPr>
                <w:kern w:val="0"/>
                <w:sz w:val="24"/>
              </w:rPr>
              <w:t>（GB16297-1996）</w:t>
            </w:r>
            <w:r>
              <w:rPr>
                <w:rFonts w:hint="eastAsia" w:ascii="宋体" w:hAnsi="宋体" w:cs="宋体"/>
                <w:kern w:val="0"/>
                <w:sz w:val="24"/>
              </w:rPr>
              <w:t>表</w:t>
            </w:r>
            <w:r>
              <w:rPr>
                <w:kern w:val="0"/>
                <w:sz w:val="24"/>
              </w:rPr>
              <w:t>2</w:t>
            </w:r>
            <w:r>
              <w:rPr>
                <w:rFonts w:hint="eastAsia" w:ascii="宋体" w:hAnsi="宋体" w:cs="宋体"/>
                <w:kern w:val="0"/>
                <w:sz w:val="24"/>
              </w:rPr>
              <w:t>中无组织排放监控浓度限值。对所在区域大气环境影响较小</w:t>
            </w:r>
          </w:p>
          <w:p w14:paraId="23D18BEF">
            <w:pPr>
              <w:pStyle w:val="57"/>
              <w:numPr>
                <w:ilvl w:val="0"/>
                <w:numId w:val="1"/>
              </w:numPr>
              <w:bidi w:val="0"/>
              <w:rPr>
                <w:rFonts w:hint="eastAsia"/>
                <w:b/>
                <w:bCs/>
                <w:highlight w:val="none"/>
                <w:lang w:val="en-US" w:eastAsia="zh-CN"/>
              </w:rPr>
            </w:pPr>
            <w:r>
              <w:rPr>
                <w:rFonts w:hint="eastAsia"/>
                <w:b/>
                <w:bCs/>
                <w:highlight w:val="none"/>
                <w:lang w:val="en-US" w:eastAsia="zh-CN"/>
              </w:rPr>
              <w:t>水环境保护措施</w:t>
            </w:r>
          </w:p>
          <w:p w14:paraId="6C585432">
            <w:pPr>
              <w:pStyle w:val="57"/>
              <w:numPr>
                <w:ilvl w:val="0"/>
                <w:numId w:val="0"/>
              </w:numPr>
              <w:bidi w:val="0"/>
              <w:ind w:firstLine="480" w:firstLineChars="200"/>
              <w:rPr>
                <w:rFonts w:hint="default"/>
                <w:highlight w:val="none"/>
                <w:lang w:val="en-US" w:eastAsia="zh-CN"/>
              </w:rPr>
            </w:pPr>
            <w:r>
              <w:rPr>
                <w:rFonts w:hint="default"/>
                <w:highlight w:val="none"/>
                <w:lang w:val="en-US" w:eastAsia="zh-CN"/>
              </w:rPr>
              <w:t>项目施工期间不在场地进行施工机械和车辆冲洗，因此无施工机械、车辆冲洗废水产生。施工期主要废水为施工人员生活污水、施工废水。</w:t>
            </w:r>
            <w:r>
              <w:rPr>
                <w:rFonts w:hint="eastAsia" w:ascii="Times New Roman" w:hAnsi="Times New Roman" w:cs="Times New Roman"/>
                <w:color w:val="auto"/>
                <w:sz w:val="24"/>
                <w:highlight w:val="none"/>
                <w:lang w:val="en-US" w:eastAsia="zh-CN"/>
              </w:rPr>
              <w:t>施工人员</w:t>
            </w:r>
            <w:r>
              <w:rPr>
                <w:rFonts w:hint="eastAsia" w:cs="Times New Roman"/>
                <w:color w:val="auto"/>
                <w:sz w:val="24"/>
                <w:highlight w:val="none"/>
                <w:lang w:val="en-US" w:eastAsia="zh-CN"/>
              </w:rPr>
              <w:t>较少</w:t>
            </w:r>
            <w:r>
              <w:rPr>
                <w:rFonts w:hint="eastAsia" w:ascii="Times New Roman" w:hAnsi="Times New Roman" w:cs="Times New Roman"/>
                <w:color w:val="auto"/>
                <w:sz w:val="24"/>
                <w:highlight w:val="none"/>
                <w:lang w:val="en-US" w:eastAsia="zh-CN"/>
              </w:rPr>
              <w:t>生活污水经临时化粪池处理后通过</w:t>
            </w:r>
            <w:r>
              <w:rPr>
                <w:rFonts w:hint="default" w:ascii="Times New Roman" w:hAnsi="Times New Roman" w:cs="Times New Roman"/>
                <w:color w:val="auto"/>
                <w:sz w:val="24"/>
                <w:highlight w:val="none"/>
                <w:lang w:val="en-US" w:eastAsia="zh-CN"/>
              </w:rPr>
              <w:t>吸污车收集后，运至饶河县西林子乡污水处理站</w:t>
            </w:r>
            <w:r>
              <w:rPr>
                <w:rFonts w:hint="eastAsia" w:ascii="Times New Roman" w:hAnsi="Times New Roman" w:cs="Times New Roman"/>
                <w:color w:val="auto"/>
                <w:sz w:val="24"/>
                <w:highlight w:val="none"/>
                <w:lang w:val="en-US" w:eastAsia="zh-CN"/>
              </w:rPr>
              <w:t>；</w:t>
            </w:r>
            <w:r>
              <w:rPr>
                <w:rFonts w:hint="default"/>
                <w:highlight w:val="none"/>
                <w:lang w:val="en-US" w:eastAsia="zh-CN"/>
              </w:rPr>
              <w:t>施工废水经沉淀后回用于施工场地、道路洒水抑尘。</w:t>
            </w:r>
          </w:p>
          <w:p w14:paraId="21460E03">
            <w:pPr>
              <w:pStyle w:val="57"/>
              <w:bidi w:val="0"/>
              <w:rPr>
                <w:rFonts w:hint="eastAsia"/>
                <w:b/>
                <w:bCs/>
              </w:rPr>
            </w:pPr>
            <w:r>
              <w:rPr>
                <w:rFonts w:hint="eastAsia"/>
                <w:b/>
                <w:bCs/>
              </w:rPr>
              <w:t>三、声环境保护措施</w:t>
            </w:r>
          </w:p>
          <w:p w14:paraId="29A5D453">
            <w:pPr>
              <w:widowControl/>
              <w:spacing w:line="360" w:lineRule="auto"/>
              <w:ind w:firstLine="480" w:firstLineChars="200"/>
              <w:jc w:val="left"/>
              <w:rPr>
                <w:rFonts w:hint="eastAsia"/>
                <w:highlight w:val="none"/>
                <w:lang w:val="en-US" w:eastAsia="zh-CN"/>
              </w:rPr>
            </w:pPr>
            <w:r>
              <w:rPr>
                <w:rFonts w:hint="eastAsia" w:ascii="宋体" w:hAnsi="宋体" w:cs="宋体"/>
                <w:kern w:val="0"/>
                <w:sz w:val="24"/>
              </w:rPr>
              <w:t>施工期主要施工噪声为机械噪声、作业噪声和交通噪声，噪声源强度在</w:t>
            </w:r>
            <w:r>
              <w:rPr>
                <w:kern w:val="0"/>
                <w:sz w:val="24"/>
              </w:rPr>
              <w:t>75~85dB（A）</w:t>
            </w:r>
            <w:r>
              <w:rPr>
                <w:rFonts w:hint="eastAsia" w:ascii="宋体" w:hAnsi="宋体" w:cs="宋体"/>
                <w:kern w:val="0"/>
                <w:sz w:val="24"/>
              </w:rPr>
              <w:t>。建议施工期采取相应措施降低噪声：加强施工管理，合理安排作业时间，严格按照施工噪声管理的有关规定；尽量采用低噪声施工设备和噪声低的施工方法；作业时在高噪声设备周围设置屏蔽；加强运输车辆的管理，建材等运输在白天进行，并控制车辆鸣笛，</w:t>
            </w:r>
            <w:r>
              <w:rPr>
                <w:kern w:val="0"/>
                <w:sz w:val="24"/>
              </w:rPr>
              <w:t>22:00-6:00</w:t>
            </w:r>
            <w:r>
              <w:rPr>
                <w:rFonts w:hint="eastAsia" w:ascii="宋体" w:hAnsi="宋体" w:cs="宋体"/>
                <w:kern w:val="0"/>
                <w:sz w:val="24"/>
              </w:rPr>
              <w:t>时间段内禁止运输和施工。采取上述措施，施工场界噪声值符合《建筑施工噪声排放标准》（</w:t>
            </w:r>
            <w:r>
              <w:rPr>
                <w:rFonts w:hint="eastAsia"/>
                <w:kern w:val="0"/>
                <w:sz w:val="24"/>
              </w:rPr>
              <w:t>GB12523-2025</w:t>
            </w:r>
            <w:r>
              <w:rPr>
                <w:rFonts w:hint="eastAsia" w:ascii="宋体" w:hAnsi="宋体" w:cs="宋体"/>
                <w:kern w:val="0"/>
                <w:sz w:val="24"/>
              </w:rPr>
              <w:t>）中规定的标准限值</w:t>
            </w:r>
            <w:r>
              <w:rPr>
                <w:rFonts w:hint="eastAsia"/>
                <w:highlight w:val="none"/>
                <w:lang w:val="en-US" w:eastAsia="zh-CN"/>
              </w:rPr>
              <w:t>。</w:t>
            </w:r>
          </w:p>
          <w:p w14:paraId="39D4A088">
            <w:pPr>
              <w:pStyle w:val="57"/>
              <w:bidi w:val="0"/>
              <w:rPr>
                <w:rFonts w:hint="eastAsia"/>
                <w:b/>
                <w:bCs/>
              </w:rPr>
            </w:pPr>
            <w:r>
              <w:rPr>
                <w:rFonts w:hint="eastAsia"/>
                <w:b/>
                <w:bCs/>
                <w:lang w:val="en-US" w:eastAsia="zh-CN"/>
              </w:rPr>
              <w:t>四</w:t>
            </w:r>
            <w:r>
              <w:rPr>
                <w:rFonts w:hint="eastAsia"/>
                <w:b/>
                <w:bCs/>
              </w:rPr>
              <w:t>、</w:t>
            </w:r>
            <w:r>
              <w:rPr>
                <w:rFonts w:hint="eastAsia"/>
                <w:b/>
                <w:bCs/>
                <w:lang w:val="en-US" w:eastAsia="zh-CN"/>
              </w:rPr>
              <w:t>固体废物</w:t>
            </w:r>
            <w:r>
              <w:rPr>
                <w:rFonts w:hint="eastAsia"/>
                <w:b/>
                <w:bCs/>
              </w:rPr>
              <w:t>保护措施</w:t>
            </w:r>
          </w:p>
          <w:p w14:paraId="34E16F48">
            <w:pPr>
              <w:widowControl/>
              <w:spacing w:line="360" w:lineRule="auto"/>
              <w:ind w:firstLine="480" w:firstLineChars="200"/>
              <w:jc w:val="left"/>
              <w:rPr>
                <w:rFonts w:hint="eastAsia" w:ascii="宋体" w:hAnsi="宋体" w:cs="宋体"/>
                <w:kern w:val="0"/>
                <w:sz w:val="24"/>
              </w:rPr>
            </w:pPr>
            <w:r>
              <w:rPr>
                <w:rFonts w:hint="eastAsia" w:ascii="宋体" w:hAnsi="宋体" w:cs="宋体"/>
                <w:kern w:val="0"/>
                <w:sz w:val="24"/>
              </w:rPr>
              <w:t>项目施工期</w:t>
            </w:r>
            <w:r>
              <w:rPr>
                <w:rFonts w:hint="eastAsia" w:ascii="宋体" w:hAnsi="宋体" w:cs="宋体"/>
                <w:kern w:val="0"/>
                <w:sz w:val="24"/>
                <w:lang w:val="en-US" w:eastAsia="zh-CN"/>
              </w:rPr>
              <w:t>主要</w:t>
            </w:r>
            <w:r>
              <w:rPr>
                <w:rFonts w:hint="eastAsia" w:ascii="宋体" w:hAnsi="宋体" w:cs="宋体"/>
                <w:kern w:val="0"/>
                <w:sz w:val="24"/>
              </w:rPr>
              <w:t>产生的固体废物主要是施工人员生活垃圾、建筑垃圾。</w:t>
            </w:r>
          </w:p>
          <w:p w14:paraId="0585BC91">
            <w:pPr>
              <w:pStyle w:val="57"/>
              <w:bidi w:val="0"/>
              <w:rPr>
                <w:rFonts w:hint="eastAsia"/>
                <w:lang w:val="en-US" w:eastAsia="zh-CN"/>
              </w:rPr>
            </w:pPr>
            <w:r>
              <w:rPr>
                <w:rFonts w:hint="eastAsia"/>
                <w:lang w:val="en-US" w:eastAsia="zh-CN"/>
              </w:rPr>
              <w:t>（一）生活垃圾</w:t>
            </w:r>
          </w:p>
          <w:p w14:paraId="6C0374B1">
            <w:pPr>
              <w:pStyle w:val="57"/>
              <w:bidi w:val="0"/>
              <w:rPr>
                <w:rFonts w:hint="eastAsia"/>
                <w:lang w:val="en-US" w:eastAsia="zh-CN"/>
              </w:rPr>
            </w:pPr>
            <w:r>
              <w:rPr>
                <w:rFonts w:hint="eastAsia"/>
                <w:lang w:val="en-US" w:eastAsia="zh-CN"/>
              </w:rPr>
              <w:t>施工人员产生的生活垃圾若随意堆放，不仅影响施工区环境景观，而且影响施工区环境卫生，夏秋季易造成蚊、蝇孽生或鼠类繁殖，导致疾病流行，进而威胁施工人员身体健康。本项目生活垃圾做到日产日清，定时收集清运垃圾，能够回收利用的委托市政环卫部门处置。综上所述，本项目施工期产生的固体废物均能无害化处置。</w:t>
            </w:r>
          </w:p>
          <w:p w14:paraId="1AB40E29">
            <w:pPr>
              <w:pStyle w:val="57"/>
              <w:bidi w:val="0"/>
              <w:rPr>
                <w:rFonts w:hint="eastAsia"/>
                <w:lang w:val="en-US" w:eastAsia="zh-CN"/>
              </w:rPr>
            </w:pPr>
            <w:r>
              <w:rPr>
                <w:rFonts w:hint="eastAsia"/>
                <w:lang w:val="en-US" w:eastAsia="zh-CN"/>
              </w:rPr>
              <w:t>（二）建筑垃圾</w:t>
            </w:r>
          </w:p>
          <w:p w14:paraId="1CE2B768">
            <w:pPr>
              <w:pStyle w:val="57"/>
              <w:bidi w:val="0"/>
              <w:rPr>
                <w:rFonts w:hint="eastAsia"/>
                <w:lang w:val="en-US" w:eastAsia="zh-CN"/>
              </w:rPr>
            </w:pPr>
            <w:r>
              <w:rPr>
                <w:rFonts w:hint="eastAsia"/>
                <w:lang w:val="en-US" w:eastAsia="zh-CN"/>
              </w:rPr>
              <w:t>建筑垃圾主要为建筑物施工废料，建筑垃圾集中收集，可回收物品由建设单位统一分类回收，不可回收物品集中收集后统一运至市政指定地点处理。</w:t>
            </w:r>
          </w:p>
          <w:p w14:paraId="08BF0C45">
            <w:pPr>
              <w:pStyle w:val="57"/>
              <w:numPr>
                <w:ilvl w:val="0"/>
                <w:numId w:val="2"/>
              </w:numPr>
              <w:bidi w:val="0"/>
              <w:rPr>
                <w:rFonts w:hint="eastAsia"/>
                <w:b/>
                <w:bCs/>
                <w:lang w:val="en-US" w:eastAsia="zh-CN"/>
              </w:rPr>
            </w:pPr>
            <w:r>
              <w:rPr>
                <w:rFonts w:hint="eastAsia"/>
                <w:b/>
                <w:bCs/>
                <w:lang w:val="en-US" w:eastAsia="zh-CN"/>
              </w:rPr>
              <w:t>生态环境保护措施</w:t>
            </w:r>
          </w:p>
          <w:p w14:paraId="05B3FE70">
            <w:pPr>
              <w:pStyle w:val="57"/>
              <w:bidi w:val="0"/>
              <w:rPr>
                <w:rFonts w:hint="eastAsia" w:eastAsia="宋体"/>
                <w:lang w:val="en-US" w:eastAsia="zh-CN"/>
              </w:rPr>
            </w:pPr>
            <w:r>
              <w:rPr>
                <w:rFonts w:hint="eastAsia" w:ascii="Times New Roman" w:hAnsi="Times New Roman" w:eastAsia="宋体" w:cs="Times New Roman"/>
                <w:color w:val="auto"/>
                <w:sz w:val="24"/>
                <w:szCs w:val="24"/>
                <w:highlight w:val="none"/>
                <w:lang w:val="en-US" w:eastAsia="zh-CN"/>
              </w:rPr>
              <w:t>厂区现状</w:t>
            </w:r>
            <w:r>
              <w:rPr>
                <w:rFonts w:hint="eastAsia" w:ascii="Times New Roman" w:hAnsi="Times New Roman" w:cs="Times New Roman"/>
                <w:color w:val="auto"/>
                <w:sz w:val="24"/>
                <w:szCs w:val="24"/>
                <w:highlight w:val="none"/>
                <w:lang w:val="en-US" w:eastAsia="zh-CN"/>
              </w:rPr>
              <w:t>情况</w:t>
            </w:r>
            <w:r>
              <w:rPr>
                <w:rFonts w:hint="eastAsia" w:ascii="Times New Roman" w:hAnsi="Times New Roman" w:eastAsia="宋体" w:cs="Times New Roman"/>
                <w:color w:val="auto"/>
                <w:sz w:val="24"/>
                <w:szCs w:val="24"/>
                <w:highlight w:val="none"/>
                <w:lang w:val="en-US" w:eastAsia="zh-CN"/>
              </w:rPr>
              <w:t>为</w:t>
            </w:r>
            <w:r>
              <w:rPr>
                <w:rFonts w:hint="eastAsia" w:ascii="Times New Roman" w:hAnsi="Times New Roman" w:cs="Times New Roman"/>
                <w:color w:val="auto"/>
                <w:sz w:val="24"/>
                <w:szCs w:val="24"/>
                <w:highlight w:val="none"/>
                <w:lang w:val="en-US" w:eastAsia="zh-CN"/>
              </w:rPr>
              <w:t>存在硬化地面、</w:t>
            </w:r>
            <w:r>
              <w:rPr>
                <w:rFonts w:hint="eastAsia" w:ascii="Times New Roman" w:hAnsi="Times New Roman" w:eastAsia="宋体" w:cs="Times New Roman"/>
                <w:color w:val="auto"/>
                <w:sz w:val="24"/>
                <w:szCs w:val="24"/>
                <w:highlight w:val="none"/>
                <w:lang w:val="en-US" w:eastAsia="zh-CN"/>
              </w:rPr>
              <w:t>空置建筑物，基本无植被覆盖，</w:t>
            </w:r>
            <w:r>
              <w:rPr>
                <w:rFonts w:hint="eastAsia" w:ascii="宋体" w:hAnsi="宋体" w:cs="宋体"/>
                <w:kern w:val="0"/>
                <w:sz w:val="24"/>
              </w:rPr>
              <w:t>不会对植物、表层土壤、原有地表结构造成破坏，对项目区周边的生态环境影响也较小</w:t>
            </w:r>
            <w:r>
              <w:rPr>
                <w:rFonts w:hint="eastAsia" w:ascii="宋体" w:hAnsi="宋体" w:cs="宋体"/>
                <w:kern w:val="0"/>
                <w:sz w:val="24"/>
                <w:lang w:eastAsia="zh-CN"/>
              </w:rPr>
              <w:t>。</w:t>
            </w:r>
          </w:p>
        </w:tc>
      </w:tr>
    </w:tbl>
    <w:p w14:paraId="5142AF5B">
      <w:pPr>
        <w:adjustRightInd w:val="0"/>
        <w:snapToGrid w:val="0"/>
        <w:spacing w:line="360" w:lineRule="auto"/>
        <w:rPr>
          <w:rFonts w:hint="eastAsia" w:ascii="宋体" w:cs="宋体"/>
          <w:b/>
          <w:color w:val="FF0000"/>
          <w:kern w:val="0"/>
          <w:sz w:val="28"/>
          <w:szCs w:val="28"/>
          <w:highlight w:val="none"/>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0"/>
        <w:tblW w:w="14065" w:type="dxa"/>
        <w:tblInd w:w="-29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33"/>
        <w:gridCol w:w="13532"/>
      </w:tblGrid>
      <w:tr w14:paraId="25AC2B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68" w:hRule="atLeast"/>
        </w:trPr>
        <w:tc>
          <w:tcPr>
            <w:tcW w:w="533" w:type="dxa"/>
            <w:noWrap w:val="0"/>
            <w:tcMar>
              <w:left w:w="28" w:type="dxa"/>
              <w:right w:w="28" w:type="dxa"/>
            </w:tcMar>
            <w:vAlign w:val="center"/>
          </w:tcPr>
          <w:p w14:paraId="72D1F711">
            <w:pPr>
              <w:adjustRightInd w:val="0"/>
              <w:snapToGrid w:val="0"/>
              <w:jc w:val="center"/>
              <w:rPr>
                <w:rFonts w:ascii="宋体" w:hAnsi="宋体" w:cs="宋体"/>
                <w:bCs/>
                <w:color w:val="FF0000"/>
                <w:szCs w:val="21"/>
                <w:highlight w:val="none"/>
              </w:rPr>
            </w:pPr>
            <w:r>
              <w:rPr>
                <w:rFonts w:hint="eastAsia" w:ascii="宋体" w:hAnsi="宋体" w:cs="宋体"/>
                <w:bCs/>
                <w:color w:val="auto"/>
                <w:sz w:val="24"/>
                <w:szCs w:val="24"/>
                <w:highlight w:val="none"/>
              </w:rPr>
              <w:t>运营期环境影响和保护措施</w:t>
            </w:r>
          </w:p>
        </w:tc>
        <w:tc>
          <w:tcPr>
            <w:tcW w:w="13532" w:type="dxa"/>
            <w:noWrap w:val="0"/>
            <w:vAlign w:val="top"/>
          </w:tcPr>
          <w:p w14:paraId="4876353D">
            <w:pPr>
              <w:pStyle w:val="5"/>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left="0" w:right="0" w:rightChars="0" w:firstLine="482" w:firstLineChars="200"/>
              <w:jc w:val="left"/>
              <w:textAlignment w:val="auto"/>
              <w:rPr>
                <w:rFonts w:hint="eastAsia"/>
                <w:b/>
                <w:bCs/>
                <w:color w:val="auto"/>
                <w:sz w:val="24"/>
                <w:szCs w:val="28"/>
                <w:highlight w:val="none"/>
                <w:vertAlign w:val="baseline"/>
                <w:lang w:val="en-US" w:eastAsia="zh-CN"/>
              </w:rPr>
            </w:pPr>
            <w:r>
              <w:rPr>
                <w:rFonts w:hint="eastAsia"/>
                <w:b/>
                <w:bCs/>
                <w:color w:val="auto"/>
                <w:sz w:val="24"/>
                <w:szCs w:val="28"/>
                <w:highlight w:val="none"/>
                <w:vertAlign w:val="baseline"/>
                <w:lang w:val="en-US" w:eastAsia="zh-CN"/>
              </w:rPr>
              <w:t>一、大气环境</w:t>
            </w:r>
          </w:p>
          <w:p w14:paraId="4F308637">
            <w:pPr>
              <w:pStyle w:val="6"/>
              <w:keepNext w:val="0"/>
              <w:keepLines w:val="0"/>
              <w:pageBreakBefore w:val="0"/>
              <w:widowControl/>
              <w:numPr>
                <w:ilvl w:val="0"/>
                <w:numId w:val="0"/>
              </w:numPr>
              <w:kinsoku/>
              <w:wordWrap/>
              <w:overflowPunct/>
              <w:topLinePunct w:val="0"/>
              <w:autoSpaceDE/>
              <w:autoSpaceDN/>
              <w:bidi w:val="0"/>
              <w:adjustRightInd/>
              <w:snapToGrid/>
              <w:spacing w:line="360" w:lineRule="auto"/>
              <w:ind w:left="0" w:right="0" w:firstLine="482" w:firstLineChars="200"/>
              <w:jc w:val="left"/>
              <w:textAlignment w:val="auto"/>
              <w:rPr>
                <w:rFonts w:hint="default" w:ascii="Times New Roman" w:hAnsi="Times New Roman" w:eastAsia="宋体" w:cs="Times New Roman"/>
                <w:b/>
                <w:bCs/>
                <w:color w:val="auto"/>
                <w:sz w:val="24"/>
                <w:szCs w:val="24"/>
                <w:highlight w:val="none"/>
                <w:lang w:val="en-US" w:eastAsia="zh-CN"/>
              </w:rPr>
            </w:pPr>
            <w:r>
              <w:rPr>
                <w:rFonts w:hint="eastAsia"/>
                <w:b/>
                <w:bCs/>
                <w:color w:val="auto"/>
                <w:highlight w:val="none"/>
                <w:lang w:val="en-US" w:eastAsia="zh-CN"/>
              </w:rPr>
              <w:t>（一）</w:t>
            </w:r>
            <w:r>
              <w:rPr>
                <w:rFonts w:hint="default" w:ascii="Times New Roman" w:hAnsi="Times New Roman" w:eastAsia="宋体" w:cs="Times New Roman"/>
                <w:b/>
                <w:bCs/>
                <w:color w:val="auto"/>
                <w:sz w:val="24"/>
                <w:szCs w:val="24"/>
                <w:highlight w:val="none"/>
                <w:lang w:val="en-US" w:eastAsia="zh-CN"/>
              </w:rPr>
              <w:t>废气排放源汇总情况</w:t>
            </w:r>
          </w:p>
          <w:p w14:paraId="0A4BD425">
            <w:pPr>
              <w:pStyle w:val="7"/>
              <w:ind w:left="0" w:leftChars="0" w:firstLine="0" w:firstLineChars="0"/>
              <w:jc w:val="center"/>
              <w:rPr>
                <w:rFonts w:hint="eastAsia"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表4-1</w:t>
            </w:r>
            <w:r>
              <w:rPr>
                <w:rFonts w:hint="eastAsia" w:cs="Times New Roman"/>
                <w:b/>
                <w:bCs/>
                <w:color w:val="auto"/>
                <w:sz w:val="21"/>
                <w:szCs w:val="21"/>
                <w:highlight w:val="none"/>
                <w:lang w:val="en-US" w:eastAsia="zh-CN"/>
              </w:rPr>
              <w:t xml:space="preserve"> </w:t>
            </w:r>
            <w:r>
              <w:rPr>
                <w:rFonts w:hint="eastAsia" w:ascii="Times New Roman" w:hAnsi="Times New Roman" w:cs="Times New Roman"/>
                <w:b/>
                <w:bCs/>
                <w:color w:val="auto"/>
                <w:sz w:val="21"/>
                <w:szCs w:val="21"/>
                <w:highlight w:val="none"/>
                <w:lang w:val="en-US" w:eastAsia="zh-CN"/>
              </w:rPr>
              <w:t xml:space="preserve"> 废气源强排放情况一览表</w:t>
            </w:r>
          </w:p>
          <w:tbl>
            <w:tblPr>
              <w:tblStyle w:val="20"/>
              <w:tblW w:w="13318"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4"/>
              <w:gridCol w:w="608"/>
              <w:gridCol w:w="497"/>
              <w:gridCol w:w="647"/>
              <w:gridCol w:w="574"/>
              <w:gridCol w:w="628"/>
              <w:gridCol w:w="481"/>
              <w:gridCol w:w="1184"/>
              <w:gridCol w:w="1137"/>
              <w:gridCol w:w="1143"/>
              <w:gridCol w:w="1181"/>
              <w:gridCol w:w="714"/>
              <w:gridCol w:w="1168"/>
              <w:gridCol w:w="1230"/>
              <w:gridCol w:w="1001"/>
              <w:gridCol w:w="641"/>
            </w:tblGrid>
            <w:tr w14:paraId="35BEDB6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4" w:type="dxa"/>
                  <w:vMerge w:val="restart"/>
                  <w:tcBorders>
                    <w:tl2br w:val="nil"/>
                    <w:tr2bl w:val="nil"/>
                  </w:tcBorders>
                  <w:noWrap w:val="0"/>
                  <w:vAlign w:val="center"/>
                </w:tcPr>
                <w:p w14:paraId="0522E5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工序/</w:t>
                  </w:r>
                </w:p>
                <w:p w14:paraId="456681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生产线</w:t>
                  </w:r>
                </w:p>
              </w:tc>
              <w:tc>
                <w:tcPr>
                  <w:tcW w:w="608" w:type="dxa"/>
                  <w:vMerge w:val="restart"/>
                  <w:tcBorders>
                    <w:tl2br w:val="nil"/>
                    <w:tr2bl w:val="nil"/>
                  </w:tcBorders>
                  <w:noWrap w:val="0"/>
                  <w:vAlign w:val="center"/>
                </w:tcPr>
                <w:p w14:paraId="7367A0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装置</w:t>
                  </w:r>
                </w:p>
              </w:tc>
              <w:tc>
                <w:tcPr>
                  <w:tcW w:w="497" w:type="dxa"/>
                  <w:vMerge w:val="restart"/>
                  <w:tcBorders>
                    <w:tl2br w:val="nil"/>
                    <w:tr2bl w:val="nil"/>
                  </w:tcBorders>
                  <w:noWrap w:val="0"/>
                  <w:vAlign w:val="center"/>
                </w:tcPr>
                <w:p w14:paraId="253B5D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污染源</w:t>
                  </w:r>
                </w:p>
              </w:tc>
              <w:tc>
                <w:tcPr>
                  <w:tcW w:w="647" w:type="dxa"/>
                  <w:vMerge w:val="restart"/>
                  <w:tcBorders>
                    <w:tl2br w:val="nil"/>
                    <w:tr2bl w:val="nil"/>
                  </w:tcBorders>
                  <w:noWrap w:val="0"/>
                  <w:vAlign w:val="center"/>
                </w:tcPr>
                <w:p w14:paraId="556E02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污染物</w:t>
                  </w:r>
                </w:p>
              </w:tc>
              <w:tc>
                <w:tcPr>
                  <w:tcW w:w="574" w:type="dxa"/>
                  <w:vMerge w:val="restart"/>
                  <w:tcBorders>
                    <w:tl2br w:val="nil"/>
                    <w:tr2bl w:val="nil"/>
                  </w:tcBorders>
                  <w:noWrap w:val="0"/>
                  <w:vAlign w:val="center"/>
                </w:tcPr>
                <w:p w14:paraId="42D0CA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风量m</w:t>
                  </w:r>
                  <w:r>
                    <w:rPr>
                      <w:rFonts w:hint="default" w:ascii="Times New Roman" w:hAnsi="Times New Roman" w:cs="Times New Roman"/>
                      <w:b/>
                      <w:bCs/>
                      <w:color w:val="auto"/>
                      <w:sz w:val="18"/>
                      <w:szCs w:val="18"/>
                      <w:highlight w:val="none"/>
                      <w:vertAlign w:val="superscript"/>
                    </w:rPr>
                    <w:t>3</w:t>
                  </w:r>
                  <w:r>
                    <w:rPr>
                      <w:rFonts w:hint="default" w:ascii="Times New Roman" w:hAnsi="Times New Roman" w:cs="Times New Roman"/>
                      <w:b/>
                      <w:bCs/>
                      <w:color w:val="auto"/>
                      <w:sz w:val="18"/>
                      <w:szCs w:val="18"/>
                      <w:highlight w:val="none"/>
                    </w:rPr>
                    <w:t>/h</w:t>
                  </w:r>
                </w:p>
              </w:tc>
              <w:tc>
                <w:tcPr>
                  <w:tcW w:w="628" w:type="dxa"/>
                  <w:vMerge w:val="restart"/>
                  <w:tcBorders>
                    <w:tl2br w:val="nil"/>
                    <w:tr2bl w:val="nil"/>
                  </w:tcBorders>
                  <w:noWrap w:val="0"/>
                  <w:vAlign w:val="center"/>
                </w:tcPr>
                <w:p w14:paraId="2313EE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18"/>
                      <w:szCs w:val="18"/>
                      <w:highlight w:val="none"/>
                      <w:lang w:val="en-US" w:eastAsia="zh-CN"/>
                    </w:rPr>
                  </w:pPr>
                  <w:r>
                    <w:rPr>
                      <w:rFonts w:hint="eastAsia" w:cs="Times New Roman"/>
                      <w:b/>
                      <w:bCs/>
                      <w:color w:val="auto"/>
                      <w:sz w:val="18"/>
                      <w:szCs w:val="18"/>
                      <w:highlight w:val="none"/>
                      <w:lang w:val="en-US" w:eastAsia="zh-CN"/>
                    </w:rPr>
                    <w:t>烟气量</w:t>
                  </w:r>
                  <w:r>
                    <w:rPr>
                      <w:rFonts w:hint="default" w:ascii="Times New Roman" w:hAnsi="Times New Roman" w:cs="Times New Roman"/>
                      <w:b/>
                      <w:bCs/>
                      <w:color w:val="auto"/>
                      <w:sz w:val="18"/>
                      <w:szCs w:val="18"/>
                      <w:highlight w:val="none"/>
                    </w:rPr>
                    <w:t>m</w:t>
                  </w:r>
                  <w:r>
                    <w:rPr>
                      <w:rFonts w:hint="default" w:ascii="Times New Roman" w:hAnsi="Times New Roman" w:cs="Times New Roman"/>
                      <w:b/>
                      <w:bCs/>
                      <w:color w:val="auto"/>
                      <w:sz w:val="18"/>
                      <w:szCs w:val="18"/>
                      <w:highlight w:val="none"/>
                      <w:vertAlign w:val="superscript"/>
                    </w:rPr>
                    <w:t>3</w:t>
                  </w:r>
                  <w:r>
                    <w:rPr>
                      <w:rFonts w:hint="default" w:ascii="Times New Roman" w:hAnsi="Times New Roman" w:cs="Times New Roman"/>
                      <w:b/>
                      <w:bCs/>
                      <w:color w:val="auto"/>
                      <w:sz w:val="18"/>
                      <w:szCs w:val="18"/>
                      <w:highlight w:val="none"/>
                    </w:rPr>
                    <w:t>/h</w:t>
                  </w:r>
                </w:p>
              </w:tc>
              <w:tc>
                <w:tcPr>
                  <w:tcW w:w="481" w:type="dxa"/>
                  <w:vMerge w:val="restart"/>
                  <w:tcBorders>
                    <w:tl2br w:val="nil"/>
                    <w:tr2bl w:val="nil"/>
                  </w:tcBorders>
                  <w:noWrap w:val="0"/>
                  <w:vAlign w:val="center"/>
                </w:tcPr>
                <w:p w14:paraId="4F4D50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收集效率%</w:t>
                  </w:r>
                </w:p>
              </w:tc>
              <w:tc>
                <w:tcPr>
                  <w:tcW w:w="3464" w:type="dxa"/>
                  <w:gridSpan w:val="3"/>
                  <w:tcBorders>
                    <w:tl2br w:val="nil"/>
                    <w:tr2bl w:val="nil"/>
                  </w:tcBorders>
                  <w:noWrap w:val="0"/>
                  <w:vAlign w:val="center"/>
                </w:tcPr>
                <w:p w14:paraId="6867A5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FF0000"/>
                      <w:sz w:val="18"/>
                      <w:szCs w:val="18"/>
                      <w:highlight w:val="none"/>
                    </w:rPr>
                  </w:pPr>
                  <w:r>
                    <w:rPr>
                      <w:rFonts w:hint="default" w:ascii="Times New Roman" w:hAnsi="Times New Roman" w:cs="Times New Roman"/>
                      <w:b/>
                      <w:bCs/>
                      <w:color w:val="auto"/>
                      <w:sz w:val="18"/>
                      <w:szCs w:val="18"/>
                      <w:highlight w:val="none"/>
                    </w:rPr>
                    <w:t>污染物产生</w:t>
                  </w:r>
                </w:p>
              </w:tc>
              <w:tc>
                <w:tcPr>
                  <w:tcW w:w="1895" w:type="dxa"/>
                  <w:gridSpan w:val="2"/>
                  <w:tcBorders>
                    <w:tl2br w:val="nil"/>
                    <w:tr2bl w:val="nil"/>
                  </w:tcBorders>
                  <w:noWrap w:val="0"/>
                  <w:vAlign w:val="center"/>
                </w:tcPr>
                <w:p w14:paraId="408BC4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治理措施</w:t>
                  </w:r>
                </w:p>
              </w:tc>
              <w:tc>
                <w:tcPr>
                  <w:tcW w:w="3399" w:type="dxa"/>
                  <w:gridSpan w:val="3"/>
                  <w:tcBorders>
                    <w:tl2br w:val="nil"/>
                    <w:tr2bl w:val="nil"/>
                  </w:tcBorders>
                  <w:noWrap w:val="0"/>
                  <w:vAlign w:val="center"/>
                </w:tcPr>
                <w:p w14:paraId="5B6BED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污染物排放</w:t>
                  </w:r>
                </w:p>
              </w:tc>
              <w:tc>
                <w:tcPr>
                  <w:tcW w:w="641" w:type="dxa"/>
                  <w:vMerge w:val="restart"/>
                  <w:tcBorders>
                    <w:tl2br w:val="nil"/>
                    <w:tr2bl w:val="nil"/>
                  </w:tcBorders>
                  <w:noWrap w:val="0"/>
                  <w:vAlign w:val="center"/>
                </w:tcPr>
                <w:p w14:paraId="0F75A7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排放时间</w:t>
                  </w:r>
                </w:p>
                <w:p w14:paraId="08F6C8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（h）</w:t>
                  </w:r>
                </w:p>
              </w:tc>
            </w:tr>
            <w:tr w14:paraId="77E7E61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4" w:type="dxa"/>
                  <w:vMerge w:val="continue"/>
                  <w:tcBorders>
                    <w:tl2br w:val="nil"/>
                    <w:tr2bl w:val="nil"/>
                  </w:tcBorders>
                  <w:noWrap w:val="0"/>
                  <w:vAlign w:val="center"/>
                </w:tcPr>
                <w:p w14:paraId="5E4D48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p>
              </w:tc>
              <w:tc>
                <w:tcPr>
                  <w:tcW w:w="608" w:type="dxa"/>
                  <w:vMerge w:val="continue"/>
                  <w:tcBorders>
                    <w:tl2br w:val="nil"/>
                    <w:tr2bl w:val="nil"/>
                  </w:tcBorders>
                  <w:noWrap w:val="0"/>
                  <w:vAlign w:val="center"/>
                </w:tcPr>
                <w:p w14:paraId="754A91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p>
              </w:tc>
              <w:tc>
                <w:tcPr>
                  <w:tcW w:w="497" w:type="dxa"/>
                  <w:vMerge w:val="continue"/>
                  <w:tcBorders>
                    <w:tl2br w:val="nil"/>
                    <w:tr2bl w:val="nil"/>
                  </w:tcBorders>
                  <w:noWrap w:val="0"/>
                  <w:vAlign w:val="center"/>
                </w:tcPr>
                <w:p w14:paraId="57D05D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p>
              </w:tc>
              <w:tc>
                <w:tcPr>
                  <w:tcW w:w="647" w:type="dxa"/>
                  <w:vMerge w:val="continue"/>
                  <w:tcBorders>
                    <w:tl2br w:val="nil"/>
                    <w:tr2bl w:val="nil"/>
                  </w:tcBorders>
                  <w:noWrap w:val="0"/>
                  <w:vAlign w:val="center"/>
                </w:tcPr>
                <w:p w14:paraId="51770C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p>
              </w:tc>
              <w:tc>
                <w:tcPr>
                  <w:tcW w:w="574" w:type="dxa"/>
                  <w:vMerge w:val="continue"/>
                  <w:tcBorders>
                    <w:tl2br w:val="nil"/>
                    <w:tr2bl w:val="nil"/>
                  </w:tcBorders>
                  <w:noWrap w:val="0"/>
                  <w:vAlign w:val="center"/>
                </w:tcPr>
                <w:p w14:paraId="0307F4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p>
              </w:tc>
              <w:tc>
                <w:tcPr>
                  <w:tcW w:w="628" w:type="dxa"/>
                  <w:vMerge w:val="continue"/>
                  <w:tcBorders>
                    <w:tl2br w:val="nil"/>
                    <w:tr2bl w:val="nil"/>
                  </w:tcBorders>
                  <w:noWrap w:val="0"/>
                  <w:vAlign w:val="center"/>
                </w:tcPr>
                <w:p w14:paraId="30C733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p>
              </w:tc>
              <w:tc>
                <w:tcPr>
                  <w:tcW w:w="481" w:type="dxa"/>
                  <w:vMerge w:val="continue"/>
                  <w:tcBorders>
                    <w:tl2br w:val="nil"/>
                    <w:tr2bl w:val="nil"/>
                  </w:tcBorders>
                  <w:noWrap w:val="0"/>
                  <w:vAlign w:val="center"/>
                </w:tcPr>
                <w:p w14:paraId="700897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p>
              </w:tc>
              <w:tc>
                <w:tcPr>
                  <w:tcW w:w="1184" w:type="dxa"/>
                  <w:tcBorders>
                    <w:tl2br w:val="nil"/>
                    <w:tr2bl w:val="nil"/>
                  </w:tcBorders>
                  <w:noWrap w:val="0"/>
                  <w:vAlign w:val="center"/>
                </w:tcPr>
                <w:p w14:paraId="65C6CB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核算方法</w:t>
                  </w:r>
                </w:p>
              </w:tc>
              <w:tc>
                <w:tcPr>
                  <w:tcW w:w="1137" w:type="dxa"/>
                  <w:tcBorders>
                    <w:tl2br w:val="nil"/>
                    <w:tr2bl w:val="nil"/>
                  </w:tcBorders>
                  <w:noWrap w:val="0"/>
                  <w:vAlign w:val="center"/>
                </w:tcPr>
                <w:p w14:paraId="26A2B6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kern w:val="2"/>
                      <w:sz w:val="18"/>
                      <w:szCs w:val="18"/>
                      <w:highlight w:val="none"/>
                      <w:lang w:val="en-US" w:eastAsia="zh-CN" w:bidi="ar-SA"/>
                    </w:rPr>
                  </w:pPr>
                  <w:r>
                    <w:rPr>
                      <w:rFonts w:hint="default" w:ascii="Times New Roman" w:hAnsi="Times New Roman" w:cs="Times New Roman"/>
                      <w:b/>
                      <w:bCs/>
                      <w:color w:val="auto"/>
                      <w:sz w:val="18"/>
                      <w:szCs w:val="18"/>
                      <w:highlight w:val="none"/>
                    </w:rPr>
                    <w:t>产生浓度</w:t>
                  </w:r>
                  <w:r>
                    <w:rPr>
                      <w:rFonts w:hint="default" w:ascii="Times New Roman" w:hAnsi="Times New Roman" w:cs="Times New Roman"/>
                      <w:b/>
                      <w:bCs/>
                      <w:color w:val="auto"/>
                      <w:sz w:val="18"/>
                      <w:szCs w:val="18"/>
                      <w:highlight w:val="none"/>
                      <w:lang w:eastAsia="zh-CN"/>
                    </w:rPr>
                    <w:t>（</w:t>
                  </w:r>
                  <w:r>
                    <w:rPr>
                      <w:rFonts w:hint="default" w:ascii="Times New Roman" w:hAnsi="Times New Roman" w:cs="Times New Roman"/>
                      <w:b/>
                      <w:bCs/>
                      <w:color w:val="auto"/>
                      <w:sz w:val="18"/>
                      <w:szCs w:val="18"/>
                      <w:highlight w:val="none"/>
                    </w:rPr>
                    <w:t>mg/m</w:t>
                  </w:r>
                  <w:r>
                    <w:rPr>
                      <w:rFonts w:hint="default" w:ascii="Times New Roman" w:hAnsi="Times New Roman" w:cs="Times New Roman"/>
                      <w:b/>
                      <w:bCs/>
                      <w:color w:val="auto"/>
                      <w:sz w:val="18"/>
                      <w:szCs w:val="18"/>
                      <w:highlight w:val="none"/>
                      <w:vertAlign w:val="superscript"/>
                    </w:rPr>
                    <w:t>3</w:t>
                  </w:r>
                  <w:r>
                    <w:rPr>
                      <w:rFonts w:hint="default" w:ascii="Times New Roman" w:hAnsi="Times New Roman" w:cs="Times New Roman"/>
                      <w:b/>
                      <w:bCs/>
                      <w:color w:val="auto"/>
                      <w:sz w:val="18"/>
                      <w:szCs w:val="18"/>
                      <w:highlight w:val="none"/>
                    </w:rPr>
                    <w:t>)</w:t>
                  </w:r>
                </w:p>
              </w:tc>
              <w:tc>
                <w:tcPr>
                  <w:tcW w:w="1143" w:type="dxa"/>
                  <w:tcBorders>
                    <w:tl2br w:val="nil"/>
                    <w:tr2bl w:val="nil"/>
                  </w:tcBorders>
                  <w:noWrap w:val="0"/>
                  <w:vAlign w:val="center"/>
                </w:tcPr>
                <w:p w14:paraId="1F7FDC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kern w:val="2"/>
                      <w:sz w:val="18"/>
                      <w:szCs w:val="18"/>
                      <w:highlight w:val="none"/>
                      <w:lang w:val="en-US" w:eastAsia="zh-CN" w:bidi="ar-SA"/>
                    </w:rPr>
                  </w:pPr>
                  <w:r>
                    <w:rPr>
                      <w:rFonts w:hint="default" w:ascii="Times New Roman" w:hAnsi="Times New Roman" w:cs="Times New Roman"/>
                      <w:b/>
                      <w:bCs/>
                      <w:color w:val="auto"/>
                      <w:sz w:val="18"/>
                      <w:szCs w:val="18"/>
                      <w:highlight w:val="none"/>
                    </w:rPr>
                    <w:t>产生量</w:t>
                  </w:r>
                  <w:r>
                    <w:rPr>
                      <w:rFonts w:hint="default" w:ascii="Times New Roman" w:hAnsi="Times New Roman" w:cs="Times New Roman"/>
                      <w:b/>
                      <w:bCs/>
                      <w:color w:val="auto"/>
                      <w:sz w:val="18"/>
                      <w:szCs w:val="18"/>
                      <w:highlight w:val="none"/>
                      <w:lang w:eastAsia="zh-CN"/>
                    </w:rPr>
                    <w:t>（</w:t>
                  </w:r>
                  <w:r>
                    <w:rPr>
                      <w:rFonts w:hint="default" w:ascii="Times New Roman" w:hAnsi="Times New Roman" w:cs="Times New Roman"/>
                      <w:b/>
                      <w:bCs/>
                      <w:color w:val="auto"/>
                      <w:sz w:val="18"/>
                      <w:szCs w:val="18"/>
                      <w:highlight w:val="none"/>
                    </w:rPr>
                    <w:t>kg/h)</w:t>
                  </w:r>
                </w:p>
              </w:tc>
              <w:tc>
                <w:tcPr>
                  <w:tcW w:w="1181" w:type="dxa"/>
                  <w:tcBorders>
                    <w:tl2br w:val="nil"/>
                    <w:tr2bl w:val="nil"/>
                  </w:tcBorders>
                  <w:noWrap w:val="0"/>
                  <w:vAlign w:val="center"/>
                </w:tcPr>
                <w:p w14:paraId="17F299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工艺</w:t>
                  </w:r>
                </w:p>
              </w:tc>
              <w:tc>
                <w:tcPr>
                  <w:tcW w:w="714" w:type="dxa"/>
                  <w:tcBorders>
                    <w:tl2br w:val="nil"/>
                    <w:tr2bl w:val="nil"/>
                  </w:tcBorders>
                  <w:noWrap w:val="0"/>
                  <w:vAlign w:val="center"/>
                </w:tcPr>
                <w:p w14:paraId="5B5822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效率（%）</w:t>
                  </w:r>
                </w:p>
              </w:tc>
              <w:tc>
                <w:tcPr>
                  <w:tcW w:w="1168" w:type="dxa"/>
                  <w:tcBorders>
                    <w:tl2br w:val="nil"/>
                    <w:tr2bl w:val="nil"/>
                  </w:tcBorders>
                  <w:noWrap w:val="0"/>
                  <w:vAlign w:val="center"/>
                </w:tcPr>
                <w:p w14:paraId="082801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核算方法</w:t>
                  </w:r>
                </w:p>
              </w:tc>
              <w:tc>
                <w:tcPr>
                  <w:tcW w:w="1230" w:type="dxa"/>
                  <w:tcBorders>
                    <w:tl2br w:val="nil"/>
                    <w:tr2bl w:val="nil"/>
                  </w:tcBorders>
                  <w:noWrap w:val="0"/>
                  <w:vAlign w:val="center"/>
                </w:tcPr>
                <w:p w14:paraId="7539F7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排放浓度</w:t>
                  </w:r>
                  <w:r>
                    <w:rPr>
                      <w:rFonts w:hint="default" w:ascii="Times New Roman" w:hAnsi="Times New Roman" w:cs="Times New Roman"/>
                      <w:b/>
                      <w:bCs/>
                      <w:color w:val="auto"/>
                      <w:sz w:val="18"/>
                      <w:szCs w:val="18"/>
                      <w:highlight w:val="none"/>
                      <w:lang w:eastAsia="zh-CN"/>
                    </w:rPr>
                    <w:t>（</w:t>
                  </w:r>
                  <w:r>
                    <w:rPr>
                      <w:rFonts w:hint="default" w:ascii="Times New Roman" w:hAnsi="Times New Roman" w:cs="Times New Roman"/>
                      <w:b/>
                      <w:bCs/>
                      <w:color w:val="auto"/>
                      <w:sz w:val="18"/>
                      <w:szCs w:val="18"/>
                      <w:highlight w:val="none"/>
                    </w:rPr>
                    <w:t>mg/m</w:t>
                  </w:r>
                  <w:r>
                    <w:rPr>
                      <w:rFonts w:hint="default" w:ascii="Times New Roman" w:hAnsi="Times New Roman" w:cs="Times New Roman"/>
                      <w:b/>
                      <w:bCs/>
                      <w:color w:val="auto"/>
                      <w:sz w:val="18"/>
                      <w:szCs w:val="18"/>
                      <w:highlight w:val="none"/>
                      <w:vertAlign w:val="superscript"/>
                    </w:rPr>
                    <w:t>3</w:t>
                  </w:r>
                  <w:r>
                    <w:rPr>
                      <w:rFonts w:hint="default" w:ascii="Times New Roman" w:hAnsi="Times New Roman" w:cs="Times New Roman"/>
                      <w:b/>
                      <w:bCs/>
                      <w:color w:val="auto"/>
                      <w:sz w:val="18"/>
                      <w:szCs w:val="18"/>
                      <w:highlight w:val="none"/>
                    </w:rPr>
                    <w:t>)</w:t>
                  </w:r>
                </w:p>
              </w:tc>
              <w:tc>
                <w:tcPr>
                  <w:tcW w:w="1001" w:type="dxa"/>
                  <w:tcBorders>
                    <w:tl2br w:val="nil"/>
                    <w:tr2bl w:val="nil"/>
                  </w:tcBorders>
                  <w:noWrap w:val="0"/>
                  <w:vAlign w:val="center"/>
                </w:tcPr>
                <w:p w14:paraId="231569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排放量</w:t>
                  </w:r>
                  <w:r>
                    <w:rPr>
                      <w:rFonts w:hint="default" w:ascii="Times New Roman" w:hAnsi="Times New Roman" w:cs="Times New Roman"/>
                      <w:b/>
                      <w:bCs/>
                      <w:color w:val="auto"/>
                      <w:sz w:val="18"/>
                      <w:szCs w:val="18"/>
                      <w:highlight w:val="none"/>
                      <w:lang w:eastAsia="zh-CN"/>
                    </w:rPr>
                    <w:t>（</w:t>
                  </w:r>
                  <w:r>
                    <w:rPr>
                      <w:rFonts w:hint="default" w:ascii="Times New Roman" w:hAnsi="Times New Roman" w:cs="Times New Roman"/>
                      <w:b/>
                      <w:bCs/>
                      <w:color w:val="auto"/>
                      <w:sz w:val="18"/>
                      <w:szCs w:val="18"/>
                      <w:highlight w:val="none"/>
                    </w:rPr>
                    <w:t>kg/h)</w:t>
                  </w:r>
                </w:p>
              </w:tc>
              <w:tc>
                <w:tcPr>
                  <w:tcW w:w="641" w:type="dxa"/>
                  <w:vMerge w:val="continue"/>
                  <w:tcBorders>
                    <w:tl2br w:val="nil"/>
                    <w:tr2bl w:val="nil"/>
                  </w:tcBorders>
                  <w:noWrap w:val="0"/>
                  <w:vAlign w:val="center"/>
                </w:tcPr>
                <w:p w14:paraId="418C86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auto"/>
                      <w:sz w:val="18"/>
                      <w:szCs w:val="18"/>
                      <w:highlight w:val="none"/>
                    </w:rPr>
                  </w:pPr>
                </w:p>
              </w:tc>
            </w:tr>
            <w:tr w14:paraId="1DB34C9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4" w:type="dxa"/>
                  <w:vMerge w:val="restart"/>
                  <w:tcBorders>
                    <w:tl2br w:val="nil"/>
                    <w:tr2bl w:val="nil"/>
                  </w:tcBorders>
                  <w:noWrap w:val="0"/>
                  <w:vAlign w:val="center"/>
                </w:tcPr>
                <w:p w14:paraId="1B0899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供热系统</w:t>
                  </w:r>
                </w:p>
              </w:tc>
              <w:tc>
                <w:tcPr>
                  <w:tcW w:w="608" w:type="dxa"/>
                  <w:vMerge w:val="restart"/>
                  <w:tcBorders>
                    <w:tl2br w:val="nil"/>
                    <w:tr2bl w:val="nil"/>
                  </w:tcBorders>
                  <w:noWrap w:val="0"/>
                  <w:vAlign w:val="center"/>
                </w:tcPr>
                <w:p w14:paraId="06176A4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生物质热水锅炉</w:t>
                  </w:r>
                </w:p>
              </w:tc>
              <w:tc>
                <w:tcPr>
                  <w:tcW w:w="497" w:type="dxa"/>
                  <w:tcBorders>
                    <w:tl2br w:val="nil"/>
                    <w:tr2bl w:val="nil"/>
                  </w:tcBorders>
                  <w:noWrap w:val="0"/>
                  <w:vAlign w:val="center"/>
                </w:tcPr>
                <w:p w14:paraId="7C1E78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有</w:t>
                  </w:r>
                  <w:r>
                    <w:rPr>
                      <w:rFonts w:hint="default" w:ascii="Times New Roman" w:hAnsi="Times New Roman" w:eastAsia="宋体" w:cs="Times New Roman"/>
                      <w:b w:val="0"/>
                      <w:bCs w:val="0"/>
                      <w:color w:val="auto"/>
                      <w:sz w:val="18"/>
                      <w:szCs w:val="18"/>
                      <w:highlight w:val="none"/>
                      <w:lang w:val="en-US" w:eastAsia="zh-CN"/>
                    </w:rPr>
                    <w:t>组织</w:t>
                  </w:r>
                </w:p>
              </w:tc>
              <w:tc>
                <w:tcPr>
                  <w:tcW w:w="647" w:type="dxa"/>
                  <w:tcBorders>
                    <w:tl2br w:val="nil"/>
                    <w:tr2bl w:val="nil"/>
                  </w:tcBorders>
                  <w:noWrap w:val="0"/>
                  <w:vAlign w:val="center"/>
                </w:tcPr>
                <w:p w14:paraId="21F5B3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颗粒物</w:t>
                  </w:r>
                </w:p>
              </w:tc>
              <w:tc>
                <w:tcPr>
                  <w:tcW w:w="574" w:type="dxa"/>
                  <w:tcBorders>
                    <w:tl2br w:val="nil"/>
                    <w:tr2bl w:val="nil"/>
                  </w:tcBorders>
                  <w:noWrap w:val="0"/>
                  <w:vAlign w:val="center"/>
                </w:tcPr>
                <w:p w14:paraId="3EEA00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Cs/>
                      <w:color w:val="auto"/>
                      <w:sz w:val="18"/>
                      <w:szCs w:val="18"/>
                      <w:highlight w:val="none"/>
                      <w:shd w:val="clear"/>
                      <w:vertAlign w:val="baseli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w:t>
                  </w:r>
                </w:p>
              </w:tc>
              <w:tc>
                <w:tcPr>
                  <w:tcW w:w="628" w:type="dxa"/>
                  <w:vMerge w:val="restart"/>
                  <w:tcBorders>
                    <w:tl2br w:val="nil"/>
                    <w:tr2bl w:val="nil"/>
                  </w:tcBorders>
                  <w:noWrap w:val="0"/>
                  <w:vAlign w:val="center"/>
                </w:tcPr>
                <w:p w14:paraId="345C8F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Cs/>
                      <w:color w:val="auto"/>
                      <w:sz w:val="18"/>
                      <w:szCs w:val="18"/>
                      <w:highlight w:val="none"/>
                      <w:shd w:val="clear"/>
                      <w:vertAlign w:val="baseline"/>
                      <w:lang w:val="en-US" w:eastAsia="zh-CN"/>
                    </w:rPr>
                  </w:pPr>
                  <w:r>
                    <w:rPr>
                      <w:rFonts w:hint="eastAsia" w:cs="Times New Roman"/>
                      <w:color w:val="auto"/>
                      <w:sz w:val="18"/>
                      <w:szCs w:val="18"/>
                      <w:highlight w:val="none"/>
                      <w:vertAlign w:val="baseline"/>
                      <w:lang w:val="en-US" w:eastAsia="zh-CN"/>
                    </w:rPr>
                    <w:t>11002.44</w:t>
                  </w:r>
                </w:p>
              </w:tc>
              <w:tc>
                <w:tcPr>
                  <w:tcW w:w="481" w:type="dxa"/>
                  <w:tcBorders>
                    <w:tl2br w:val="nil"/>
                    <w:tr2bl w:val="nil"/>
                  </w:tcBorders>
                  <w:noWrap w:val="0"/>
                  <w:vAlign w:val="center"/>
                </w:tcPr>
                <w:p w14:paraId="2AC2ED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1184" w:type="dxa"/>
                  <w:tcBorders>
                    <w:tl2br w:val="nil"/>
                    <w:tr2bl w:val="nil"/>
                  </w:tcBorders>
                  <w:noWrap w:val="0"/>
                  <w:vAlign w:val="center"/>
                </w:tcPr>
                <w:p w14:paraId="7B91AC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highlight w:val="none"/>
                      <w:vertAlign w:val="baseline"/>
                      <w:lang w:val="en-US" w:eastAsia="zh-CN"/>
                    </w:rPr>
                  </w:pPr>
                  <w:r>
                    <w:rPr>
                      <w:rFonts w:hint="eastAsia" w:eastAsia="宋体" w:cs="Times New Roman"/>
                      <w:b w:val="0"/>
                      <w:bCs w:val="0"/>
                      <w:color w:val="auto"/>
                      <w:sz w:val="18"/>
                      <w:szCs w:val="18"/>
                      <w:highlight w:val="none"/>
                      <w:lang w:val="en-US" w:eastAsia="zh-CN"/>
                    </w:rPr>
                    <w:t>物料衡算法</w:t>
                  </w:r>
                </w:p>
              </w:tc>
              <w:tc>
                <w:tcPr>
                  <w:tcW w:w="1137" w:type="dxa"/>
                  <w:tcBorders>
                    <w:tl2br w:val="nil"/>
                    <w:tr2bl w:val="nil"/>
                  </w:tcBorders>
                  <w:noWrap w:val="0"/>
                  <w:vAlign w:val="center"/>
                </w:tcPr>
                <w:p w14:paraId="194979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highlight w:val="none"/>
                      <w:vertAlign w:val="baseline"/>
                      <w:lang w:val="en-US" w:eastAsia="zh-CN"/>
                    </w:rPr>
                  </w:pPr>
                  <w:r>
                    <w:rPr>
                      <w:rFonts w:hint="eastAsia" w:cs="Times New Roman"/>
                      <w:iCs/>
                      <w:color w:val="auto"/>
                      <w:sz w:val="18"/>
                      <w:szCs w:val="18"/>
                      <w:highlight w:val="none"/>
                      <w:shd w:val="clear"/>
                      <w:vertAlign w:val="baseline"/>
                      <w:lang w:val="en-US" w:eastAsia="zh-CN"/>
                    </w:rPr>
                    <w:t>7111.81</w:t>
                  </w:r>
                </w:p>
              </w:tc>
              <w:tc>
                <w:tcPr>
                  <w:tcW w:w="1143" w:type="dxa"/>
                  <w:tcBorders>
                    <w:tl2br w:val="nil"/>
                    <w:tr2bl w:val="nil"/>
                  </w:tcBorders>
                  <w:noWrap w:val="0"/>
                  <w:vAlign w:val="center"/>
                </w:tcPr>
                <w:p w14:paraId="6A075D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iCs/>
                      <w:color w:val="auto"/>
                      <w:sz w:val="18"/>
                      <w:szCs w:val="18"/>
                      <w:highlight w:val="none"/>
                      <w:shd w:val="clear"/>
                      <w:vertAlign w:val="baseline"/>
                      <w:lang w:val="en-US" w:eastAsia="zh-CN"/>
                    </w:rPr>
                    <w:t>78.25</w:t>
                  </w:r>
                </w:p>
              </w:tc>
              <w:tc>
                <w:tcPr>
                  <w:tcW w:w="1181" w:type="dxa"/>
                  <w:vMerge w:val="restart"/>
                  <w:tcBorders>
                    <w:tl2br w:val="nil"/>
                    <w:tr2bl w:val="nil"/>
                  </w:tcBorders>
                  <w:noWrap w:val="0"/>
                  <w:vAlign w:val="center"/>
                </w:tcPr>
                <w:p w14:paraId="618340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highlight w:val="yellow"/>
                      <w:lang w:val="en-US" w:eastAsia="zh-CN"/>
                    </w:rPr>
                  </w:pPr>
                  <w:r>
                    <w:rPr>
                      <w:rFonts w:hint="eastAsia" w:cs="Times New Roman"/>
                      <w:color w:val="auto"/>
                      <w:sz w:val="18"/>
                      <w:szCs w:val="18"/>
                      <w:highlight w:val="none"/>
                      <w:lang w:val="en-US" w:eastAsia="zh-CN"/>
                    </w:rPr>
                    <w:t>“旋风多管陶瓷除尘器+布袋除尘器”</w:t>
                  </w:r>
                  <w:r>
                    <w:rPr>
                      <w:rFonts w:hint="eastAsia" w:cs="Times New Roman"/>
                      <w:b w:val="0"/>
                      <w:bCs w:val="0"/>
                      <w:color w:val="auto"/>
                      <w:sz w:val="18"/>
                      <w:szCs w:val="18"/>
                      <w:highlight w:val="none"/>
                      <w:lang w:val="en-US" w:eastAsia="zh-CN"/>
                    </w:rPr>
                    <w:t>+35m烟囱DA001</w:t>
                  </w:r>
                </w:p>
              </w:tc>
              <w:tc>
                <w:tcPr>
                  <w:tcW w:w="714" w:type="dxa"/>
                  <w:tcBorders>
                    <w:tl2br w:val="nil"/>
                    <w:tr2bl w:val="nil"/>
                  </w:tcBorders>
                  <w:noWrap w:val="0"/>
                  <w:vAlign w:val="center"/>
                </w:tcPr>
                <w:p w14:paraId="243C24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Cs/>
                      <w:color w:val="auto"/>
                      <w:sz w:val="18"/>
                      <w:szCs w:val="18"/>
                      <w:highlight w:val="none"/>
                      <w:shd w:val="clear"/>
                      <w:vertAlign w:val="baseli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99.8</w:t>
                  </w:r>
                </w:p>
              </w:tc>
              <w:tc>
                <w:tcPr>
                  <w:tcW w:w="1168" w:type="dxa"/>
                  <w:tcBorders>
                    <w:tl2br w:val="nil"/>
                    <w:tr2bl w:val="nil"/>
                  </w:tcBorders>
                  <w:noWrap w:val="0"/>
                  <w:vAlign w:val="center"/>
                </w:tcPr>
                <w:p w14:paraId="38BC04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Cs/>
                      <w:color w:val="auto"/>
                      <w:sz w:val="18"/>
                      <w:szCs w:val="18"/>
                      <w:highlight w:val="none"/>
                      <w:shd w:val="clear"/>
                      <w:vertAlign w:val="baseli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物料衡算法</w:t>
                  </w:r>
                </w:p>
              </w:tc>
              <w:tc>
                <w:tcPr>
                  <w:tcW w:w="1230" w:type="dxa"/>
                  <w:tcBorders>
                    <w:tl2br w:val="nil"/>
                    <w:tr2bl w:val="nil"/>
                  </w:tcBorders>
                  <w:noWrap w:val="0"/>
                  <w:vAlign w:val="center"/>
                </w:tcPr>
                <w:p w14:paraId="00FFCF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Cs/>
                      <w:color w:val="auto"/>
                      <w:sz w:val="18"/>
                      <w:szCs w:val="18"/>
                      <w:highlight w:val="none"/>
                      <w:shd w:val="clear"/>
                      <w:vertAlign w:val="baseline"/>
                      <w:lang w:val="en-US" w:eastAsia="zh-CN"/>
                    </w:rPr>
                  </w:pPr>
                  <w:r>
                    <w:rPr>
                      <w:rFonts w:hint="default" w:ascii="Times New Roman" w:hAnsi="Times New Roman" w:eastAsia="宋体" w:cs="Times New Roman"/>
                      <w:iCs/>
                      <w:color w:val="auto"/>
                      <w:sz w:val="18"/>
                      <w:szCs w:val="18"/>
                      <w:highlight w:val="none"/>
                      <w:shd w:val="clear"/>
                      <w:vertAlign w:val="baseline"/>
                      <w:lang w:val="en-US" w:eastAsia="zh-CN"/>
                    </w:rPr>
                    <w:t>14.13</w:t>
                  </w:r>
                </w:p>
              </w:tc>
              <w:tc>
                <w:tcPr>
                  <w:tcW w:w="1001" w:type="dxa"/>
                  <w:tcBorders>
                    <w:tl2br w:val="nil"/>
                    <w:tr2bl w:val="nil"/>
                  </w:tcBorders>
                  <w:noWrap w:val="0"/>
                  <w:vAlign w:val="center"/>
                </w:tcPr>
                <w:p w14:paraId="7C3CDA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Cs/>
                      <w:color w:val="auto"/>
                      <w:sz w:val="18"/>
                      <w:szCs w:val="18"/>
                      <w:highlight w:val="none"/>
                      <w:shd w:val="clear"/>
                      <w:vertAlign w:val="baseli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0.16</w:t>
                  </w:r>
                </w:p>
              </w:tc>
              <w:tc>
                <w:tcPr>
                  <w:tcW w:w="641" w:type="dxa"/>
                  <w:vMerge w:val="restart"/>
                  <w:tcBorders>
                    <w:tl2br w:val="nil"/>
                    <w:tr2bl w:val="nil"/>
                  </w:tcBorders>
                  <w:noWrap w:val="0"/>
                  <w:vAlign w:val="center"/>
                </w:tcPr>
                <w:p w14:paraId="7E2F1C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3834</w:t>
                  </w:r>
                </w:p>
              </w:tc>
            </w:tr>
            <w:tr w14:paraId="774A507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4" w:type="dxa"/>
                  <w:vMerge w:val="continue"/>
                  <w:tcBorders>
                    <w:tl2br w:val="nil"/>
                    <w:tr2bl w:val="nil"/>
                  </w:tcBorders>
                  <w:noWrap w:val="0"/>
                  <w:vAlign w:val="center"/>
                </w:tcPr>
                <w:p w14:paraId="4609F0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18"/>
                      <w:szCs w:val="18"/>
                      <w:highlight w:val="none"/>
                      <w:lang w:val="en-US" w:eastAsia="zh-CN"/>
                    </w:rPr>
                  </w:pPr>
                </w:p>
              </w:tc>
              <w:tc>
                <w:tcPr>
                  <w:tcW w:w="608" w:type="dxa"/>
                  <w:vMerge w:val="continue"/>
                  <w:tcBorders>
                    <w:tl2br w:val="nil"/>
                    <w:tr2bl w:val="nil"/>
                  </w:tcBorders>
                  <w:noWrap w:val="0"/>
                  <w:vAlign w:val="center"/>
                </w:tcPr>
                <w:p w14:paraId="563F25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18"/>
                      <w:szCs w:val="18"/>
                      <w:highlight w:val="none"/>
                      <w:lang w:val="en-US" w:eastAsia="zh-CN"/>
                    </w:rPr>
                  </w:pPr>
                </w:p>
              </w:tc>
              <w:tc>
                <w:tcPr>
                  <w:tcW w:w="497" w:type="dxa"/>
                  <w:tcBorders>
                    <w:tl2br w:val="nil"/>
                    <w:tr2bl w:val="nil"/>
                  </w:tcBorders>
                  <w:noWrap w:val="0"/>
                  <w:vAlign w:val="center"/>
                </w:tcPr>
                <w:p w14:paraId="7F540C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有组织</w:t>
                  </w:r>
                </w:p>
              </w:tc>
              <w:tc>
                <w:tcPr>
                  <w:tcW w:w="647" w:type="dxa"/>
                  <w:tcBorders>
                    <w:tl2br w:val="nil"/>
                    <w:tr2bl w:val="nil"/>
                  </w:tcBorders>
                  <w:noWrap w:val="0"/>
                  <w:vAlign w:val="center"/>
                </w:tcPr>
                <w:p w14:paraId="280CB1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二氧化硫</w:t>
                  </w:r>
                </w:p>
              </w:tc>
              <w:tc>
                <w:tcPr>
                  <w:tcW w:w="574" w:type="dxa"/>
                  <w:tcBorders>
                    <w:tl2br w:val="nil"/>
                    <w:tr2bl w:val="nil"/>
                  </w:tcBorders>
                  <w:noWrap w:val="0"/>
                  <w:vAlign w:val="center"/>
                </w:tcPr>
                <w:p w14:paraId="6EE6A5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Cs/>
                      <w:color w:val="auto"/>
                      <w:sz w:val="18"/>
                      <w:szCs w:val="18"/>
                      <w:highlight w:val="none"/>
                      <w:shd w:val="clear"/>
                      <w:vertAlign w:val="baseli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w:t>
                  </w:r>
                </w:p>
              </w:tc>
              <w:tc>
                <w:tcPr>
                  <w:tcW w:w="628" w:type="dxa"/>
                  <w:vMerge w:val="continue"/>
                  <w:tcBorders>
                    <w:tl2br w:val="nil"/>
                    <w:tr2bl w:val="nil"/>
                  </w:tcBorders>
                  <w:noWrap w:val="0"/>
                  <w:vAlign w:val="center"/>
                </w:tcPr>
                <w:p w14:paraId="08C651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iCs/>
                      <w:color w:val="auto"/>
                      <w:sz w:val="18"/>
                      <w:szCs w:val="18"/>
                      <w:highlight w:val="none"/>
                      <w:shd w:val="clear"/>
                      <w:vertAlign w:val="baseline"/>
                      <w:lang w:val="en-US" w:eastAsia="zh-CN"/>
                    </w:rPr>
                  </w:pPr>
                </w:p>
              </w:tc>
              <w:tc>
                <w:tcPr>
                  <w:tcW w:w="481" w:type="dxa"/>
                  <w:tcBorders>
                    <w:tl2br w:val="nil"/>
                    <w:tr2bl w:val="nil"/>
                  </w:tcBorders>
                  <w:noWrap w:val="0"/>
                  <w:vAlign w:val="center"/>
                </w:tcPr>
                <w:p w14:paraId="741DBF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1184" w:type="dxa"/>
                  <w:tcBorders>
                    <w:tl2br w:val="nil"/>
                    <w:tr2bl w:val="nil"/>
                  </w:tcBorders>
                  <w:noWrap w:val="0"/>
                  <w:vAlign w:val="center"/>
                </w:tcPr>
                <w:p w14:paraId="2D93A1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eastAsia" w:eastAsia="宋体" w:cs="Times New Roman"/>
                      <w:b w:val="0"/>
                      <w:bCs w:val="0"/>
                      <w:color w:val="auto"/>
                      <w:sz w:val="18"/>
                      <w:szCs w:val="18"/>
                      <w:highlight w:val="none"/>
                      <w:lang w:val="en-US" w:eastAsia="zh-CN"/>
                    </w:rPr>
                    <w:t>物料衡算法</w:t>
                  </w:r>
                </w:p>
              </w:tc>
              <w:tc>
                <w:tcPr>
                  <w:tcW w:w="1137" w:type="dxa"/>
                  <w:tcBorders>
                    <w:tl2br w:val="nil"/>
                    <w:tr2bl w:val="nil"/>
                  </w:tcBorders>
                  <w:noWrap w:val="0"/>
                  <w:vAlign w:val="center"/>
                </w:tcPr>
                <w:p w14:paraId="642ED4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Cs/>
                      <w:color w:val="auto"/>
                      <w:sz w:val="18"/>
                      <w:szCs w:val="18"/>
                      <w:highlight w:val="none"/>
                      <w:shd w:val="clear"/>
                      <w:vertAlign w:val="baseli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90.82</w:t>
                  </w:r>
                </w:p>
              </w:tc>
              <w:tc>
                <w:tcPr>
                  <w:tcW w:w="1143" w:type="dxa"/>
                  <w:tcBorders>
                    <w:tl2br w:val="nil"/>
                    <w:tr2bl w:val="nil"/>
                  </w:tcBorders>
                  <w:noWrap w:val="0"/>
                  <w:vAlign w:val="center"/>
                </w:tcPr>
                <w:p w14:paraId="27F2C7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Cs/>
                      <w:color w:val="auto"/>
                      <w:sz w:val="18"/>
                      <w:szCs w:val="18"/>
                      <w:highlight w:val="none"/>
                      <w:shd w:val="clear"/>
                      <w:vertAlign w:val="baseli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1.00</w:t>
                  </w:r>
                </w:p>
              </w:tc>
              <w:tc>
                <w:tcPr>
                  <w:tcW w:w="1181" w:type="dxa"/>
                  <w:vMerge w:val="continue"/>
                  <w:tcBorders>
                    <w:tl2br w:val="nil"/>
                    <w:tr2bl w:val="nil"/>
                  </w:tcBorders>
                  <w:noWrap w:val="0"/>
                  <w:vAlign w:val="center"/>
                </w:tcPr>
                <w:p w14:paraId="0F34C1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highlight w:val="yellow"/>
                      <w:lang w:val="en-US" w:eastAsia="zh-CN"/>
                    </w:rPr>
                  </w:pPr>
                </w:p>
              </w:tc>
              <w:tc>
                <w:tcPr>
                  <w:tcW w:w="714" w:type="dxa"/>
                  <w:tcBorders>
                    <w:tl2br w:val="nil"/>
                    <w:tr2bl w:val="nil"/>
                  </w:tcBorders>
                  <w:noWrap w:val="0"/>
                  <w:vAlign w:val="center"/>
                </w:tcPr>
                <w:p w14:paraId="16C9FB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Cs/>
                      <w:color w:val="auto"/>
                      <w:sz w:val="18"/>
                      <w:szCs w:val="18"/>
                      <w:highlight w:val="none"/>
                      <w:shd w:val="clear"/>
                      <w:vertAlign w:val="baseli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w:t>
                  </w:r>
                </w:p>
              </w:tc>
              <w:tc>
                <w:tcPr>
                  <w:tcW w:w="1168" w:type="dxa"/>
                  <w:tcBorders>
                    <w:tl2br w:val="nil"/>
                    <w:tr2bl w:val="nil"/>
                  </w:tcBorders>
                  <w:noWrap w:val="0"/>
                  <w:vAlign w:val="center"/>
                </w:tcPr>
                <w:p w14:paraId="1987D9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Cs/>
                      <w:color w:val="auto"/>
                      <w:sz w:val="18"/>
                      <w:szCs w:val="18"/>
                      <w:highlight w:val="none"/>
                      <w:shd w:val="clear"/>
                      <w:vertAlign w:val="baseli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物料衡算法</w:t>
                  </w:r>
                </w:p>
              </w:tc>
              <w:tc>
                <w:tcPr>
                  <w:tcW w:w="1230" w:type="dxa"/>
                  <w:tcBorders>
                    <w:tl2br w:val="nil"/>
                    <w:tr2bl w:val="nil"/>
                  </w:tcBorders>
                  <w:noWrap w:val="0"/>
                  <w:vAlign w:val="center"/>
                </w:tcPr>
                <w:p w14:paraId="38CFDD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Cs/>
                      <w:color w:val="FF0000"/>
                      <w:sz w:val="18"/>
                      <w:szCs w:val="18"/>
                      <w:highlight w:val="none"/>
                      <w:shd w:val="clear"/>
                      <w:vertAlign w:val="baseli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90.82</w:t>
                  </w:r>
                </w:p>
              </w:tc>
              <w:tc>
                <w:tcPr>
                  <w:tcW w:w="1001" w:type="dxa"/>
                  <w:tcBorders>
                    <w:tl2br w:val="nil"/>
                    <w:tr2bl w:val="nil"/>
                  </w:tcBorders>
                  <w:noWrap w:val="0"/>
                  <w:vAlign w:val="center"/>
                </w:tcPr>
                <w:p w14:paraId="54EF80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Cs/>
                      <w:color w:val="FF0000"/>
                      <w:sz w:val="18"/>
                      <w:szCs w:val="18"/>
                      <w:highlight w:val="none"/>
                      <w:shd w:val="clear"/>
                      <w:vertAlign w:val="baseli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1.00</w:t>
                  </w:r>
                </w:p>
              </w:tc>
              <w:tc>
                <w:tcPr>
                  <w:tcW w:w="641" w:type="dxa"/>
                  <w:vMerge w:val="continue"/>
                  <w:tcBorders>
                    <w:tl2br w:val="nil"/>
                    <w:tr2bl w:val="nil"/>
                  </w:tcBorders>
                  <w:noWrap w:val="0"/>
                  <w:vAlign w:val="center"/>
                </w:tcPr>
                <w:p w14:paraId="7FFD2C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FF0000"/>
                      <w:sz w:val="18"/>
                      <w:szCs w:val="18"/>
                      <w:highlight w:val="none"/>
                      <w:lang w:val="en-US" w:eastAsia="zh-CN"/>
                    </w:rPr>
                  </w:pPr>
                </w:p>
              </w:tc>
            </w:tr>
            <w:tr w14:paraId="373D0B8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84" w:type="dxa"/>
                  <w:vMerge w:val="continue"/>
                  <w:tcBorders>
                    <w:tl2br w:val="nil"/>
                    <w:tr2bl w:val="nil"/>
                  </w:tcBorders>
                  <w:noWrap w:val="0"/>
                  <w:vAlign w:val="center"/>
                </w:tcPr>
                <w:p w14:paraId="0C219A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18"/>
                      <w:szCs w:val="18"/>
                      <w:highlight w:val="none"/>
                      <w:lang w:val="en-US" w:eastAsia="zh-CN"/>
                    </w:rPr>
                  </w:pPr>
                </w:p>
              </w:tc>
              <w:tc>
                <w:tcPr>
                  <w:tcW w:w="608" w:type="dxa"/>
                  <w:vMerge w:val="continue"/>
                  <w:tcBorders>
                    <w:tl2br w:val="nil"/>
                    <w:tr2bl w:val="nil"/>
                  </w:tcBorders>
                  <w:noWrap w:val="0"/>
                  <w:vAlign w:val="center"/>
                </w:tcPr>
                <w:p w14:paraId="6EF616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18"/>
                      <w:szCs w:val="18"/>
                      <w:highlight w:val="none"/>
                      <w:lang w:val="en-US" w:eastAsia="zh-CN"/>
                    </w:rPr>
                  </w:pPr>
                </w:p>
              </w:tc>
              <w:tc>
                <w:tcPr>
                  <w:tcW w:w="497" w:type="dxa"/>
                  <w:tcBorders>
                    <w:tl2br w:val="nil"/>
                    <w:tr2bl w:val="nil"/>
                  </w:tcBorders>
                  <w:noWrap w:val="0"/>
                  <w:vAlign w:val="center"/>
                </w:tcPr>
                <w:p w14:paraId="534813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有</w:t>
                  </w:r>
                  <w:r>
                    <w:rPr>
                      <w:rFonts w:hint="default" w:ascii="Times New Roman" w:hAnsi="Times New Roman" w:eastAsia="宋体" w:cs="Times New Roman"/>
                      <w:b w:val="0"/>
                      <w:bCs w:val="0"/>
                      <w:color w:val="auto"/>
                      <w:sz w:val="18"/>
                      <w:szCs w:val="18"/>
                      <w:highlight w:val="none"/>
                      <w:lang w:val="en-US" w:eastAsia="zh-CN"/>
                    </w:rPr>
                    <w:t>组织</w:t>
                  </w:r>
                </w:p>
              </w:tc>
              <w:tc>
                <w:tcPr>
                  <w:tcW w:w="647" w:type="dxa"/>
                  <w:tcBorders>
                    <w:tl2br w:val="nil"/>
                    <w:tr2bl w:val="nil"/>
                  </w:tcBorders>
                  <w:noWrap w:val="0"/>
                  <w:vAlign w:val="center"/>
                </w:tcPr>
                <w:p w14:paraId="0987B5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氮氧化物</w:t>
                  </w:r>
                </w:p>
              </w:tc>
              <w:tc>
                <w:tcPr>
                  <w:tcW w:w="574" w:type="dxa"/>
                  <w:tcBorders>
                    <w:tl2br w:val="nil"/>
                    <w:tr2bl w:val="nil"/>
                  </w:tcBorders>
                  <w:noWrap w:val="0"/>
                  <w:vAlign w:val="center"/>
                </w:tcPr>
                <w:p w14:paraId="1A804F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628" w:type="dxa"/>
                  <w:vMerge w:val="continue"/>
                  <w:tcBorders>
                    <w:tl2br w:val="nil"/>
                    <w:tr2bl w:val="nil"/>
                  </w:tcBorders>
                  <w:noWrap w:val="0"/>
                  <w:vAlign w:val="center"/>
                </w:tcPr>
                <w:p w14:paraId="02C0C5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18"/>
                      <w:szCs w:val="18"/>
                      <w:highlight w:val="none"/>
                      <w:lang w:val="en-US" w:eastAsia="zh-CN"/>
                    </w:rPr>
                  </w:pPr>
                </w:p>
              </w:tc>
              <w:tc>
                <w:tcPr>
                  <w:tcW w:w="481" w:type="dxa"/>
                  <w:tcBorders>
                    <w:tl2br w:val="nil"/>
                    <w:tr2bl w:val="nil"/>
                  </w:tcBorders>
                  <w:noWrap w:val="0"/>
                  <w:vAlign w:val="center"/>
                </w:tcPr>
                <w:p w14:paraId="33B5D3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1184" w:type="dxa"/>
                  <w:tcBorders>
                    <w:tl2br w:val="nil"/>
                    <w:tr2bl w:val="nil"/>
                  </w:tcBorders>
                  <w:noWrap w:val="0"/>
                  <w:vAlign w:val="center"/>
                </w:tcPr>
                <w:p w14:paraId="20F23E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eastAsia" w:cs="Times New Roman"/>
                      <w:b w:val="0"/>
                      <w:bCs w:val="0"/>
                      <w:color w:val="auto"/>
                      <w:sz w:val="18"/>
                      <w:szCs w:val="18"/>
                      <w:highlight w:val="none"/>
                      <w:lang w:val="en-US" w:eastAsia="zh-CN"/>
                    </w:rPr>
                    <w:t>产污系数法</w:t>
                  </w:r>
                </w:p>
              </w:tc>
              <w:tc>
                <w:tcPr>
                  <w:tcW w:w="1137" w:type="dxa"/>
                  <w:tcBorders>
                    <w:tl2br w:val="nil"/>
                    <w:tr2bl w:val="nil"/>
                  </w:tcBorders>
                  <w:noWrap w:val="0"/>
                  <w:vAlign w:val="center"/>
                </w:tcPr>
                <w:p w14:paraId="0317AA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Cs/>
                      <w:color w:val="auto"/>
                      <w:sz w:val="18"/>
                      <w:szCs w:val="18"/>
                      <w:highlight w:val="none"/>
                      <w:shd w:val="clear"/>
                      <w:vertAlign w:val="baseline"/>
                      <w:lang w:val="en-US" w:eastAsia="zh-CN"/>
                    </w:rPr>
                  </w:pPr>
                  <w:r>
                    <w:rPr>
                      <w:rFonts w:hint="default" w:ascii="Times New Roman" w:hAnsi="Times New Roman" w:eastAsia="宋体" w:cs="Times New Roman"/>
                      <w:iCs/>
                      <w:color w:val="auto"/>
                      <w:sz w:val="18"/>
                      <w:szCs w:val="18"/>
                      <w:highlight w:val="none"/>
                      <w:shd w:val="clear"/>
                      <w:vertAlign w:val="baseline"/>
                      <w:lang w:val="en-US" w:eastAsia="zh-CN"/>
                    </w:rPr>
                    <w:t>15</w:t>
                  </w:r>
                  <w:r>
                    <w:rPr>
                      <w:rFonts w:hint="eastAsia" w:ascii="Times New Roman" w:hAnsi="Times New Roman" w:eastAsia="宋体" w:cs="Times New Roman"/>
                      <w:iCs/>
                      <w:color w:val="auto"/>
                      <w:sz w:val="18"/>
                      <w:szCs w:val="18"/>
                      <w:highlight w:val="none"/>
                      <w:shd w:val="clear"/>
                      <w:vertAlign w:val="baseline"/>
                      <w:lang w:val="en-US" w:eastAsia="zh-CN"/>
                    </w:rPr>
                    <w:t>0</w:t>
                  </w:r>
                  <w:r>
                    <w:rPr>
                      <w:rFonts w:hint="default" w:ascii="Times New Roman" w:hAnsi="Times New Roman" w:eastAsia="宋体" w:cs="Times New Roman"/>
                      <w:iCs/>
                      <w:color w:val="auto"/>
                      <w:sz w:val="18"/>
                      <w:szCs w:val="18"/>
                      <w:highlight w:val="none"/>
                      <w:shd w:val="clear"/>
                      <w:vertAlign w:val="baseline"/>
                      <w:lang w:val="en-US" w:eastAsia="zh-CN"/>
                    </w:rPr>
                    <w:t>.</w:t>
                  </w:r>
                  <w:r>
                    <w:rPr>
                      <w:rFonts w:hint="eastAsia" w:ascii="Times New Roman" w:hAnsi="Times New Roman" w:eastAsia="宋体" w:cs="Times New Roman"/>
                      <w:iCs/>
                      <w:color w:val="auto"/>
                      <w:sz w:val="18"/>
                      <w:szCs w:val="18"/>
                      <w:highlight w:val="none"/>
                      <w:shd w:val="clear"/>
                      <w:vertAlign w:val="baseline"/>
                      <w:lang w:val="en-US" w:eastAsia="zh-CN"/>
                    </w:rPr>
                    <w:t>38</w:t>
                  </w:r>
                </w:p>
              </w:tc>
              <w:tc>
                <w:tcPr>
                  <w:tcW w:w="1143" w:type="dxa"/>
                  <w:tcBorders>
                    <w:tl2br w:val="nil"/>
                    <w:tr2bl w:val="nil"/>
                  </w:tcBorders>
                  <w:noWrap w:val="0"/>
                  <w:vAlign w:val="center"/>
                </w:tcPr>
                <w:p w14:paraId="34E2C8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Cs/>
                      <w:color w:val="auto"/>
                      <w:sz w:val="18"/>
                      <w:szCs w:val="18"/>
                      <w:highlight w:val="none"/>
                      <w:shd w:val="clear"/>
                      <w:vertAlign w:val="baseli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1.65</w:t>
                  </w:r>
                </w:p>
              </w:tc>
              <w:tc>
                <w:tcPr>
                  <w:tcW w:w="1181" w:type="dxa"/>
                  <w:vMerge w:val="continue"/>
                  <w:tcBorders>
                    <w:tl2br w:val="nil"/>
                    <w:tr2bl w:val="nil"/>
                  </w:tcBorders>
                  <w:noWrap w:val="0"/>
                  <w:vAlign w:val="center"/>
                </w:tcPr>
                <w:p w14:paraId="655E91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18"/>
                      <w:szCs w:val="18"/>
                      <w:highlight w:val="yellow"/>
                      <w:lang w:val="en-US" w:eastAsia="zh-CN"/>
                    </w:rPr>
                  </w:pPr>
                </w:p>
              </w:tc>
              <w:tc>
                <w:tcPr>
                  <w:tcW w:w="714" w:type="dxa"/>
                  <w:tcBorders>
                    <w:tl2br w:val="nil"/>
                    <w:tr2bl w:val="nil"/>
                  </w:tcBorders>
                  <w:noWrap w:val="0"/>
                  <w:vAlign w:val="center"/>
                </w:tcPr>
                <w:p w14:paraId="3B549D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iCs/>
                      <w:color w:val="auto"/>
                      <w:sz w:val="18"/>
                      <w:szCs w:val="18"/>
                      <w:highlight w:val="none"/>
                      <w:shd w:val="clear"/>
                      <w:vertAlign w:val="baseli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w:t>
                  </w:r>
                </w:p>
              </w:tc>
              <w:tc>
                <w:tcPr>
                  <w:tcW w:w="1168" w:type="dxa"/>
                  <w:tcBorders>
                    <w:tl2br w:val="nil"/>
                    <w:tr2bl w:val="nil"/>
                  </w:tcBorders>
                  <w:noWrap w:val="0"/>
                  <w:vAlign w:val="center"/>
                </w:tcPr>
                <w:p w14:paraId="7892EC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iCs/>
                      <w:color w:val="auto"/>
                      <w:sz w:val="18"/>
                      <w:szCs w:val="18"/>
                      <w:highlight w:val="none"/>
                      <w:shd w:val="clear"/>
                      <w:vertAlign w:val="baseli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产污系数法</w:t>
                  </w:r>
                </w:p>
              </w:tc>
              <w:tc>
                <w:tcPr>
                  <w:tcW w:w="1230" w:type="dxa"/>
                  <w:tcBorders>
                    <w:tl2br w:val="nil"/>
                    <w:tr2bl w:val="nil"/>
                  </w:tcBorders>
                  <w:noWrap w:val="0"/>
                  <w:vAlign w:val="center"/>
                </w:tcPr>
                <w:p w14:paraId="425C6E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Cs/>
                      <w:color w:val="FF0000"/>
                      <w:sz w:val="18"/>
                      <w:szCs w:val="18"/>
                      <w:highlight w:val="none"/>
                      <w:shd w:val="clear"/>
                      <w:vertAlign w:val="baseline"/>
                      <w:lang w:val="en-US" w:eastAsia="zh-CN"/>
                    </w:rPr>
                  </w:pPr>
                  <w:r>
                    <w:rPr>
                      <w:rFonts w:hint="default" w:ascii="Times New Roman" w:hAnsi="Times New Roman" w:eastAsia="宋体" w:cs="Times New Roman"/>
                      <w:iCs/>
                      <w:color w:val="auto"/>
                      <w:sz w:val="18"/>
                      <w:szCs w:val="18"/>
                      <w:highlight w:val="none"/>
                      <w:shd w:val="clear"/>
                      <w:vertAlign w:val="baseline"/>
                      <w:lang w:val="en-US" w:eastAsia="zh-CN"/>
                    </w:rPr>
                    <w:t>15</w:t>
                  </w:r>
                  <w:r>
                    <w:rPr>
                      <w:rFonts w:hint="eastAsia" w:ascii="Times New Roman" w:hAnsi="Times New Roman" w:eastAsia="宋体" w:cs="Times New Roman"/>
                      <w:iCs/>
                      <w:color w:val="auto"/>
                      <w:sz w:val="18"/>
                      <w:szCs w:val="18"/>
                      <w:highlight w:val="none"/>
                      <w:shd w:val="clear"/>
                      <w:vertAlign w:val="baseline"/>
                      <w:lang w:val="en-US" w:eastAsia="zh-CN"/>
                    </w:rPr>
                    <w:t>0</w:t>
                  </w:r>
                  <w:r>
                    <w:rPr>
                      <w:rFonts w:hint="default" w:ascii="Times New Roman" w:hAnsi="Times New Roman" w:eastAsia="宋体" w:cs="Times New Roman"/>
                      <w:iCs/>
                      <w:color w:val="auto"/>
                      <w:sz w:val="18"/>
                      <w:szCs w:val="18"/>
                      <w:highlight w:val="none"/>
                      <w:shd w:val="clear"/>
                      <w:vertAlign w:val="baseline"/>
                      <w:lang w:val="en-US" w:eastAsia="zh-CN"/>
                    </w:rPr>
                    <w:t>.</w:t>
                  </w:r>
                  <w:r>
                    <w:rPr>
                      <w:rFonts w:hint="eastAsia" w:ascii="Times New Roman" w:hAnsi="Times New Roman" w:eastAsia="宋体" w:cs="Times New Roman"/>
                      <w:iCs/>
                      <w:color w:val="auto"/>
                      <w:sz w:val="18"/>
                      <w:szCs w:val="18"/>
                      <w:highlight w:val="none"/>
                      <w:shd w:val="clear"/>
                      <w:vertAlign w:val="baseline"/>
                      <w:lang w:val="en-US" w:eastAsia="zh-CN"/>
                    </w:rPr>
                    <w:t>38</w:t>
                  </w:r>
                </w:p>
              </w:tc>
              <w:tc>
                <w:tcPr>
                  <w:tcW w:w="1001" w:type="dxa"/>
                  <w:tcBorders>
                    <w:tl2br w:val="nil"/>
                    <w:tr2bl w:val="nil"/>
                  </w:tcBorders>
                  <w:noWrap w:val="0"/>
                  <w:vAlign w:val="center"/>
                </w:tcPr>
                <w:p w14:paraId="64BB40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iCs/>
                      <w:color w:val="FF0000"/>
                      <w:sz w:val="18"/>
                      <w:szCs w:val="18"/>
                      <w:highlight w:val="none"/>
                      <w:shd w:val="clear"/>
                      <w:vertAlign w:val="baseli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1.65</w:t>
                  </w:r>
                </w:p>
              </w:tc>
              <w:tc>
                <w:tcPr>
                  <w:tcW w:w="641" w:type="dxa"/>
                  <w:vMerge w:val="continue"/>
                  <w:tcBorders>
                    <w:tl2br w:val="nil"/>
                    <w:tr2bl w:val="nil"/>
                  </w:tcBorders>
                  <w:noWrap w:val="0"/>
                  <w:vAlign w:val="center"/>
                </w:tcPr>
                <w:p w14:paraId="04956B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FF0000"/>
                      <w:sz w:val="18"/>
                      <w:szCs w:val="18"/>
                      <w:highlight w:val="none"/>
                      <w:lang w:val="en-US" w:eastAsia="zh-CN"/>
                    </w:rPr>
                  </w:pPr>
                </w:p>
              </w:tc>
            </w:tr>
            <w:tr w14:paraId="6CBC546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4" w:type="dxa"/>
                  <w:vMerge w:val="continue"/>
                  <w:tcBorders>
                    <w:tl2br w:val="nil"/>
                    <w:tr2bl w:val="nil"/>
                  </w:tcBorders>
                  <w:noWrap w:val="0"/>
                  <w:vAlign w:val="center"/>
                </w:tcPr>
                <w:p w14:paraId="178114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18"/>
                      <w:szCs w:val="18"/>
                      <w:highlight w:val="none"/>
                      <w:lang w:val="en-US" w:eastAsia="zh-CN"/>
                    </w:rPr>
                  </w:pPr>
                </w:p>
              </w:tc>
              <w:tc>
                <w:tcPr>
                  <w:tcW w:w="608" w:type="dxa"/>
                  <w:vMerge w:val="continue"/>
                  <w:tcBorders>
                    <w:tl2br w:val="nil"/>
                    <w:tr2bl w:val="nil"/>
                  </w:tcBorders>
                  <w:noWrap w:val="0"/>
                  <w:vAlign w:val="center"/>
                </w:tcPr>
                <w:p w14:paraId="07604C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18"/>
                      <w:szCs w:val="18"/>
                      <w:highlight w:val="none"/>
                      <w:lang w:val="en-US" w:eastAsia="zh-CN"/>
                    </w:rPr>
                  </w:pPr>
                </w:p>
              </w:tc>
              <w:tc>
                <w:tcPr>
                  <w:tcW w:w="497" w:type="dxa"/>
                  <w:tcBorders>
                    <w:tl2br w:val="nil"/>
                    <w:tr2bl w:val="nil"/>
                  </w:tcBorders>
                  <w:noWrap w:val="0"/>
                  <w:vAlign w:val="center"/>
                </w:tcPr>
                <w:p w14:paraId="41BE11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有</w:t>
                  </w:r>
                  <w:r>
                    <w:rPr>
                      <w:rFonts w:hint="default" w:ascii="Times New Roman" w:hAnsi="Times New Roman" w:eastAsia="宋体" w:cs="Times New Roman"/>
                      <w:b w:val="0"/>
                      <w:bCs w:val="0"/>
                      <w:color w:val="auto"/>
                      <w:sz w:val="18"/>
                      <w:szCs w:val="18"/>
                      <w:highlight w:val="none"/>
                      <w:lang w:val="en-US" w:eastAsia="zh-CN"/>
                    </w:rPr>
                    <w:t>组织</w:t>
                  </w:r>
                </w:p>
              </w:tc>
              <w:tc>
                <w:tcPr>
                  <w:tcW w:w="647" w:type="dxa"/>
                  <w:tcBorders>
                    <w:tl2br w:val="nil"/>
                    <w:tr2bl w:val="nil"/>
                  </w:tcBorders>
                  <w:noWrap w:val="0"/>
                  <w:vAlign w:val="center"/>
                </w:tcPr>
                <w:p w14:paraId="60A9F4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林格曼黑度</w:t>
                  </w:r>
                </w:p>
              </w:tc>
              <w:tc>
                <w:tcPr>
                  <w:tcW w:w="574" w:type="dxa"/>
                  <w:tcBorders>
                    <w:tl2br w:val="nil"/>
                    <w:tr2bl w:val="nil"/>
                  </w:tcBorders>
                  <w:noWrap w:val="0"/>
                  <w:vAlign w:val="center"/>
                </w:tcPr>
                <w:p w14:paraId="392828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628" w:type="dxa"/>
                  <w:vMerge w:val="continue"/>
                  <w:tcBorders>
                    <w:tl2br w:val="nil"/>
                    <w:tr2bl w:val="nil"/>
                  </w:tcBorders>
                  <w:noWrap w:val="0"/>
                  <w:vAlign w:val="center"/>
                </w:tcPr>
                <w:p w14:paraId="737A90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18"/>
                      <w:szCs w:val="18"/>
                      <w:highlight w:val="none"/>
                      <w:lang w:val="en-US" w:eastAsia="zh-CN"/>
                    </w:rPr>
                  </w:pPr>
                </w:p>
              </w:tc>
              <w:tc>
                <w:tcPr>
                  <w:tcW w:w="481" w:type="dxa"/>
                  <w:tcBorders>
                    <w:tl2br w:val="nil"/>
                    <w:tr2bl w:val="nil"/>
                  </w:tcBorders>
                  <w:noWrap w:val="0"/>
                  <w:vAlign w:val="center"/>
                </w:tcPr>
                <w:p w14:paraId="037A57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1184" w:type="dxa"/>
                  <w:tcBorders>
                    <w:tl2br w:val="nil"/>
                    <w:tr2bl w:val="nil"/>
                  </w:tcBorders>
                  <w:noWrap w:val="0"/>
                  <w:vAlign w:val="center"/>
                </w:tcPr>
                <w:p w14:paraId="2A6E25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auto"/>
                      <w:sz w:val="18"/>
                      <w:szCs w:val="18"/>
                      <w:highlight w:val="none"/>
                      <w:vertAlign w:val="baseline"/>
                      <w:lang w:val="en-US" w:eastAsia="zh-CN"/>
                    </w:rPr>
                  </w:pPr>
                  <w:r>
                    <w:rPr>
                      <w:rFonts w:hint="eastAsia" w:cs="Times New Roman"/>
                      <w:b w:val="0"/>
                      <w:bCs w:val="0"/>
                      <w:color w:val="auto"/>
                      <w:sz w:val="18"/>
                      <w:szCs w:val="18"/>
                      <w:highlight w:val="none"/>
                      <w:lang w:val="en-US" w:eastAsia="zh-CN"/>
                    </w:rPr>
                    <w:t>/</w:t>
                  </w:r>
                </w:p>
              </w:tc>
              <w:tc>
                <w:tcPr>
                  <w:tcW w:w="1137" w:type="dxa"/>
                  <w:tcBorders>
                    <w:tl2br w:val="nil"/>
                    <w:tr2bl w:val="nil"/>
                  </w:tcBorders>
                  <w:noWrap w:val="0"/>
                  <w:vAlign w:val="center"/>
                </w:tcPr>
                <w:p w14:paraId="39DEE9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kern w:val="2"/>
                      <w:sz w:val="18"/>
                      <w:szCs w:val="18"/>
                      <w:highlight w:val="none"/>
                      <w:lang w:val="en-US" w:eastAsia="zh-CN" w:bidi="ar-SA"/>
                    </w:rPr>
                  </w:pPr>
                  <w:r>
                    <w:rPr>
                      <w:rFonts w:hint="default" w:ascii="Times New Roman" w:hAnsi="Times New Roman" w:cs="Times New Roman"/>
                      <w:b w:val="0"/>
                      <w:bCs w:val="0"/>
                      <w:color w:val="auto"/>
                      <w:kern w:val="2"/>
                      <w:sz w:val="18"/>
                      <w:szCs w:val="18"/>
                      <w:highlight w:val="none"/>
                      <w:lang w:val="en-US" w:eastAsia="zh-CN" w:bidi="ar-SA"/>
                    </w:rPr>
                    <w:t>＜1</w:t>
                  </w:r>
                </w:p>
              </w:tc>
              <w:tc>
                <w:tcPr>
                  <w:tcW w:w="1143" w:type="dxa"/>
                  <w:tcBorders>
                    <w:tl2br w:val="nil"/>
                    <w:tr2bl w:val="nil"/>
                  </w:tcBorders>
                  <w:noWrap w:val="0"/>
                  <w:vAlign w:val="center"/>
                </w:tcPr>
                <w:p w14:paraId="55D512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18"/>
                      <w:szCs w:val="18"/>
                      <w:highlight w:val="none"/>
                      <w:vertAlign w:val="baseline"/>
                      <w:lang w:val="en-US" w:eastAsia="zh-CN"/>
                    </w:rPr>
                  </w:pPr>
                  <w:r>
                    <w:rPr>
                      <w:rFonts w:hint="eastAsia" w:cs="Times New Roman"/>
                      <w:color w:val="auto"/>
                      <w:sz w:val="18"/>
                      <w:szCs w:val="18"/>
                      <w:highlight w:val="none"/>
                      <w:vertAlign w:val="baseline"/>
                      <w:lang w:val="en-US" w:eastAsia="zh-CN"/>
                    </w:rPr>
                    <w:t>/</w:t>
                  </w:r>
                </w:p>
              </w:tc>
              <w:tc>
                <w:tcPr>
                  <w:tcW w:w="1181" w:type="dxa"/>
                  <w:vMerge w:val="continue"/>
                  <w:tcBorders>
                    <w:tl2br w:val="nil"/>
                    <w:tr2bl w:val="nil"/>
                  </w:tcBorders>
                  <w:noWrap w:val="0"/>
                  <w:vAlign w:val="center"/>
                </w:tcPr>
                <w:p w14:paraId="11934B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18"/>
                      <w:szCs w:val="18"/>
                      <w:highlight w:val="none"/>
                      <w:lang w:val="en-US" w:eastAsia="zh-CN"/>
                    </w:rPr>
                  </w:pPr>
                </w:p>
              </w:tc>
              <w:tc>
                <w:tcPr>
                  <w:tcW w:w="714" w:type="dxa"/>
                  <w:tcBorders>
                    <w:tl2br w:val="nil"/>
                    <w:tr2bl w:val="nil"/>
                  </w:tcBorders>
                  <w:noWrap w:val="0"/>
                  <w:vAlign w:val="center"/>
                </w:tcPr>
                <w:p w14:paraId="32D0AB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1168" w:type="dxa"/>
                  <w:tcBorders>
                    <w:tl2br w:val="nil"/>
                    <w:tr2bl w:val="nil"/>
                  </w:tcBorders>
                  <w:noWrap w:val="0"/>
                  <w:vAlign w:val="center"/>
                </w:tcPr>
                <w:p w14:paraId="4E4367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18"/>
                      <w:szCs w:val="18"/>
                      <w:highlight w:val="none"/>
                      <w:vertAlign w:val="baseline"/>
                      <w:lang w:val="en-US" w:eastAsia="zh-CN"/>
                    </w:rPr>
                  </w:pPr>
                  <w:r>
                    <w:rPr>
                      <w:rFonts w:hint="eastAsia" w:cs="Times New Roman"/>
                      <w:b w:val="0"/>
                      <w:bCs w:val="0"/>
                      <w:color w:val="auto"/>
                      <w:sz w:val="18"/>
                      <w:szCs w:val="18"/>
                      <w:highlight w:val="none"/>
                      <w:lang w:val="en-US" w:eastAsia="zh-CN"/>
                    </w:rPr>
                    <w:t>/</w:t>
                  </w:r>
                </w:p>
              </w:tc>
              <w:tc>
                <w:tcPr>
                  <w:tcW w:w="1230" w:type="dxa"/>
                  <w:tcBorders>
                    <w:tl2br w:val="nil"/>
                    <w:tr2bl w:val="nil"/>
                  </w:tcBorders>
                  <w:noWrap w:val="0"/>
                  <w:vAlign w:val="center"/>
                </w:tcPr>
                <w:p w14:paraId="5ED765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kern w:val="2"/>
                      <w:sz w:val="18"/>
                      <w:szCs w:val="18"/>
                      <w:highlight w:val="none"/>
                      <w:lang w:val="en-US" w:eastAsia="zh-CN" w:bidi="ar-SA"/>
                    </w:rPr>
                  </w:pPr>
                  <w:r>
                    <w:rPr>
                      <w:rFonts w:hint="default" w:ascii="Times New Roman" w:hAnsi="Times New Roman" w:cs="Times New Roman"/>
                      <w:b w:val="0"/>
                      <w:bCs w:val="0"/>
                      <w:color w:val="auto"/>
                      <w:kern w:val="2"/>
                      <w:sz w:val="18"/>
                      <w:szCs w:val="18"/>
                      <w:highlight w:val="none"/>
                      <w:lang w:val="en-US" w:eastAsia="zh-CN" w:bidi="ar-SA"/>
                    </w:rPr>
                    <w:t>＜1</w:t>
                  </w:r>
                </w:p>
              </w:tc>
              <w:tc>
                <w:tcPr>
                  <w:tcW w:w="1001" w:type="dxa"/>
                  <w:tcBorders>
                    <w:tl2br w:val="nil"/>
                    <w:tr2bl w:val="nil"/>
                  </w:tcBorders>
                  <w:noWrap w:val="0"/>
                  <w:vAlign w:val="center"/>
                </w:tcPr>
                <w:p w14:paraId="010956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18"/>
                      <w:szCs w:val="18"/>
                      <w:highlight w:val="none"/>
                      <w:vertAlign w:val="baseline"/>
                      <w:lang w:val="en-US" w:eastAsia="zh-CN"/>
                    </w:rPr>
                  </w:pPr>
                  <w:r>
                    <w:rPr>
                      <w:rFonts w:hint="eastAsia" w:cs="Times New Roman"/>
                      <w:b w:val="0"/>
                      <w:bCs w:val="0"/>
                      <w:color w:val="auto"/>
                      <w:sz w:val="18"/>
                      <w:szCs w:val="18"/>
                      <w:highlight w:val="none"/>
                      <w:lang w:val="en-US" w:eastAsia="zh-CN"/>
                    </w:rPr>
                    <w:t>/</w:t>
                  </w:r>
                </w:p>
              </w:tc>
              <w:tc>
                <w:tcPr>
                  <w:tcW w:w="641" w:type="dxa"/>
                  <w:vMerge w:val="continue"/>
                  <w:tcBorders>
                    <w:tl2br w:val="nil"/>
                    <w:tr2bl w:val="nil"/>
                  </w:tcBorders>
                  <w:noWrap w:val="0"/>
                  <w:vAlign w:val="center"/>
                </w:tcPr>
                <w:p w14:paraId="1C9E49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FF0000"/>
                      <w:sz w:val="18"/>
                      <w:szCs w:val="18"/>
                      <w:highlight w:val="none"/>
                      <w:lang w:val="en-US" w:eastAsia="zh-CN"/>
                    </w:rPr>
                  </w:pPr>
                </w:p>
              </w:tc>
            </w:tr>
            <w:tr w14:paraId="6C7073C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4" w:type="dxa"/>
                  <w:tcBorders>
                    <w:tl2br w:val="nil"/>
                    <w:tr2bl w:val="nil"/>
                  </w:tcBorders>
                  <w:noWrap w:val="0"/>
                  <w:vAlign w:val="center"/>
                </w:tcPr>
                <w:p w14:paraId="00AAA5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灰渣暂存间无组织</w:t>
                  </w:r>
                </w:p>
              </w:tc>
              <w:tc>
                <w:tcPr>
                  <w:tcW w:w="608" w:type="dxa"/>
                  <w:tcBorders>
                    <w:tl2br w:val="nil"/>
                    <w:tr2bl w:val="nil"/>
                  </w:tcBorders>
                  <w:noWrap w:val="0"/>
                  <w:vAlign w:val="center"/>
                </w:tcPr>
                <w:p w14:paraId="693238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灰渣暂存间</w:t>
                  </w:r>
                </w:p>
              </w:tc>
              <w:tc>
                <w:tcPr>
                  <w:tcW w:w="497" w:type="dxa"/>
                  <w:tcBorders>
                    <w:tl2br w:val="nil"/>
                    <w:tr2bl w:val="nil"/>
                  </w:tcBorders>
                  <w:noWrap w:val="0"/>
                  <w:vAlign w:val="center"/>
                </w:tcPr>
                <w:p w14:paraId="66C590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无组织</w:t>
                  </w:r>
                </w:p>
              </w:tc>
              <w:tc>
                <w:tcPr>
                  <w:tcW w:w="647" w:type="dxa"/>
                  <w:tcBorders>
                    <w:tl2br w:val="nil"/>
                    <w:tr2bl w:val="nil"/>
                  </w:tcBorders>
                  <w:noWrap w:val="0"/>
                  <w:vAlign w:val="center"/>
                </w:tcPr>
                <w:p w14:paraId="07BCDE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颗粒物</w:t>
                  </w:r>
                </w:p>
              </w:tc>
              <w:tc>
                <w:tcPr>
                  <w:tcW w:w="574" w:type="dxa"/>
                  <w:tcBorders>
                    <w:tl2br w:val="nil"/>
                    <w:tr2bl w:val="nil"/>
                  </w:tcBorders>
                  <w:noWrap w:val="0"/>
                  <w:vAlign w:val="center"/>
                </w:tcPr>
                <w:p w14:paraId="473B85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628" w:type="dxa"/>
                  <w:tcBorders>
                    <w:tl2br w:val="nil"/>
                    <w:tr2bl w:val="nil"/>
                  </w:tcBorders>
                  <w:noWrap w:val="0"/>
                  <w:vAlign w:val="center"/>
                </w:tcPr>
                <w:p w14:paraId="14447F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w:t>
                  </w:r>
                </w:p>
              </w:tc>
              <w:tc>
                <w:tcPr>
                  <w:tcW w:w="481" w:type="dxa"/>
                  <w:tcBorders>
                    <w:tl2br w:val="nil"/>
                    <w:tr2bl w:val="nil"/>
                  </w:tcBorders>
                  <w:noWrap w:val="0"/>
                  <w:vAlign w:val="center"/>
                </w:tcPr>
                <w:p w14:paraId="42D945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1184" w:type="dxa"/>
                  <w:tcBorders>
                    <w:tl2br w:val="nil"/>
                    <w:tr2bl w:val="nil"/>
                  </w:tcBorders>
                  <w:noWrap w:val="0"/>
                  <w:vAlign w:val="center"/>
                </w:tcPr>
                <w:p w14:paraId="3338D9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产污系数法</w:t>
                  </w:r>
                </w:p>
              </w:tc>
              <w:tc>
                <w:tcPr>
                  <w:tcW w:w="1137" w:type="dxa"/>
                  <w:tcBorders>
                    <w:tl2br w:val="nil"/>
                    <w:tr2bl w:val="nil"/>
                  </w:tcBorders>
                  <w:noWrap w:val="0"/>
                  <w:vAlign w:val="center"/>
                </w:tcPr>
                <w:p w14:paraId="3CAC99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w:t>
                  </w:r>
                </w:p>
              </w:tc>
              <w:tc>
                <w:tcPr>
                  <w:tcW w:w="1143" w:type="dxa"/>
                  <w:tcBorders>
                    <w:tl2br w:val="nil"/>
                    <w:tr2bl w:val="nil"/>
                  </w:tcBorders>
                  <w:noWrap w:val="0"/>
                  <w:vAlign w:val="center"/>
                </w:tcPr>
                <w:p w14:paraId="375FCD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4.87</w:t>
                  </w:r>
                </w:p>
              </w:tc>
              <w:tc>
                <w:tcPr>
                  <w:tcW w:w="1181" w:type="dxa"/>
                  <w:tcBorders>
                    <w:tl2br w:val="nil"/>
                    <w:tr2bl w:val="nil"/>
                  </w:tcBorders>
                  <w:noWrap w:val="0"/>
                  <w:vAlign w:val="center"/>
                </w:tcPr>
                <w:p w14:paraId="3168CA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灰渣暂存间密闭、洒水降尘</w:t>
                  </w:r>
                </w:p>
              </w:tc>
              <w:tc>
                <w:tcPr>
                  <w:tcW w:w="714" w:type="dxa"/>
                  <w:tcBorders>
                    <w:tl2br w:val="nil"/>
                    <w:tr2bl w:val="nil"/>
                  </w:tcBorders>
                  <w:noWrap w:val="0"/>
                  <w:vAlign w:val="center"/>
                </w:tcPr>
                <w:p w14:paraId="3434A8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密闭99％、洒水74％</w:t>
                  </w:r>
                </w:p>
              </w:tc>
              <w:tc>
                <w:tcPr>
                  <w:tcW w:w="1168" w:type="dxa"/>
                  <w:tcBorders>
                    <w:tl2br w:val="nil"/>
                    <w:tr2bl w:val="nil"/>
                  </w:tcBorders>
                  <w:noWrap w:val="0"/>
                  <w:vAlign w:val="center"/>
                </w:tcPr>
                <w:p w14:paraId="39E820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产污系数法</w:t>
                  </w:r>
                </w:p>
              </w:tc>
              <w:tc>
                <w:tcPr>
                  <w:tcW w:w="1230" w:type="dxa"/>
                  <w:tcBorders>
                    <w:tl2br w:val="nil"/>
                    <w:tr2bl w:val="nil"/>
                  </w:tcBorders>
                  <w:noWrap w:val="0"/>
                  <w:vAlign w:val="center"/>
                </w:tcPr>
                <w:p w14:paraId="1CB78F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w:t>
                  </w:r>
                </w:p>
              </w:tc>
              <w:tc>
                <w:tcPr>
                  <w:tcW w:w="1001" w:type="dxa"/>
                  <w:tcBorders>
                    <w:tl2br w:val="nil"/>
                    <w:tr2bl w:val="nil"/>
                  </w:tcBorders>
                  <w:noWrap w:val="0"/>
                  <w:vAlign w:val="center"/>
                </w:tcPr>
                <w:p w14:paraId="2D0307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0.01</w:t>
                  </w:r>
                </w:p>
              </w:tc>
              <w:tc>
                <w:tcPr>
                  <w:tcW w:w="641" w:type="dxa"/>
                  <w:vMerge w:val="continue"/>
                  <w:tcBorders>
                    <w:tl2br w:val="nil"/>
                    <w:tr2bl w:val="nil"/>
                  </w:tcBorders>
                  <w:noWrap w:val="0"/>
                  <w:vAlign w:val="center"/>
                </w:tcPr>
                <w:p w14:paraId="4D34E8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FF0000"/>
                      <w:sz w:val="18"/>
                      <w:szCs w:val="18"/>
                      <w:highlight w:val="none"/>
                      <w:lang w:val="en-US" w:eastAsia="zh-CN"/>
                    </w:rPr>
                  </w:pPr>
                </w:p>
              </w:tc>
            </w:tr>
          </w:tbl>
          <w:p w14:paraId="3E4CA01E">
            <w:pPr>
              <w:adjustRightInd w:val="0"/>
              <w:snapToGrid w:val="0"/>
              <w:rPr>
                <w:rFonts w:ascii="宋体" w:hAnsi="宋体" w:cs="宋体"/>
                <w:bCs/>
                <w:color w:val="FF0000"/>
                <w:spacing w:val="-10"/>
                <w:szCs w:val="21"/>
                <w:highlight w:val="none"/>
              </w:rPr>
            </w:pPr>
          </w:p>
        </w:tc>
      </w:tr>
    </w:tbl>
    <w:p w14:paraId="357F7736">
      <w:pPr>
        <w:pStyle w:val="16"/>
        <w:rPr>
          <w:rFonts w:hint="eastAsia"/>
          <w:color w:val="FF0000"/>
          <w:highlight w:val="none"/>
        </w:rPr>
        <w:sectPr>
          <w:pgSz w:w="16840" w:h="11907" w:orient="landscape"/>
          <w:pgMar w:top="1531" w:right="1701" w:bottom="1531" w:left="212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0"/>
        <w:tblW w:w="952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3"/>
        <w:gridCol w:w="9106"/>
      </w:tblGrid>
      <w:tr w14:paraId="3243CB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09" w:hRule="atLeast"/>
          <w:jc w:val="center"/>
        </w:trPr>
        <w:tc>
          <w:tcPr>
            <w:tcW w:w="423" w:type="dxa"/>
            <w:noWrap w:val="0"/>
            <w:tcMar>
              <w:left w:w="28" w:type="dxa"/>
              <w:right w:w="28" w:type="dxa"/>
            </w:tcMar>
            <w:vAlign w:val="center"/>
          </w:tcPr>
          <w:p w14:paraId="396AB3CA">
            <w:pPr>
              <w:adjustRightInd w:val="0"/>
              <w:snapToGrid w:val="0"/>
              <w:jc w:val="center"/>
              <w:rPr>
                <w:rFonts w:hint="eastAsia" w:ascii="宋体" w:hAnsi="宋体" w:cs="宋体"/>
                <w:bCs/>
                <w:color w:val="auto"/>
                <w:szCs w:val="21"/>
                <w:highlight w:val="none"/>
              </w:rPr>
            </w:pPr>
            <w:r>
              <w:rPr>
                <w:rFonts w:hint="eastAsia" w:ascii="宋体" w:hAnsi="宋体" w:cs="宋体"/>
                <w:bCs/>
                <w:color w:val="auto"/>
                <w:szCs w:val="21"/>
                <w:highlight w:val="none"/>
              </w:rPr>
              <w:t>运营</w:t>
            </w:r>
          </w:p>
          <w:p w14:paraId="230C1027">
            <w:pPr>
              <w:adjustRightInd w:val="0"/>
              <w:snapToGrid w:val="0"/>
              <w:jc w:val="center"/>
              <w:rPr>
                <w:rFonts w:hint="eastAsia" w:ascii="宋体" w:hAnsi="宋体" w:cs="宋体"/>
                <w:bCs/>
                <w:color w:val="auto"/>
                <w:szCs w:val="21"/>
                <w:highlight w:val="none"/>
              </w:rPr>
            </w:pPr>
            <w:r>
              <w:rPr>
                <w:rFonts w:hint="eastAsia" w:ascii="宋体" w:hAnsi="宋体" w:cs="宋体"/>
                <w:bCs/>
                <w:color w:val="auto"/>
                <w:szCs w:val="21"/>
                <w:highlight w:val="none"/>
              </w:rPr>
              <w:t>期环</w:t>
            </w:r>
          </w:p>
          <w:p w14:paraId="48AD8C7C">
            <w:pPr>
              <w:adjustRightInd w:val="0"/>
              <w:snapToGrid w:val="0"/>
              <w:jc w:val="center"/>
              <w:rPr>
                <w:rFonts w:hint="eastAsia" w:ascii="宋体" w:hAnsi="宋体" w:cs="宋体"/>
                <w:bCs/>
                <w:color w:val="auto"/>
                <w:szCs w:val="21"/>
                <w:highlight w:val="none"/>
              </w:rPr>
            </w:pPr>
            <w:r>
              <w:rPr>
                <w:rFonts w:hint="eastAsia" w:ascii="宋体" w:hAnsi="宋体" w:cs="宋体"/>
                <w:bCs/>
                <w:color w:val="auto"/>
                <w:szCs w:val="21"/>
                <w:highlight w:val="none"/>
              </w:rPr>
              <w:t>境影</w:t>
            </w:r>
          </w:p>
          <w:p w14:paraId="343A490B">
            <w:pPr>
              <w:adjustRightInd w:val="0"/>
              <w:snapToGrid w:val="0"/>
              <w:jc w:val="center"/>
              <w:rPr>
                <w:rFonts w:hint="eastAsia" w:ascii="宋体" w:hAnsi="宋体" w:cs="宋体"/>
                <w:bCs/>
                <w:color w:val="auto"/>
                <w:szCs w:val="21"/>
                <w:highlight w:val="none"/>
              </w:rPr>
            </w:pPr>
            <w:r>
              <w:rPr>
                <w:rFonts w:hint="eastAsia" w:ascii="宋体" w:hAnsi="宋体" w:cs="宋体"/>
                <w:bCs/>
                <w:color w:val="auto"/>
                <w:szCs w:val="21"/>
                <w:highlight w:val="none"/>
              </w:rPr>
              <w:t>响和</w:t>
            </w:r>
          </w:p>
          <w:p w14:paraId="44E31BBC">
            <w:pPr>
              <w:adjustRightInd w:val="0"/>
              <w:snapToGrid w:val="0"/>
              <w:jc w:val="center"/>
              <w:rPr>
                <w:rFonts w:hint="eastAsia" w:ascii="宋体" w:hAnsi="宋体" w:cs="宋体"/>
                <w:bCs/>
                <w:color w:val="auto"/>
                <w:szCs w:val="21"/>
                <w:highlight w:val="none"/>
              </w:rPr>
            </w:pPr>
            <w:r>
              <w:rPr>
                <w:rFonts w:hint="eastAsia" w:ascii="宋体" w:hAnsi="宋体" w:cs="宋体"/>
                <w:bCs/>
                <w:color w:val="auto"/>
                <w:szCs w:val="21"/>
                <w:highlight w:val="none"/>
              </w:rPr>
              <w:t>保护</w:t>
            </w:r>
          </w:p>
          <w:p w14:paraId="3FF0E79F">
            <w:pPr>
              <w:adjustRightInd w:val="0"/>
              <w:snapToGrid w:val="0"/>
              <w:jc w:val="center"/>
              <w:rPr>
                <w:rFonts w:ascii="宋体" w:hAnsi="宋体" w:cs="宋体"/>
                <w:bCs/>
                <w:color w:val="FF0000"/>
                <w:szCs w:val="21"/>
                <w:highlight w:val="none"/>
              </w:rPr>
            </w:pPr>
            <w:r>
              <w:rPr>
                <w:rFonts w:hint="eastAsia" w:ascii="宋体" w:hAnsi="宋体" w:cs="宋体"/>
                <w:bCs/>
                <w:color w:val="auto"/>
                <w:szCs w:val="21"/>
                <w:highlight w:val="none"/>
              </w:rPr>
              <w:t>措施</w:t>
            </w:r>
          </w:p>
        </w:tc>
        <w:tc>
          <w:tcPr>
            <w:tcW w:w="9106" w:type="dxa"/>
            <w:noWrap w:val="0"/>
            <w:vAlign w:val="top"/>
          </w:tcPr>
          <w:p w14:paraId="0C0CC6C5">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cs="Times New Roman"/>
                <w:b/>
                <w:bCs/>
                <w:color w:val="auto"/>
                <w:kern w:val="0"/>
                <w:sz w:val="24"/>
                <w:szCs w:val="24"/>
                <w:highlight w:val="none"/>
                <w:lang w:eastAsia="zh-CN"/>
              </w:rPr>
              <w:t>（</w:t>
            </w:r>
            <w:r>
              <w:rPr>
                <w:rFonts w:hint="default" w:ascii="Times New Roman" w:hAnsi="Times New Roman" w:cs="Times New Roman"/>
                <w:b/>
                <w:bCs/>
                <w:color w:val="auto"/>
                <w:kern w:val="0"/>
                <w:sz w:val="24"/>
                <w:szCs w:val="24"/>
                <w:highlight w:val="none"/>
                <w:lang w:val="en-US" w:eastAsia="zh-CN"/>
              </w:rPr>
              <w:t>二</w:t>
            </w:r>
            <w:r>
              <w:rPr>
                <w:rFonts w:hint="default" w:ascii="Times New Roman" w:hAnsi="Times New Roman" w:cs="Times New Roman"/>
                <w:b/>
                <w:bCs/>
                <w:color w:val="auto"/>
                <w:kern w:val="0"/>
                <w:sz w:val="24"/>
                <w:szCs w:val="24"/>
                <w:highlight w:val="none"/>
                <w:lang w:eastAsia="zh-CN"/>
              </w:rPr>
              <w:t>）</w:t>
            </w:r>
            <w:r>
              <w:rPr>
                <w:rFonts w:hint="default" w:ascii="Times New Roman" w:hAnsi="Times New Roman" w:cs="Times New Roman"/>
                <w:b/>
                <w:bCs/>
                <w:color w:val="auto"/>
                <w:sz w:val="24"/>
                <w:szCs w:val="24"/>
                <w:highlight w:val="none"/>
                <w:lang w:val="en-US" w:eastAsia="zh-CN"/>
              </w:rPr>
              <w:t>各废气排放源详述</w:t>
            </w:r>
          </w:p>
          <w:p w14:paraId="69173F07">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cs="Times New Roman"/>
                <w:bCs/>
                <w:color w:val="auto"/>
                <w:spacing w:val="-10"/>
                <w:sz w:val="24"/>
                <w:szCs w:val="24"/>
                <w:highlight w:val="none"/>
                <w:lang w:val="en-US" w:eastAsia="zh-CN"/>
              </w:rPr>
            </w:pPr>
            <w:r>
              <w:rPr>
                <w:rFonts w:hint="default" w:ascii="Times New Roman" w:hAnsi="Times New Roman" w:cs="Times New Roman"/>
                <w:bCs/>
                <w:color w:val="auto"/>
                <w:spacing w:val="-10"/>
                <w:sz w:val="24"/>
                <w:szCs w:val="24"/>
                <w:highlight w:val="none"/>
                <w:lang w:val="en-US" w:eastAsia="zh-CN"/>
              </w:rPr>
              <w:t>1.锅炉烟气</w:t>
            </w:r>
          </w:p>
          <w:p w14:paraId="0ECE1186">
            <w:pPr>
              <w:pStyle w:val="16"/>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（1）源强核算</w:t>
            </w:r>
          </w:p>
          <w:p w14:paraId="227263B6">
            <w:pPr>
              <w:pStyle w:val="16"/>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cs="Times New Roman"/>
                <w:color w:val="FF0000"/>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项目设置2台5.6</w:t>
            </w:r>
            <w:r>
              <w:rPr>
                <w:rFonts w:hint="default" w:ascii="Times New Roman" w:hAnsi="Times New Roman" w:eastAsia="宋体" w:cs="Times New Roman"/>
                <w:b w:val="0"/>
                <w:bCs w:val="0"/>
                <w:color w:val="auto"/>
                <w:sz w:val="24"/>
                <w:szCs w:val="24"/>
                <w:highlight w:val="none"/>
                <w:lang w:val="en-US" w:eastAsia="zh-CN"/>
              </w:rPr>
              <w:t>MW生物质承压热水锅炉，1用1备，实际运行为1台，</w:t>
            </w:r>
            <w:r>
              <w:rPr>
                <w:rFonts w:hint="eastAsia" w:ascii="Times New Roman" w:hAnsi="Times New Roman" w:eastAsia="宋体" w:cs="Times New Roman"/>
                <w:b w:val="0"/>
                <w:bCs w:val="0"/>
                <w:color w:val="auto"/>
                <w:sz w:val="24"/>
                <w:szCs w:val="24"/>
                <w:highlight w:val="none"/>
                <w:lang w:val="en-US" w:eastAsia="zh-CN"/>
              </w:rPr>
              <w:t>燃料消耗量为6219t/a，锅炉运行时间3834h/a，锅炉烟气经“旋风多管陶瓷除尘器+布袋除尘器”环保措施处理后，</w:t>
            </w:r>
            <w:r>
              <w:rPr>
                <w:rFonts w:hint="eastAsia" w:cs="Times New Roman"/>
                <w:color w:val="auto"/>
                <w:sz w:val="24"/>
                <w:szCs w:val="24"/>
                <w:highlight w:val="none"/>
                <w:lang w:val="en-US" w:eastAsia="zh-CN"/>
              </w:rPr>
              <w:t>通过35m高烟囱（DA001）</w:t>
            </w:r>
            <w:r>
              <w:rPr>
                <w:rFonts w:hint="eastAsia"/>
                <w:color w:val="auto"/>
                <w:sz w:val="24"/>
                <w:szCs w:val="24"/>
                <w:highlight w:val="none"/>
                <w:lang w:val="en-US" w:eastAsia="zh-CN"/>
              </w:rPr>
              <w:t>排放</w:t>
            </w:r>
            <w:r>
              <w:rPr>
                <w:rFonts w:hint="eastAsia" w:ascii="Times New Roman" w:hAnsi="Times New Roman" w:cs="Times New Roman"/>
                <w:bCs/>
                <w:color w:val="auto"/>
                <w:spacing w:val="-10"/>
                <w:sz w:val="24"/>
                <w:szCs w:val="24"/>
                <w:highlight w:val="none"/>
                <w:lang w:val="en-US" w:eastAsia="zh-CN"/>
              </w:rPr>
              <w:t>。</w:t>
            </w:r>
            <w:r>
              <w:rPr>
                <w:rFonts w:hint="eastAsia"/>
                <w:color w:val="auto"/>
                <w:sz w:val="24"/>
                <w:szCs w:val="24"/>
                <w:highlight w:val="none"/>
                <w:lang w:val="en-US" w:eastAsia="zh-CN"/>
              </w:rPr>
              <w:t>根据《直接法测定固体</w:t>
            </w:r>
            <w:r>
              <w:rPr>
                <w:rFonts w:hint="default" w:ascii="Times New Roman" w:hAnsi="Times New Roman" w:cs="Times New Roman"/>
                <w:color w:val="auto"/>
                <w:sz w:val="24"/>
                <w:szCs w:val="24"/>
                <w:highlight w:val="none"/>
                <w:lang w:val="en-US" w:eastAsia="zh-CN"/>
              </w:rPr>
              <w:t>生物质燃料中汞的试验研究》</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煤质技术，2020年</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可知，生物质汞含量为15.47ng/g，由于生物质汞含量极低的特点，本项目不考虑汞的排放。因此不进行汞污染物污染源源强核算。</w:t>
            </w:r>
          </w:p>
          <w:p w14:paraId="65AB4AFD">
            <w:pPr>
              <w:pStyle w:val="16"/>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本次评价锅炉废气源强核算主要为</w:t>
            </w:r>
            <w:r>
              <w:rPr>
                <w:rFonts w:hint="eastAsia" w:eastAsia="宋体" w:cs="Times New Roman"/>
                <w:color w:val="auto"/>
                <w:kern w:val="2"/>
                <w:sz w:val="24"/>
                <w:szCs w:val="24"/>
                <w:highlight w:val="none"/>
                <w:lang w:val="en-US" w:eastAsia="zh-CN" w:bidi="ar-SA"/>
              </w:rPr>
              <w:t>烟气量、颗粒物、二氧化硫和氮氧化物，其中烟气量、颗粒物、二氧化硫参照《污染源源强核算技术指南 锅炉》（HJ991-2018）中的物料衡算法；氮氧化物无相关检测数据，不满足使用《污染源源强核算技术指南 锅炉》（HJ991-2018）中物料衡算法条件，因此本项目氮氧化物采用产排污系数法</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生物质成型颗粒</w:t>
            </w:r>
            <w:r>
              <w:rPr>
                <w:rFonts w:hint="default" w:ascii="Times New Roman" w:hAnsi="Times New Roman" w:eastAsia="宋体" w:cs="Times New Roman"/>
                <w:color w:val="auto"/>
                <w:kern w:val="2"/>
                <w:sz w:val="24"/>
                <w:szCs w:val="24"/>
                <w:highlight w:val="none"/>
                <w:lang w:val="en-US" w:eastAsia="zh-CN" w:bidi="ar-SA"/>
              </w:rPr>
              <w:t>燃料分析报告</w:t>
            </w:r>
            <w:r>
              <w:rPr>
                <w:rFonts w:hint="eastAsia" w:ascii="Times New Roman" w:hAnsi="Times New Roman" w:eastAsia="宋体" w:cs="Times New Roman"/>
                <w:color w:val="auto"/>
                <w:kern w:val="2"/>
                <w:sz w:val="24"/>
                <w:szCs w:val="24"/>
                <w:highlight w:val="none"/>
                <w:lang w:val="en-US" w:eastAsia="zh-CN" w:bidi="ar-SA"/>
              </w:rPr>
              <w:t>详</w:t>
            </w:r>
            <w:r>
              <w:rPr>
                <w:rFonts w:hint="default" w:ascii="Times New Roman" w:hAnsi="Times New Roman" w:eastAsia="宋体" w:cs="Times New Roman"/>
                <w:color w:val="auto"/>
                <w:kern w:val="2"/>
                <w:sz w:val="24"/>
                <w:szCs w:val="24"/>
                <w:highlight w:val="none"/>
                <w:lang w:val="en-US" w:eastAsia="zh-CN" w:bidi="ar-SA"/>
              </w:rPr>
              <w:t>见附件</w:t>
            </w:r>
            <w:r>
              <w:rPr>
                <w:rFonts w:hint="eastAsia" w:ascii="Times New Roman" w:hAnsi="Times New Roman" w:eastAsia="宋体" w:cs="Times New Roman"/>
                <w:color w:val="auto"/>
                <w:kern w:val="2"/>
                <w:sz w:val="24"/>
                <w:szCs w:val="24"/>
                <w:highlight w:val="none"/>
                <w:lang w:val="en-US" w:eastAsia="zh-CN" w:bidi="ar-SA"/>
              </w:rPr>
              <w:t>3</w:t>
            </w:r>
            <w:r>
              <w:rPr>
                <w:rFonts w:hint="eastAsia" w:ascii="Times New Roman" w:hAnsi="Times New Roman" w:cs="Times New Roman"/>
                <w:color w:val="auto"/>
                <w:sz w:val="24"/>
                <w:szCs w:val="24"/>
                <w:highlight w:val="none"/>
                <w:lang w:val="en-US" w:eastAsia="zh-CN"/>
              </w:rPr>
              <w:t>。</w:t>
            </w:r>
          </w:p>
          <w:p w14:paraId="11CE6D60">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eastAsia" w:ascii="Times New Roman" w:hAnsi="Times New Roman" w:cs="Times New Roman"/>
                <w:b w:val="0"/>
                <w:bCs w:val="0"/>
                <w:color w:val="auto"/>
                <w:kern w:val="0"/>
                <w:sz w:val="24"/>
                <w:szCs w:val="24"/>
                <w:highlight w:val="none"/>
                <w:lang w:val="en-US" w:eastAsia="zh-CN"/>
              </w:rPr>
              <w:t>①烟气量</w:t>
            </w:r>
          </w:p>
          <w:p w14:paraId="508790A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本项目烟气量的计算采用《污染源源强核算技术指南  锅炉》（HJ991—2018）中附录C.2、C.</w:t>
            </w:r>
            <w:r>
              <w:rPr>
                <w:rFonts w:hint="eastAsia" w:eastAsia="宋体" w:cs="Times New Roman"/>
                <w:color w:val="auto"/>
                <w:kern w:val="2"/>
                <w:sz w:val="24"/>
                <w:szCs w:val="24"/>
                <w:highlight w:val="none"/>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中的相应参数。烟气</w:t>
            </w:r>
            <w:r>
              <w:rPr>
                <w:rFonts w:hint="eastAsia" w:eastAsia="宋体" w:cs="Times New Roman"/>
                <w:color w:val="auto"/>
                <w:kern w:val="2"/>
                <w:sz w:val="24"/>
                <w:szCs w:val="24"/>
                <w:highlight w:val="none"/>
                <w:lang w:val="en-US" w:eastAsia="zh-CN" w:bidi="ar-SA"/>
              </w:rPr>
              <w:t>量</w:t>
            </w:r>
            <w:r>
              <w:rPr>
                <w:rFonts w:hint="default" w:ascii="Times New Roman" w:hAnsi="Times New Roman" w:eastAsia="宋体" w:cs="Times New Roman"/>
                <w:color w:val="auto"/>
                <w:kern w:val="2"/>
                <w:sz w:val="24"/>
                <w:szCs w:val="24"/>
                <w:highlight w:val="none"/>
                <w:lang w:val="en-US" w:eastAsia="zh-CN" w:bidi="ar-SA"/>
              </w:rPr>
              <w:t>采用有元素成分分析时理论空气量进行计算，公式如下</w:t>
            </w:r>
            <w:r>
              <w:rPr>
                <w:rFonts w:hint="eastAsia" w:eastAsia="宋体" w:cs="Times New Roman"/>
                <w:color w:val="auto"/>
                <w:kern w:val="2"/>
                <w:sz w:val="24"/>
                <w:szCs w:val="24"/>
                <w:highlight w:val="none"/>
                <w:lang w:val="en-US" w:eastAsia="zh-CN" w:bidi="ar-SA"/>
              </w:rPr>
              <w:t>所示：</w:t>
            </w:r>
          </w:p>
          <w:p w14:paraId="46B851F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position w:val="-10"/>
                <w:sz w:val="24"/>
                <w:szCs w:val="24"/>
                <w:highlight w:val="none"/>
                <w:lang w:eastAsia="zh-CN"/>
              </w:rPr>
            </w:pPr>
            <w:r>
              <w:rPr>
                <w:rFonts w:hint="default" w:ascii="Times New Roman" w:hAnsi="Times New Roman" w:eastAsia="宋体" w:cs="Times New Roman"/>
                <w:color w:val="auto"/>
                <w:position w:val="-10"/>
                <w:sz w:val="24"/>
                <w:szCs w:val="24"/>
                <w:highlight w:val="none"/>
              </w:rPr>
              <w:object>
                <v:shape id="_x0000_i1025" o:spt="75" type="#_x0000_t75" style="height:16pt;width:271.9pt;" o:ole="t" filled="f" o:preferrelative="t" stroked="f" coordsize="21600,21600">
                  <v:path/>
                  <v:fill on="f" focussize="0,0"/>
                  <v:stroke on="f"/>
                  <v:imagedata r:id="rId22" o:title=""/>
                  <o:lock v:ext="edit" aspectratio="t"/>
                  <w10:wrap type="none"/>
                  <w10:anchorlock/>
                </v:shape>
                <o:OLEObject Type="Embed" ProgID="Equation.KSEE3" ShapeID="_x0000_i1025" DrawAspect="Content" ObjectID="_1468075725" r:id="rId21">
                  <o:LockedField>false</o:LockedField>
                </o:OLEObject>
              </w:object>
            </w:r>
          </w:p>
          <w:p w14:paraId="737C6E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w:t>
            </w:r>
            <w:r>
              <w:rPr>
                <w:rFonts w:hint="default" w:ascii="Times New Roman" w:hAnsi="Times New Roman" w:eastAsia="宋体" w:cs="Times New Roman"/>
                <w:color w:val="auto"/>
                <w:position w:val="-12"/>
                <w:sz w:val="24"/>
                <w:szCs w:val="24"/>
                <w:highlight w:val="none"/>
              </w:rPr>
              <w:object>
                <v:shape id="_x0000_i1026" o:spt="75" type="#_x0000_t75" style="height:18pt;width:13pt;" o:ole="t" filled="f" o:preferrelative="t" stroked="f" coordsize="21600,21600">
                  <v:path/>
                  <v:fill on="f" focussize="0,0"/>
                  <v:stroke on="f"/>
                  <v:imagedata r:id="rId24" o:title=""/>
                  <o:lock v:ext="edit" aspectratio="t"/>
                  <w10:wrap type="none"/>
                  <w10:anchorlock/>
                </v:shape>
                <o:OLEObject Type="Embed" ProgID="Equation.KSEE3" ShapeID="_x0000_i1026" DrawAspect="Content" ObjectID="_1468075726" r:id="rId23">
                  <o:LockedField>false</o:LockedField>
                </o:OLEObject>
              </w:object>
            </w:r>
            <w:r>
              <w:rPr>
                <w:rFonts w:hint="eastAsia" w:ascii="Times New Roman" w:hAnsi="Times New Roman" w:eastAsia="宋体" w:cs="Times New Roman"/>
                <w:color w:val="auto"/>
                <w:sz w:val="24"/>
                <w:szCs w:val="24"/>
                <w:highlight w:val="none"/>
                <w:vertAlign w:val="baseline"/>
                <w:lang w:eastAsia="zh-CN"/>
              </w:rPr>
              <w:t>—</w:t>
            </w:r>
            <w:r>
              <w:rPr>
                <w:rFonts w:hint="eastAsia" w:ascii="Times New Roman" w:hAnsi="Times New Roman" w:eastAsia="宋体" w:cs="Times New Roman"/>
                <w:color w:val="auto"/>
                <w:sz w:val="24"/>
                <w:szCs w:val="24"/>
                <w:highlight w:val="none"/>
                <w:lang w:val="en-US" w:eastAsia="zh-CN"/>
              </w:rPr>
              <w:t>理论空气量</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/kg；</w:t>
            </w:r>
          </w:p>
          <w:p w14:paraId="449D3EAC">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position w:val="-12"/>
                <w:sz w:val="24"/>
                <w:szCs w:val="24"/>
                <w:highlight w:val="none"/>
              </w:rPr>
              <w:object>
                <v:shape id="_x0000_i1027" o:spt="75" type="#_x0000_t75" style="height:18pt;width:19pt;" o:ole="t" filled="f" o:preferrelative="t" stroked="f" coordsize="21600,21600">
                  <v:path/>
                  <v:fill on="f" focussize="0,0"/>
                  <v:stroke on="f"/>
                  <v:imagedata r:id="rId26" o:title=""/>
                  <o:lock v:ext="edit" aspectratio="t"/>
                  <w10:wrap type="none"/>
                  <w10:anchorlock/>
                </v:shape>
                <o:OLEObject Type="Embed" ProgID="Equation.KSEE3" ShapeID="_x0000_i1027" DrawAspect="Content" ObjectID="_1468075727" r:id="rId25">
                  <o:LockedField>false</o:LockedField>
                </o:OLEObject>
              </w:object>
            </w:r>
            <w:r>
              <w:rPr>
                <w:rFonts w:hint="eastAsia"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rPr>
              <w:t>收到基碳</w:t>
            </w:r>
            <w:r>
              <w:rPr>
                <w:rFonts w:hint="eastAsia" w:ascii="Times New Roman" w:hAnsi="Times New Roman" w:eastAsia="宋体" w:cs="Times New Roman"/>
                <w:color w:val="auto"/>
                <w:sz w:val="24"/>
                <w:szCs w:val="24"/>
                <w:highlight w:val="none"/>
                <w:lang w:val="en-US" w:eastAsia="zh-CN"/>
              </w:rPr>
              <w:t>的质量分数</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42.28</w:t>
            </w:r>
            <w:r>
              <w:rPr>
                <w:rFonts w:hint="default" w:ascii="Times New Roman" w:hAnsi="Times New Roman" w:eastAsia="宋体" w:cs="Times New Roman"/>
                <w:color w:val="auto"/>
                <w:sz w:val="24"/>
                <w:szCs w:val="24"/>
                <w:highlight w:val="none"/>
              </w:rPr>
              <w:t>%；</w:t>
            </w:r>
          </w:p>
          <w:p w14:paraId="2CE21C6E">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position w:val="-12"/>
                <w:sz w:val="24"/>
                <w:szCs w:val="24"/>
                <w:highlight w:val="none"/>
              </w:rPr>
              <w:object>
                <v:shape id="_x0000_i1028" o:spt="75" type="#_x0000_t75" style="height:18pt;width:17pt;" o:ole="t" filled="f" o:preferrelative="t" stroked="f" coordsize="21600,21600">
                  <v:path/>
                  <v:fill on="f" focussize="0,0"/>
                  <v:stroke on="f"/>
                  <v:imagedata r:id="rId28" o:title=""/>
                  <o:lock v:ext="edit" aspectratio="t"/>
                  <w10:wrap type="none"/>
                  <w10:anchorlock/>
                </v:shape>
                <o:OLEObject Type="Embed" ProgID="Equation.KSEE3" ShapeID="_x0000_i1028" DrawAspect="Content" ObjectID="_1468075728" r:id="rId27">
                  <o:LockedField>false</o:LockedField>
                </o:OLEObject>
              </w:object>
            </w:r>
            <w:r>
              <w:rPr>
                <w:rFonts w:hint="eastAsia"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rPr>
              <w:t>收到基硫</w:t>
            </w:r>
            <w:r>
              <w:rPr>
                <w:rFonts w:hint="eastAsia" w:ascii="Times New Roman" w:hAnsi="Times New Roman" w:eastAsia="宋体" w:cs="Times New Roman"/>
                <w:color w:val="auto"/>
                <w:sz w:val="24"/>
                <w:szCs w:val="24"/>
                <w:highlight w:val="none"/>
                <w:lang w:val="en-US" w:eastAsia="zh-CN"/>
              </w:rPr>
              <w:t>的质量分数</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0.07</w:t>
            </w:r>
            <w:r>
              <w:rPr>
                <w:rFonts w:hint="default" w:ascii="Times New Roman" w:hAnsi="Times New Roman" w:eastAsia="宋体" w:cs="Times New Roman"/>
                <w:color w:val="auto"/>
                <w:sz w:val="24"/>
                <w:szCs w:val="24"/>
                <w:highlight w:val="none"/>
              </w:rPr>
              <w:t>%；</w:t>
            </w:r>
          </w:p>
          <w:p w14:paraId="066F5F12">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position w:val="-12"/>
                <w:sz w:val="24"/>
                <w:szCs w:val="24"/>
                <w:highlight w:val="none"/>
              </w:rPr>
              <w:object>
                <v:shape id="_x0000_i1029" o:spt="75" type="#_x0000_t75" style="height:18pt;width:21pt;" o:ole="t" filled="f" o:preferrelative="t" stroked="f" coordsize="21600,21600">
                  <v:path/>
                  <v:fill on="f" focussize="0,0"/>
                  <v:stroke on="f"/>
                  <v:imagedata r:id="rId30" o:title=""/>
                  <o:lock v:ext="edit" aspectratio="t"/>
                  <w10:wrap type="none"/>
                  <w10:anchorlock/>
                </v:shape>
                <o:OLEObject Type="Embed" ProgID="Equation.KSEE3" ShapeID="_x0000_i1029" DrawAspect="Content" ObjectID="_1468075729" r:id="rId29">
                  <o:LockedField>false</o:LockedField>
                </o:OLEObject>
              </w:object>
            </w:r>
            <w:r>
              <w:rPr>
                <w:rFonts w:hint="eastAsia"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rPr>
              <w:t>收到基氢</w:t>
            </w:r>
            <w:r>
              <w:rPr>
                <w:rFonts w:hint="eastAsia" w:ascii="Times New Roman" w:hAnsi="Times New Roman" w:eastAsia="宋体" w:cs="Times New Roman"/>
                <w:color w:val="auto"/>
                <w:sz w:val="24"/>
                <w:szCs w:val="24"/>
                <w:highlight w:val="none"/>
                <w:lang w:val="en-US" w:eastAsia="zh-CN"/>
              </w:rPr>
              <w:t>的质量分数</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4.4</w:t>
            </w:r>
            <w:r>
              <w:rPr>
                <w:rFonts w:hint="eastAsia"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rPr>
              <w:t>%；</w:t>
            </w:r>
          </w:p>
          <w:p w14:paraId="7F7D76BD">
            <w:pPr>
              <w:pStyle w:val="16"/>
              <w:keepNext w:val="0"/>
              <w:keepLines w:val="0"/>
              <w:pageBreakBefore w:val="0"/>
              <w:widowControl w:val="0"/>
              <w:kinsoku/>
              <w:wordWrap/>
              <w:overflowPunct/>
              <w:topLinePunct w:val="0"/>
              <w:autoSpaceDE/>
              <w:autoSpaceDN/>
              <w:bidi w:val="0"/>
              <w:adjustRightInd/>
              <w:snapToGrid/>
              <w:spacing w:line="360" w:lineRule="auto"/>
              <w:ind w:left="0" w:leftChars="0" w:firstLine="1200" w:firstLineChars="500"/>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position w:val="-12"/>
                <w:sz w:val="24"/>
                <w:szCs w:val="24"/>
                <w:highlight w:val="none"/>
              </w:rPr>
              <w:object>
                <v:shape id="_x0000_i1030" o:spt="75" type="#_x0000_t75" style="height:18pt;width:19pt;" o:ole="t" filled="f" o:preferrelative="t" stroked="f" coordsize="21600,21600">
                  <v:path/>
                  <v:fill on="f" focussize="0,0"/>
                  <v:stroke on="f"/>
                  <v:imagedata r:id="rId32" o:title=""/>
                  <o:lock v:ext="edit" aspectratio="t"/>
                  <w10:wrap type="none"/>
                  <w10:anchorlock/>
                </v:shape>
                <o:OLEObject Type="Embed" ProgID="Equation.KSEE3" ShapeID="_x0000_i1030" DrawAspect="Content" ObjectID="_1468075730" r:id="rId31">
                  <o:LockedField>false</o:LockedField>
                </o:OLEObject>
              </w:object>
            </w:r>
            <w:r>
              <w:rPr>
                <w:rFonts w:hint="eastAsia"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rPr>
              <w:t>收到基氧</w:t>
            </w:r>
            <w:r>
              <w:rPr>
                <w:rFonts w:hint="eastAsia" w:ascii="Times New Roman" w:hAnsi="Times New Roman" w:eastAsia="宋体" w:cs="Times New Roman"/>
                <w:color w:val="auto"/>
                <w:sz w:val="24"/>
                <w:szCs w:val="24"/>
                <w:highlight w:val="none"/>
                <w:lang w:val="en-US" w:eastAsia="zh-CN"/>
              </w:rPr>
              <w:t>的质量分数</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3</w:t>
            </w:r>
            <w:r>
              <w:rPr>
                <w:rFonts w:hint="eastAsia" w:cs="Times New Roman"/>
                <w:color w:val="auto"/>
                <w:sz w:val="24"/>
                <w:szCs w:val="24"/>
                <w:highlight w:val="none"/>
                <w:lang w:val="en-US" w:eastAsia="zh-CN"/>
              </w:rPr>
              <w:t>4</w:t>
            </w:r>
            <w:r>
              <w:rPr>
                <w:rFonts w:hint="eastAsia"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93</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eastAsia="zh-CN"/>
              </w:rPr>
              <w:t>；</w:t>
            </w:r>
          </w:p>
          <w:p w14:paraId="6CEEC3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锅炉中实际燃烧过程是在过量空气系数α＞1的条件下进行的，1kg固体或液体燃料产生的烟气排放量可用下式计算：</w:t>
            </w:r>
          </w:p>
          <w:p w14:paraId="0A7A81F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宋体" w:cs="Times New Roman"/>
                <w:color w:val="auto"/>
                <w:position w:val="-24"/>
                <w:sz w:val="24"/>
                <w:szCs w:val="24"/>
                <w:highlight w:val="none"/>
                <w:lang w:eastAsia="zh-CN"/>
              </w:rPr>
            </w:pPr>
            <w:r>
              <w:rPr>
                <w:rFonts w:hint="eastAsia" w:ascii="Times New Roman" w:hAnsi="Times New Roman" w:eastAsia="宋体" w:cs="Times New Roman"/>
                <w:color w:val="auto"/>
                <w:position w:val="-24"/>
                <w:sz w:val="24"/>
                <w:szCs w:val="24"/>
                <w:highlight w:val="none"/>
                <w:lang w:eastAsia="zh-CN"/>
              </w:rPr>
              <w:object>
                <v:shape id="_x0000_i1031" o:spt="75" type="#_x0000_t75" style="height:31pt;width:216.3pt;" o:ole="t" filled="f" o:preferrelative="t" stroked="f" coordsize="21600,21600">
                  <v:path/>
                  <v:fill on="f" focussize="0,0"/>
                  <v:stroke on="f"/>
                  <v:imagedata r:id="rId34" o:title=""/>
                  <o:lock v:ext="edit" aspectratio="t"/>
                  <w10:wrap type="none"/>
                  <w10:anchorlock/>
                </v:shape>
                <o:OLEObject Type="Embed" ProgID="Equation.KSEE3" ShapeID="_x0000_i1031" DrawAspect="Content" ObjectID="_1468075731" r:id="rId33">
                  <o:LockedField>false</o:LockedField>
                </o:OLEObject>
              </w:object>
            </w:r>
          </w:p>
          <w:p w14:paraId="279FB9A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宋体" w:cs="Times New Roman"/>
                <w:color w:val="auto"/>
                <w:position w:val="-24"/>
                <w:sz w:val="24"/>
                <w:szCs w:val="24"/>
                <w:highlight w:val="none"/>
                <w:lang w:eastAsia="zh-CN"/>
              </w:rPr>
            </w:pPr>
            <w:r>
              <w:rPr>
                <w:rFonts w:hint="eastAsia" w:ascii="Times New Roman" w:hAnsi="Times New Roman" w:eastAsia="宋体" w:cs="Times New Roman"/>
                <w:color w:val="auto"/>
                <w:position w:val="-24"/>
                <w:sz w:val="24"/>
                <w:szCs w:val="24"/>
                <w:highlight w:val="none"/>
                <w:lang w:eastAsia="zh-CN"/>
              </w:rPr>
              <w:object>
                <v:shape id="_x0000_i1032" o:spt="75" type="#_x0000_t75" style="height:31pt;width:131.25pt;" o:ole="t" filled="f" o:preferrelative="t" stroked="f" coordsize="21600,21600">
                  <v:path/>
                  <v:fill on="f" focussize="0,0"/>
                  <v:stroke on="f"/>
                  <v:imagedata r:id="rId36" o:title=""/>
                  <o:lock v:ext="edit" aspectratio="t"/>
                  <w10:wrap type="none"/>
                  <w10:anchorlock/>
                </v:shape>
                <o:OLEObject Type="Embed" ProgID="Equation.KSEE3" ShapeID="_x0000_i1032" DrawAspect="Content" ObjectID="_1468075732" r:id="rId35">
                  <o:LockedField>false</o:LockedField>
                </o:OLEObject>
              </w:object>
            </w:r>
          </w:p>
          <w:p w14:paraId="493BAC5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宋体" w:cs="Times New Roman"/>
                <w:color w:val="auto"/>
                <w:position w:val="-24"/>
                <w:sz w:val="24"/>
                <w:szCs w:val="24"/>
                <w:highlight w:val="none"/>
                <w:lang w:eastAsia="zh-CN"/>
              </w:rPr>
            </w:pPr>
            <w:r>
              <w:rPr>
                <w:rFonts w:hint="eastAsia" w:ascii="Times New Roman" w:hAnsi="Times New Roman" w:eastAsia="宋体" w:cs="Times New Roman"/>
                <w:color w:val="auto"/>
                <w:position w:val="-14"/>
                <w:sz w:val="24"/>
                <w:szCs w:val="24"/>
                <w:highlight w:val="none"/>
                <w:lang w:eastAsia="zh-CN"/>
              </w:rPr>
              <w:object>
                <v:shape id="_x0000_i1033" o:spt="75" type="#_x0000_t75" style="height:19pt;width:154.45pt;" o:ole="t" filled="f" o:preferrelative="t" stroked="f" coordsize="21600,21600">
                  <v:path/>
                  <v:fill on="f" focussize="0,0"/>
                  <v:stroke on="f"/>
                  <v:imagedata r:id="rId38" o:title=""/>
                  <o:lock v:ext="edit" aspectratio="t"/>
                  <w10:wrap type="none"/>
                  <w10:anchorlock/>
                </v:shape>
                <o:OLEObject Type="Embed" ProgID="Equation.KSEE3" ShapeID="_x0000_i1033" DrawAspect="Content" ObjectID="_1468075733" r:id="rId37">
                  <o:LockedField>false</o:LockedField>
                </o:OLEObject>
              </w:object>
            </w:r>
          </w:p>
          <w:p w14:paraId="6AFE6C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w:t>
            </w:r>
            <w:r>
              <w:rPr>
                <w:rFonts w:hint="default" w:ascii="Times New Roman" w:hAnsi="Times New Roman" w:eastAsia="宋体" w:cs="Times New Roman"/>
                <w:color w:val="auto"/>
                <w:position w:val="-12"/>
                <w:sz w:val="24"/>
                <w:szCs w:val="24"/>
                <w:highlight w:val="none"/>
              </w:rPr>
              <w:object>
                <v:shape id="_x0000_i1034" o:spt="75" type="#_x0000_t75" style="height:18pt;width:13pt;" o:ole="t" filled="f" o:preferrelative="t" stroked="f" coordsize="21600,21600">
                  <v:path/>
                  <v:fill on="f" focussize="0,0"/>
                  <v:stroke on="f"/>
                  <v:imagedata r:id="rId24" o:title=""/>
                  <o:lock v:ext="edit" aspectratio="t"/>
                  <w10:wrap type="none"/>
                  <w10:anchorlock/>
                </v:shape>
                <o:OLEObject Type="Embed" ProgID="Equation.KSEE3" ShapeID="_x0000_i1034" DrawAspect="Content" ObjectID="_1468075734" r:id="rId39">
                  <o:LockedField>false</o:LockedField>
                </o:OLEObject>
              </w:object>
            </w:r>
            <w:r>
              <w:rPr>
                <w:rFonts w:hint="eastAsia" w:ascii="Times New Roman" w:hAnsi="Times New Roman" w:eastAsia="宋体" w:cs="Times New Roman"/>
                <w:color w:val="auto"/>
                <w:sz w:val="24"/>
                <w:szCs w:val="24"/>
                <w:highlight w:val="none"/>
                <w:vertAlign w:val="baseline"/>
                <w:lang w:eastAsia="zh-CN"/>
              </w:rPr>
              <w:t>—</w:t>
            </w:r>
            <w:r>
              <w:rPr>
                <w:rFonts w:hint="eastAsia" w:ascii="Times New Roman" w:hAnsi="Times New Roman" w:eastAsia="宋体" w:cs="Times New Roman"/>
                <w:color w:val="auto"/>
                <w:sz w:val="24"/>
                <w:szCs w:val="24"/>
                <w:highlight w:val="none"/>
                <w:lang w:val="en-US" w:eastAsia="zh-CN"/>
              </w:rPr>
              <w:t>理论空气量</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/kg；</w:t>
            </w:r>
          </w:p>
          <w:p w14:paraId="6CAB3CE7">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position w:val="-14"/>
                <w:sz w:val="24"/>
                <w:szCs w:val="24"/>
                <w:highlight w:val="none"/>
                <w:lang w:eastAsia="zh-CN"/>
              </w:rPr>
              <w:object>
                <v:shape id="_x0000_i1035" o:spt="75" type="#_x0000_t75" style="height:19pt;width:23pt;" o:ole="t" filled="f" o:preferrelative="t" stroked="f" coordsize="21600,21600">
                  <v:path/>
                  <v:fill on="f" focussize="0,0"/>
                  <v:stroke on="f"/>
                  <v:imagedata r:id="rId41" o:title=""/>
                  <o:lock v:ext="edit" aspectratio="t"/>
                  <w10:wrap type="none"/>
                  <w10:anchorlock/>
                </v:shape>
                <o:OLEObject Type="Embed" ProgID="Equation.KSEE3" ShapeID="_x0000_i1035" DrawAspect="Content" ObjectID="_1468075735" r:id="rId40">
                  <o:LockedField>false</o:LockedField>
                </o:OLEObject>
              </w:object>
            </w:r>
            <w:r>
              <w:rPr>
                <w:rFonts w:hint="eastAsia" w:ascii="Times New Roman" w:hAnsi="Times New Roman" w:eastAsia="宋体" w:cs="Times New Roman"/>
                <w:color w:val="auto"/>
                <w:sz w:val="24"/>
                <w:szCs w:val="24"/>
                <w:highlight w:val="none"/>
                <w:vertAlign w:val="baseline"/>
                <w:lang w:eastAsia="zh-CN"/>
              </w:rPr>
              <w:t>—烟气中二氧化碳（</w:t>
            </w:r>
            <w:r>
              <w:rPr>
                <w:rFonts w:hint="eastAsia" w:ascii="Times New Roman" w:hAnsi="Times New Roman" w:eastAsia="宋体" w:cs="Times New Roman"/>
                <w:color w:val="auto"/>
                <w:position w:val="-14"/>
                <w:sz w:val="24"/>
                <w:szCs w:val="24"/>
                <w:highlight w:val="none"/>
                <w:vertAlign w:val="baseline"/>
                <w:lang w:eastAsia="zh-CN"/>
              </w:rPr>
              <w:object>
                <v:shape id="_x0000_i1036" o:spt="75" type="#_x0000_t75" style="height:19pt;width:23pt;" o:ole="t" filled="f" o:preferrelative="t" stroked="f" coordsize="21600,21600">
                  <v:path/>
                  <v:fill on="f" focussize="0,0"/>
                  <v:stroke on="f"/>
                  <v:imagedata r:id="rId43" o:title=""/>
                  <o:lock v:ext="edit" aspectratio="t"/>
                  <w10:wrap type="none"/>
                  <w10:anchorlock/>
                </v:shape>
                <o:OLEObject Type="Embed" ProgID="Equation.KSEE3" ShapeID="_x0000_i1036" DrawAspect="Content" ObjectID="_1468075736" r:id="rId42">
                  <o:LockedField>false</o:LockedField>
                </o:OLEObject>
              </w:object>
            </w:r>
            <w:r>
              <w:rPr>
                <w:rFonts w:hint="eastAsia" w:ascii="Times New Roman" w:hAnsi="Times New Roman" w:eastAsia="宋体" w:cs="Times New Roman"/>
                <w:color w:val="auto"/>
                <w:sz w:val="24"/>
                <w:szCs w:val="24"/>
                <w:highlight w:val="none"/>
                <w:vertAlign w:val="baseline"/>
                <w:lang w:eastAsia="zh-CN"/>
              </w:rPr>
              <w:t>）和二氧化硫（</w:t>
            </w:r>
            <w:r>
              <w:rPr>
                <w:rFonts w:hint="eastAsia" w:ascii="Times New Roman" w:hAnsi="Times New Roman" w:eastAsia="宋体" w:cs="Times New Roman"/>
                <w:color w:val="auto"/>
                <w:position w:val="-14"/>
                <w:sz w:val="24"/>
                <w:szCs w:val="24"/>
                <w:highlight w:val="none"/>
                <w:vertAlign w:val="baseline"/>
                <w:lang w:eastAsia="zh-CN"/>
              </w:rPr>
              <w:object>
                <v:shape id="_x0000_i1037" o:spt="75" type="#_x0000_t75" style="height:19pt;width:22pt;" o:ole="t" filled="f" o:preferrelative="t" stroked="f" coordsize="21600,21600">
                  <v:path/>
                  <v:fill on="f" focussize="0,0"/>
                  <v:stroke on="f"/>
                  <v:imagedata r:id="rId45" o:title=""/>
                  <o:lock v:ext="edit" aspectratio="t"/>
                  <w10:wrap type="none"/>
                  <w10:anchorlock/>
                </v:shape>
                <o:OLEObject Type="Embed" ProgID="Equation.KSEE3" ShapeID="_x0000_i1037" DrawAspect="Content" ObjectID="_1468075737" r:id="rId44">
                  <o:LockedField>false</o:LockedField>
                </o:OLEObject>
              </w:object>
            </w:r>
            <w:r>
              <w:rPr>
                <w:rFonts w:hint="eastAsia" w:ascii="Times New Roman" w:hAnsi="Times New Roman" w:eastAsia="宋体" w:cs="Times New Roman"/>
                <w:color w:val="auto"/>
                <w:sz w:val="24"/>
                <w:szCs w:val="24"/>
                <w:highlight w:val="none"/>
                <w:vertAlign w:val="baseline"/>
                <w:lang w:eastAsia="zh-CN"/>
              </w:rPr>
              <w:t>）容积之和，m</w:t>
            </w:r>
            <w:r>
              <w:rPr>
                <w:rFonts w:hint="eastAsia" w:ascii="Times New Roman" w:hAnsi="Times New Roman" w:eastAsia="宋体" w:cs="Times New Roman"/>
                <w:color w:val="auto"/>
                <w:sz w:val="24"/>
                <w:szCs w:val="24"/>
                <w:highlight w:val="none"/>
                <w:vertAlign w:val="superscript"/>
                <w:lang w:eastAsia="zh-CN"/>
              </w:rPr>
              <w:t>3</w:t>
            </w:r>
            <w:r>
              <w:rPr>
                <w:rFonts w:hint="eastAsia" w:ascii="Times New Roman" w:hAnsi="Times New Roman" w:eastAsia="宋体" w:cs="Times New Roman"/>
                <w:color w:val="auto"/>
                <w:sz w:val="24"/>
                <w:szCs w:val="24"/>
                <w:highlight w:val="none"/>
                <w:vertAlign w:val="baseline"/>
                <w:lang w:val="en-US" w:eastAsia="zh-CN"/>
              </w:rPr>
              <w:t>/</w:t>
            </w:r>
            <w:r>
              <w:rPr>
                <w:rFonts w:hint="eastAsia" w:ascii="Times New Roman" w:hAnsi="Times New Roman" w:eastAsia="宋体" w:cs="Times New Roman"/>
                <w:color w:val="auto"/>
                <w:sz w:val="24"/>
                <w:szCs w:val="24"/>
                <w:highlight w:val="none"/>
                <w:vertAlign w:val="baseline"/>
                <w:lang w:eastAsia="zh-CN"/>
              </w:rPr>
              <w:t>kg；</w:t>
            </w:r>
          </w:p>
          <w:p w14:paraId="05088F90">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eastAsia" w:ascii="Times New Roman" w:hAnsi="Times New Roman" w:eastAsia="宋体" w:cs="Times New Roman"/>
                <w:color w:val="auto"/>
                <w:sz w:val="24"/>
                <w:szCs w:val="24"/>
                <w:highlight w:val="none"/>
                <w:vertAlign w:val="baseline"/>
                <w:lang w:eastAsia="zh-CN"/>
              </w:rPr>
            </w:pPr>
            <w:r>
              <w:rPr>
                <w:rFonts w:hint="eastAsia" w:ascii="Times New Roman" w:hAnsi="Times New Roman" w:eastAsia="宋体" w:cs="Times New Roman"/>
                <w:color w:val="auto"/>
                <w:position w:val="-14"/>
                <w:sz w:val="24"/>
                <w:szCs w:val="24"/>
                <w:highlight w:val="none"/>
                <w:vertAlign w:val="baseline"/>
                <w:lang w:eastAsia="zh-CN"/>
              </w:rPr>
              <w:object>
                <v:shape id="_x0000_i1038" o:spt="75" type="#_x0000_t75" style="height:19pt;width:19pt;" o:ole="t" filled="f" o:preferrelative="t" stroked="f" coordsize="21600,21600">
                  <v:path/>
                  <v:fill on="f" focussize="0,0"/>
                  <v:stroke on="f"/>
                  <v:imagedata r:id="rId47" o:title=""/>
                  <o:lock v:ext="edit" aspectratio="t"/>
                  <w10:wrap type="none"/>
                  <w10:anchorlock/>
                </v:shape>
                <o:OLEObject Type="Embed" ProgID="Equation.KSEE3" ShapeID="_x0000_i1038" DrawAspect="Content" ObjectID="_1468075738" r:id="rId46">
                  <o:LockedField>false</o:LockedField>
                </o:OLEObject>
              </w:object>
            </w:r>
            <w:r>
              <w:rPr>
                <w:rFonts w:hint="eastAsia" w:ascii="Times New Roman" w:hAnsi="Times New Roman" w:eastAsia="宋体" w:cs="Times New Roman"/>
                <w:color w:val="auto"/>
                <w:sz w:val="24"/>
                <w:szCs w:val="24"/>
                <w:highlight w:val="none"/>
                <w:vertAlign w:val="baseline"/>
                <w:lang w:eastAsia="zh-CN"/>
              </w:rPr>
              <w:t>—烟气中氮气量，m</w:t>
            </w:r>
            <w:r>
              <w:rPr>
                <w:rFonts w:hint="eastAsia"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vertAlign w:val="baseline"/>
                <w:lang w:eastAsia="zh-CN"/>
              </w:rPr>
              <w:t>/kg；</w:t>
            </w:r>
          </w:p>
          <w:p w14:paraId="77E63EE9">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eastAsia" w:ascii="Times New Roman" w:hAnsi="Times New Roman" w:eastAsia="宋体" w:cs="Times New Roman"/>
                <w:color w:val="auto"/>
                <w:sz w:val="24"/>
                <w:szCs w:val="24"/>
                <w:highlight w:val="none"/>
                <w:vertAlign w:val="baseline"/>
                <w:lang w:eastAsia="zh-CN"/>
              </w:rPr>
            </w:pPr>
            <w:r>
              <w:rPr>
                <w:rFonts w:hint="eastAsia" w:ascii="Times New Roman" w:hAnsi="Times New Roman" w:eastAsia="宋体" w:cs="Times New Roman"/>
                <w:color w:val="auto"/>
                <w:position w:val="-12"/>
                <w:sz w:val="24"/>
                <w:szCs w:val="24"/>
                <w:highlight w:val="none"/>
                <w:vertAlign w:val="baseline"/>
                <w:lang w:eastAsia="zh-CN"/>
              </w:rPr>
              <w:object>
                <v:shape id="_x0000_i1039" o:spt="75" type="#_x0000_t75" style="height:18pt;width:20pt;" o:ole="t" filled="f" o:preferrelative="t" stroked="f" coordsize="21600,21600">
                  <v:path/>
                  <v:fill on="f" focussize="0,0"/>
                  <v:stroke on="f"/>
                  <v:imagedata r:id="rId49" o:title=""/>
                  <o:lock v:ext="edit" aspectratio="t"/>
                  <w10:wrap type="none"/>
                  <w10:anchorlock/>
                </v:shape>
                <o:OLEObject Type="Embed" ProgID="Equation.KSEE3" ShapeID="_x0000_i1039" DrawAspect="Content" ObjectID="_1468075739" r:id="rId48">
                  <o:LockedField>false</o:LockedField>
                </o:OLEObject>
              </w:object>
            </w:r>
            <w:r>
              <w:rPr>
                <w:rFonts w:hint="eastAsia" w:ascii="Times New Roman" w:hAnsi="Times New Roman" w:eastAsia="宋体" w:cs="Times New Roman"/>
                <w:color w:val="auto"/>
                <w:sz w:val="24"/>
                <w:szCs w:val="24"/>
                <w:highlight w:val="none"/>
                <w:vertAlign w:val="baseline"/>
                <w:lang w:eastAsia="zh-CN"/>
              </w:rPr>
              <w:t>—收到基氮的质量分数，</w:t>
            </w:r>
            <w:r>
              <w:rPr>
                <w:rFonts w:hint="eastAsia" w:ascii="Times New Roman" w:hAnsi="Times New Roman" w:eastAsia="宋体" w:cs="Times New Roman"/>
                <w:color w:val="auto"/>
                <w:sz w:val="24"/>
                <w:szCs w:val="24"/>
                <w:highlight w:val="none"/>
                <w:vertAlign w:val="baseline"/>
                <w:lang w:val="en-US" w:eastAsia="zh-CN"/>
              </w:rPr>
              <w:t>0.</w:t>
            </w:r>
            <w:r>
              <w:rPr>
                <w:rFonts w:hint="eastAsia" w:cs="Times New Roman"/>
                <w:color w:val="auto"/>
                <w:sz w:val="24"/>
                <w:szCs w:val="24"/>
                <w:highlight w:val="none"/>
                <w:vertAlign w:val="baseline"/>
                <w:lang w:val="en-US" w:eastAsia="zh-CN"/>
              </w:rPr>
              <w:t>28</w:t>
            </w:r>
            <w:r>
              <w:rPr>
                <w:rFonts w:hint="eastAsia" w:ascii="Times New Roman" w:hAnsi="Times New Roman" w:eastAsia="宋体" w:cs="Times New Roman"/>
                <w:color w:val="auto"/>
                <w:sz w:val="24"/>
                <w:szCs w:val="24"/>
                <w:highlight w:val="none"/>
                <w:vertAlign w:val="baseline"/>
                <w:lang w:eastAsia="zh-CN"/>
              </w:rPr>
              <w:t>%；</w:t>
            </w:r>
          </w:p>
          <w:p w14:paraId="1C3BA072">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eastAsia" w:ascii="Times New Roman" w:hAnsi="Times New Roman" w:eastAsia="宋体" w:cs="Times New Roman"/>
                <w:color w:val="auto"/>
                <w:sz w:val="24"/>
                <w:szCs w:val="24"/>
                <w:highlight w:val="none"/>
                <w:vertAlign w:val="baseline"/>
                <w:lang w:eastAsia="zh-CN"/>
              </w:rPr>
            </w:pPr>
            <w:r>
              <w:rPr>
                <w:rFonts w:hint="eastAsia" w:ascii="Times New Roman" w:hAnsi="Times New Roman" w:eastAsia="宋体" w:cs="Times New Roman"/>
                <w:color w:val="auto"/>
                <w:position w:val="-14"/>
                <w:sz w:val="24"/>
                <w:szCs w:val="24"/>
                <w:highlight w:val="none"/>
                <w:vertAlign w:val="baseline"/>
                <w:lang w:eastAsia="zh-CN"/>
              </w:rPr>
              <w:object>
                <v:shape id="_x0000_i1040" o:spt="75" type="#_x0000_t75" style="height:19pt;width:13.95pt;" o:ole="t" filled="f" o:preferrelative="t" stroked="f" coordsize="21600,21600">
                  <v:path/>
                  <v:fill on="f" focussize="0,0"/>
                  <v:stroke on="f"/>
                  <v:imagedata r:id="rId51" o:title=""/>
                  <o:lock v:ext="edit" aspectratio="t"/>
                  <w10:wrap type="none"/>
                  <w10:anchorlock/>
                </v:shape>
                <o:OLEObject Type="Embed" ProgID="Equation.KSEE3" ShapeID="_x0000_i1040" DrawAspect="Content" ObjectID="_1468075740" r:id="rId50">
                  <o:LockedField>false</o:LockedField>
                </o:OLEObject>
              </w:object>
            </w:r>
            <w:r>
              <w:rPr>
                <w:rFonts w:hint="eastAsia" w:ascii="Times New Roman" w:hAnsi="Times New Roman" w:eastAsia="宋体" w:cs="Times New Roman"/>
                <w:color w:val="auto"/>
                <w:sz w:val="24"/>
                <w:szCs w:val="24"/>
                <w:highlight w:val="none"/>
                <w:vertAlign w:val="baseline"/>
                <w:lang w:eastAsia="zh-CN"/>
              </w:rPr>
              <w:t>—干烟气排放量，m</w:t>
            </w:r>
            <w:r>
              <w:rPr>
                <w:rFonts w:hint="eastAsia" w:ascii="Times New Roman" w:hAnsi="Times New Roman" w:eastAsia="宋体" w:cs="Times New Roman"/>
                <w:color w:val="auto"/>
                <w:sz w:val="24"/>
                <w:szCs w:val="24"/>
                <w:highlight w:val="none"/>
                <w:vertAlign w:val="superscript"/>
                <w:lang w:eastAsia="zh-CN"/>
              </w:rPr>
              <w:t>3</w:t>
            </w:r>
            <w:r>
              <w:rPr>
                <w:rFonts w:hint="eastAsia" w:ascii="Times New Roman" w:hAnsi="Times New Roman" w:eastAsia="宋体" w:cs="Times New Roman"/>
                <w:color w:val="auto"/>
                <w:sz w:val="24"/>
                <w:szCs w:val="24"/>
                <w:highlight w:val="none"/>
                <w:vertAlign w:val="baseline"/>
                <w:lang w:val="en-US" w:eastAsia="zh-CN"/>
              </w:rPr>
              <w:t>/k</w:t>
            </w:r>
            <w:r>
              <w:rPr>
                <w:rFonts w:hint="eastAsia" w:ascii="Times New Roman" w:hAnsi="Times New Roman" w:eastAsia="宋体" w:cs="Times New Roman"/>
                <w:color w:val="auto"/>
                <w:sz w:val="24"/>
                <w:szCs w:val="24"/>
                <w:highlight w:val="none"/>
                <w:vertAlign w:val="baseline"/>
                <w:lang w:eastAsia="zh-CN"/>
              </w:rPr>
              <w:t>g；</w:t>
            </w:r>
          </w:p>
          <w:p w14:paraId="1DB39EB5">
            <w:pPr>
              <w:pStyle w:val="57"/>
              <w:bidi w:val="0"/>
              <w:jc w:val="both"/>
              <w:rPr>
                <w:rFonts w:hint="eastAsia"/>
                <w:color w:val="auto"/>
                <w:sz w:val="24"/>
                <w:szCs w:val="24"/>
                <w:highlight w:val="none"/>
                <w:lang w:val="en-US" w:eastAsia="zh-CN"/>
              </w:rPr>
            </w:pPr>
            <w:r>
              <w:rPr>
                <w:rFonts w:hint="eastAsia"/>
                <w:color w:val="auto"/>
                <w:highlight w:val="none"/>
                <w:lang w:val="en-US" w:eastAsia="zh-CN"/>
              </w:rPr>
              <w:t>根据上述计算可知，</w:t>
            </w:r>
            <w:r>
              <w:rPr>
                <w:rFonts w:hint="eastAsia"/>
                <w:color w:val="auto"/>
                <w:sz w:val="24"/>
                <w:szCs w:val="24"/>
                <w:highlight w:val="none"/>
                <w:lang w:val="en-US" w:eastAsia="zh-CN"/>
              </w:rPr>
              <w:t>项目理论空气量为3.79m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/kg；干烟气排放量为6.62m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/kg。项目1台5.6MW生物质承压热水锅炉燃料消耗量为1662kg/h，则干烟气量为11002.44m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/h，42183201.60m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/a。</w:t>
            </w:r>
          </w:p>
          <w:p w14:paraId="74C4C97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eastAsia" w:ascii="Times New Roman" w:hAnsi="Times New Roman" w:cs="Times New Roman"/>
                <w:b w:val="0"/>
                <w:bCs w:val="0"/>
                <w:color w:val="auto"/>
                <w:kern w:val="0"/>
                <w:sz w:val="24"/>
                <w:szCs w:val="24"/>
                <w:highlight w:val="none"/>
                <w:lang w:val="en-US" w:eastAsia="zh-CN"/>
              </w:rPr>
              <w:t>②颗粒物（烟尘）</w:t>
            </w:r>
          </w:p>
          <w:p w14:paraId="52F74429">
            <w:pPr>
              <w:pStyle w:val="5"/>
              <w:keepNext w:val="0"/>
              <w:keepLines w:val="0"/>
              <w:pageBreakBefore w:val="0"/>
              <w:widowControl w:val="0"/>
              <w:kinsoku/>
              <w:wordWrap/>
              <w:overflowPunct/>
              <w:topLinePunct w:val="0"/>
              <w:autoSpaceDE/>
              <w:autoSpaceDN/>
              <w:bidi w:val="0"/>
              <w:adjustRightInd/>
              <w:snapToGrid/>
              <w:spacing w:before="0" w:line="360" w:lineRule="auto"/>
              <w:ind w:right="0" w:firstLine="0" w:firstLineChars="0"/>
              <w:jc w:val="center"/>
              <w:textAlignment w:val="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lang w:eastAsia="en-US"/>
              </w:rPr>
              <w:object>
                <v:shape id="_x0000_i1041" o:spt="75" type="#_x0000_t75" style="height:61.35pt;width:147.15pt;" o:ole="t" filled="f" coordsize="21600,21600">
                  <v:path/>
                  <v:fill on="f" focussize="0,0"/>
                  <v:stroke/>
                  <v:imagedata r:id="rId53" o:title=""/>
                  <o:lock v:ext="edit" aspectratio="t"/>
                  <w10:wrap type="none"/>
                  <w10:anchorlock/>
                </v:shape>
                <o:OLEObject Type="Embed" ProgID="Equation.3" ShapeID="_x0000_i1041" DrawAspect="Content" ObjectID="_1468075741" r:id="rId52">
                  <o:LockedField>false</o:LockedField>
                </o:OLEObject>
              </w:object>
            </w:r>
          </w:p>
          <w:p w14:paraId="43609E3E">
            <w:pPr>
              <w:adjustRightInd w:val="0"/>
              <w:snapToGrid w:val="0"/>
              <w:spacing w:line="360" w:lineRule="auto"/>
              <w:ind w:firstLine="480" w:firstLineChars="200"/>
              <w:rPr>
                <w:rFonts w:ascii="Times New Roman" w:hAnsi="Times New Roman" w:cs="Times New Roman"/>
                <w:iCs/>
                <w:color w:val="auto"/>
                <w:sz w:val="24"/>
                <w:szCs w:val="24"/>
                <w:highlight w:val="none"/>
              </w:rPr>
            </w:pPr>
            <w:r>
              <w:rPr>
                <w:rFonts w:hint="default" w:ascii="Times New Roman" w:hAnsi="Times New Roman" w:eastAsia="宋体" w:cs="Times New Roman"/>
                <w:color w:val="auto"/>
                <w:sz w:val="24"/>
                <w:szCs w:val="24"/>
                <w:highlight w:val="none"/>
              </w:rPr>
              <w:t>式中：</w:t>
            </w:r>
            <w:r>
              <w:rPr>
                <w:rFonts w:ascii="Times New Roman" w:hAnsi="Times New Roman" w:cs="Times New Roman"/>
                <w:i/>
                <w:color w:val="auto"/>
                <w:sz w:val="24"/>
                <w:szCs w:val="24"/>
                <w:highlight w:val="none"/>
              </w:rPr>
              <w:t>E</w:t>
            </w:r>
            <w:r>
              <w:rPr>
                <w:rFonts w:ascii="Times New Roman" w:hAnsi="Times New Roman" w:cs="Times New Roman"/>
                <w:i/>
                <w:color w:val="auto"/>
                <w:sz w:val="24"/>
                <w:szCs w:val="24"/>
                <w:highlight w:val="none"/>
                <w:vertAlign w:val="subscript"/>
              </w:rPr>
              <w:t>A</w:t>
            </w:r>
            <w:r>
              <w:rPr>
                <w:rFonts w:ascii="Times New Roman" w:hAnsi="Times New Roman" w:cs="Times New Roman"/>
                <w:iCs/>
                <w:color w:val="auto"/>
                <w:sz w:val="24"/>
                <w:szCs w:val="24"/>
                <w:highlight w:val="none"/>
              </w:rPr>
              <w:t>——核算时段内颗粒物（烟尘）排放量，</w:t>
            </w:r>
            <w:r>
              <w:rPr>
                <w:rFonts w:hint="eastAsia" w:cs="Times New Roman"/>
                <w:iCs/>
                <w:color w:val="auto"/>
                <w:sz w:val="24"/>
                <w:szCs w:val="24"/>
                <w:highlight w:val="none"/>
                <w:lang w:val="en-US" w:eastAsia="zh-CN"/>
              </w:rPr>
              <w:t>t</w:t>
            </w:r>
            <w:r>
              <w:rPr>
                <w:rFonts w:ascii="Times New Roman" w:hAnsi="Times New Roman" w:cs="Times New Roman"/>
                <w:iCs/>
                <w:color w:val="auto"/>
                <w:sz w:val="24"/>
                <w:szCs w:val="24"/>
                <w:highlight w:val="none"/>
              </w:rPr>
              <w:t>；</w:t>
            </w:r>
          </w:p>
          <w:p w14:paraId="2CE17805">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ascii="Times New Roman" w:hAnsi="Times New Roman" w:cs="Times New Roman"/>
                <w:iCs/>
                <w:color w:val="auto"/>
                <w:sz w:val="24"/>
                <w:szCs w:val="24"/>
                <w:highlight w:val="none"/>
              </w:rPr>
            </w:pPr>
            <w:r>
              <w:rPr>
                <w:rFonts w:ascii="Times New Roman" w:hAnsi="Times New Roman" w:cs="Times New Roman"/>
                <w:i/>
                <w:color w:val="auto"/>
                <w:sz w:val="24"/>
                <w:szCs w:val="24"/>
                <w:highlight w:val="none"/>
              </w:rPr>
              <w:t>R</w:t>
            </w:r>
            <w:r>
              <w:rPr>
                <w:rFonts w:ascii="Times New Roman" w:hAnsi="Times New Roman" w:cs="Times New Roman"/>
                <w:iCs/>
                <w:color w:val="auto"/>
                <w:sz w:val="24"/>
                <w:szCs w:val="24"/>
                <w:highlight w:val="none"/>
              </w:rPr>
              <w:t>——核算时段内锅炉燃料耗量，t</w:t>
            </w:r>
            <w:r>
              <w:rPr>
                <w:rFonts w:hint="eastAsia" w:cs="Times New Roman"/>
                <w:iCs/>
                <w:color w:val="auto"/>
                <w:sz w:val="24"/>
                <w:szCs w:val="24"/>
                <w:highlight w:val="none"/>
                <w:lang w:eastAsia="zh-CN"/>
              </w:rPr>
              <w:t>，</w:t>
            </w:r>
            <w:r>
              <w:rPr>
                <w:rFonts w:hint="eastAsia" w:cs="Times New Roman"/>
                <w:color w:val="auto"/>
                <w:sz w:val="24"/>
                <w:szCs w:val="24"/>
                <w:highlight w:val="none"/>
                <w:lang w:val="en-US" w:eastAsia="zh-CN"/>
              </w:rPr>
              <w:t>6219t/a</w:t>
            </w:r>
            <w:r>
              <w:rPr>
                <w:rFonts w:ascii="Times New Roman" w:hAnsi="Times New Roman" w:cs="Times New Roman"/>
                <w:iCs/>
                <w:color w:val="auto"/>
                <w:sz w:val="24"/>
                <w:szCs w:val="24"/>
                <w:highlight w:val="none"/>
              </w:rPr>
              <w:t>；</w:t>
            </w:r>
          </w:p>
          <w:p w14:paraId="63B55347">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ascii="Times New Roman" w:hAnsi="Times New Roman" w:cs="Times New Roman"/>
                <w:iCs/>
                <w:color w:val="auto"/>
                <w:sz w:val="24"/>
                <w:szCs w:val="24"/>
                <w:highlight w:val="none"/>
              </w:rPr>
            </w:pPr>
            <w:r>
              <w:rPr>
                <w:rFonts w:ascii="Times New Roman" w:hAnsi="Times New Roman" w:cs="Times New Roman"/>
                <w:i/>
                <w:color w:val="auto"/>
                <w:sz w:val="24"/>
                <w:szCs w:val="24"/>
                <w:highlight w:val="none"/>
              </w:rPr>
              <w:t>A</w:t>
            </w:r>
            <w:r>
              <w:rPr>
                <w:rFonts w:ascii="Times New Roman" w:hAnsi="Times New Roman" w:cs="Times New Roman"/>
                <w:i/>
                <w:color w:val="auto"/>
                <w:sz w:val="24"/>
                <w:szCs w:val="24"/>
                <w:highlight w:val="none"/>
                <w:vertAlign w:val="subscript"/>
              </w:rPr>
              <w:t>ar</w:t>
            </w:r>
            <w:r>
              <w:rPr>
                <w:rFonts w:ascii="Times New Roman" w:hAnsi="Times New Roman" w:cs="Times New Roman"/>
                <w:iCs/>
                <w:color w:val="auto"/>
                <w:sz w:val="24"/>
                <w:szCs w:val="24"/>
                <w:highlight w:val="none"/>
              </w:rPr>
              <w:t>——收到基灰分的质量分数，8.</w:t>
            </w:r>
            <w:r>
              <w:rPr>
                <w:rFonts w:hint="eastAsia" w:cs="Times New Roman"/>
                <w:iCs/>
                <w:color w:val="auto"/>
                <w:sz w:val="24"/>
                <w:szCs w:val="24"/>
                <w:highlight w:val="none"/>
                <w:lang w:val="en-US" w:eastAsia="zh-CN"/>
              </w:rPr>
              <w:t>05</w:t>
            </w:r>
            <w:r>
              <w:rPr>
                <w:rFonts w:ascii="Times New Roman" w:hAnsi="Times New Roman" w:cs="Times New Roman"/>
                <w:iCs/>
                <w:color w:val="auto"/>
                <w:sz w:val="24"/>
                <w:szCs w:val="24"/>
                <w:highlight w:val="none"/>
              </w:rPr>
              <w:t>%；</w:t>
            </w:r>
          </w:p>
          <w:p w14:paraId="5539680C">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ascii="Times New Roman" w:hAnsi="Times New Roman" w:cs="Times New Roman"/>
                <w:iCs/>
                <w:color w:val="auto"/>
                <w:sz w:val="24"/>
                <w:szCs w:val="24"/>
                <w:highlight w:val="none"/>
              </w:rPr>
            </w:pPr>
            <w:r>
              <w:rPr>
                <w:rFonts w:ascii="Times New Roman" w:hAnsi="Times New Roman" w:cs="Times New Roman"/>
                <w:i/>
                <w:color w:val="auto"/>
                <w:sz w:val="24"/>
                <w:szCs w:val="24"/>
                <w:highlight w:val="none"/>
              </w:rPr>
              <w:t>d</w:t>
            </w:r>
            <w:r>
              <w:rPr>
                <w:rFonts w:ascii="Times New Roman" w:hAnsi="Times New Roman" w:cs="Times New Roman"/>
                <w:i/>
                <w:color w:val="auto"/>
                <w:sz w:val="24"/>
                <w:szCs w:val="24"/>
                <w:highlight w:val="none"/>
                <w:vertAlign w:val="subscript"/>
              </w:rPr>
              <w:t>fh</w:t>
            </w:r>
            <w:r>
              <w:rPr>
                <w:rFonts w:ascii="Times New Roman" w:hAnsi="Times New Roman" w:cs="Times New Roman"/>
                <w:iCs/>
                <w:color w:val="auto"/>
                <w:sz w:val="24"/>
                <w:szCs w:val="24"/>
                <w:highlight w:val="none"/>
              </w:rPr>
              <w:t>——锅炉烟气带出的飞灰份额，</w:t>
            </w:r>
            <w:r>
              <w:rPr>
                <w:rFonts w:hint="eastAsia" w:cs="Times New Roman"/>
                <w:iCs/>
                <w:color w:val="auto"/>
                <w:sz w:val="24"/>
                <w:szCs w:val="24"/>
                <w:highlight w:val="none"/>
                <w:lang w:val="en-US" w:eastAsia="zh-CN"/>
              </w:rPr>
              <w:t>取50</w:t>
            </w:r>
            <w:r>
              <w:rPr>
                <w:rFonts w:ascii="Times New Roman" w:hAnsi="Times New Roman" w:cs="Times New Roman"/>
                <w:iCs/>
                <w:color w:val="auto"/>
                <w:sz w:val="24"/>
                <w:szCs w:val="24"/>
                <w:highlight w:val="none"/>
              </w:rPr>
              <w:t>%；</w:t>
            </w:r>
          </w:p>
          <w:p w14:paraId="088D9AC5">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ascii="Times New Roman" w:hAnsi="Times New Roman" w:cs="Times New Roman"/>
                <w:iCs/>
                <w:color w:val="auto"/>
                <w:sz w:val="24"/>
                <w:szCs w:val="24"/>
                <w:highlight w:val="none"/>
              </w:rPr>
            </w:pPr>
            <w:r>
              <w:rPr>
                <w:rFonts w:ascii="Times New Roman" w:hAnsi="Times New Roman" w:cs="Times New Roman"/>
                <w:i/>
                <w:color w:val="auto"/>
                <w:sz w:val="24"/>
                <w:szCs w:val="24"/>
                <w:highlight w:val="none"/>
              </w:rPr>
              <w:t>η</w:t>
            </w:r>
            <w:r>
              <w:rPr>
                <w:rFonts w:ascii="Times New Roman" w:hAnsi="Times New Roman" w:cs="Times New Roman"/>
                <w:i/>
                <w:color w:val="auto"/>
                <w:sz w:val="24"/>
                <w:szCs w:val="24"/>
                <w:highlight w:val="none"/>
                <w:vertAlign w:val="subscript"/>
              </w:rPr>
              <w:t>c</w:t>
            </w:r>
            <w:r>
              <w:rPr>
                <w:rFonts w:ascii="Times New Roman" w:hAnsi="Times New Roman" w:cs="Times New Roman"/>
                <w:iCs/>
                <w:color w:val="auto"/>
                <w:sz w:val="24"/>
                <w:szCs w:val="24"/>
                <w:highlight w:val="none"/>
              </w:rPr>
              <w:t>——综合除尘效率，</w:t>
            </w:r>
            <w:r>
              <w:rPr>
                <w:rFonts w:hint="eastAsia" w:cs="Times New Roman"/>
                <w:iCs/>
                <w:color w:val="auto"/>
                <w:sz w:val="24"/>
                <w:szCs w:val="24"/>
                <w:highlight w:val="none"/>
                <w:lang w:val="en-US" w:eastAsia="zh-CN"/>
              </w:rPr>
              <w:t>取99.8</w:t>
            </w:r>
            <w:r>
              <w:rPr>
                <w:rFonts w:ascii="Times New Roman" w:hAnsi="Times New Roman" w:cs="Times New Roman"/>
                <w:iCs/>
                <w:color w:val="auto"/>
                <w:sz w:val="24"/>
                <w:szCs w:val="24"/>
                <w:highlight w:val="none"/>
              </w:rPr>
              <w:t>%；</w:t>
            </w:r>
          </w:p>
          <w:p w14:paraId="2DA72921">
            <w:pPr>
              <w:pStyle w:val="43"/>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b w:val="0"/>
                <w:bCs w:val="0"/>
                <w:color w:val="FF0000"/>
                <w:sz w:val="24"/>
                <w:szCs w:val="24"/>
                <w:highlight w:val="yellow"/>
                <w:lang w:val="en-US" w:eastAsia="zh-CN"/>
              </w:rPr>
            </w:pPr>
            <w:r>
              <w:rPr>
                <w:rFonts w:hint="default" w:ascii="Times New Roman" w:hAnsi="Times New Roman" w:cs="Times New Roman"/>
                <w:iCs/>
                <w:color w:val="auto"/>
                <w:sz w:val="24"/>
                <w:szCs w:val="24"/>
                <w:highlight w:val="none"/>
              </w:rPr>
              <w:t>C</w:t>
            </w:r>
            <w:r>
              <w:rPr>
                <w:rFonts w:hint="default" w:ascii="Times New Roman" w:hAnsi="Times New Roman" w:cs="Times New Roman"/>
                <w:i/>
                <w:color w:val="auto"/>
                <w:sz w:val="24"/>
                <w:szCs w:val="24"/>
                <w:highlight w:val="none"/>
                <w:vertAlign w:val="subscript"/>
              </w:rPr>
              <w:t>fh</w:t>
            </w:r>
            <w:r>
              <w:rPr>
                <w:rFonts w:hint="default" w:ascii="Times New Roman" w:hAnsi="Times New Roman" w:cs="Times New Roman"/>
                <w:iCs/>
                <w:color w:val="auto"/>
                <w:sz w:val="24"/>
                <w:szCs w:val="24"/>
                <w:highlight w:val="none"/>
              </w:rPr>
              <w:t>——飞灰中的可燃物含量，</w:t>
            </w:r>
            <w:r>
              <w:rPr>
                <w:rFonts w:hint="default" w:ascii="Times New Roman" w:hAnsi="Times New Roman" w:eastAsia="宋体" w:cs="Times New Roman"/>
                <w:color w:val="auto"/>
                <w:sz w:val="24"/>
                <w:szCs w:val="24"/>
                <w:highlight w:val="none"/>
                <w:lang w:val="en-US" w:eastAsia="zh-CN" w:bidi="ar-SA"/>
              </w:rPr>
              <w:t>取16%。</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项目使用生物质成型燃料，飞灰中可燃物含量类比</w:t>
            </w:r>
            <w:r>
              <w:rPr>
                <w:rFonts w:hint="default" w:ascii="Times New Roman" w:hAnsi="Times New Roman" w:eastAsia="宋体" w:cs="Times New Roman"/>
                <w:color w:val="auto"/>
                <w:sz w:val="24"/>
                <w:szCs w:val="24"/>
                <w:highlight w:val="none"/>
                <w:shd w:val="clear" w:color="auto" w:fill="auto"/>
                <w:lang w:val="en-US" w:eastAsia="zh-CN" w:bidi="ar-SA"/>
              </w:rPr>
              <w:t>烟煤II类，根据《工业锅炉经济运行》（GB/T17954-2007），取16%）。</w:t>
            </w:r>
            <w:r>
              <w:rPr>
                <w:rFonts w:hint="default" w:ascii="Times New Roman" w:hAnsi="Times New Roman" w:cs="Times New Roman"/>
                <w:b w:val="0"/>
                <w:bCs w:val="0"/>
                <w:color w:val="auto"/>
                <w:sz w:val="24"/>
                <w:szCs w:val="24"/>
                <w:highlight w:val="none"/>
                <w:shd w:val="clear" w:color="auto" w:fill="auto"/>
                <w:lang w:val="en-US" w:eastAsia="zh-CN"/>
              </w:rPr>
              <w:t>计算可知</w:t>
            </w:r>
            <w:r>
              <w:rPr>
                <w:rFonts w:hint="default" w:ascii="Times New Roman" w:hAnsi="Times New Roman" w:cs="Times New Roman"/>
                <w:b w:val="0"/>
                <w:bCs w:val="0"/>
                <w:color w:val="auto"/>
                <w:sz w:val="24"/>
                <w:szCs w:val="24"/>
                <w:highlight w:val="none"/>
                <w:lang w:val="en-US" w:eastAsia="zh-CN"/>
              </w:rPr>
              <w:t>，项目1台5.6MW生物质承压热水锅炉颗粒物排放量为0.60t/a，0.16kg/h，排放浓度为14.13</w:t>
            </w:r>
            <w:r>
              <w:rPr>
                <w:rFonts w:hint="default" w:ascii="Times New Roman" w:hAnsi="Times New Roman" w:cs="Times New Roman"/>
                <w:iCs/>
                <w:color w:val="auto"/>
                <w:sz w:val="24"/>
                <w:szCs w:val="24"/>
                <w:highlight w:val="none"/>
                <w:shd w:val="clear"/>
              </w:rPr>
              <w:t>mg/m</w:t>
            </w:r>
            <w:r>
              <w:rPr>
                <w:rFonts w:hint="default" w:ascii="Times New Roman" w:hAnsi="Times New Roman" w:cs="Times New Roman"/>
                <w:iCs/>
                <w:color w:val="auto"/>
                <w:sz w:val="24"/>
                <w:szCs w:val="24"/>
                <w:highlight w:val="none"/>
                <w:shd w:val="clear"/>
                <w:vertAlign w:val="superscript"/>
              </w:rPr>
              <w:t>3</w:t>
            </w:r>
            <w:r>
              <w:rPr>
                <w:rFonts w:hint="default" w:ascii="Times New Roman" w:hAnsi="Times New Roman" w:cs="Times New Roman"/>
                <w:iCs/>
                <w:color w:val="auto"/>
                <w:sz w:val="24"/>
                <w:szCs w:val="24"/>
                <w:highlight w:val="none"/>
                <w:shd w:val="clear"/>
                <w:vertAlign w:val="baseline"/>
                <w:lang w:eastAsia="zh-CN"/>
              </w:rPr>
              <w:t>。</w:t>
            </w:r>
            <w:r>
              <w:rPr>
                <w:rFonts w:hint="default" w:ascii="Times New Roman" w:hAnsi="Times New Roman" w:cs="Times New Roman"/>
                <w:iCs/>
                <w:color w:val="auto"/>
                <w:sz w:val="24"/>
                <w:szCs w:val="24"/>
                <w:highlight w:val="none"/>
                <w:shd w:val="clear"/>
                <w:vertAlign w:val="baseline"/>
                <w:lang w:val="en-US" w:eastAsia="zh-CN"/>
              </w:rPr>
              <w:t>颗粒物产生量为300t/a，78.25kg/h，产生浓度7111.81</w:t>
            </w:r>
            <w:r>
              <w:rPr>
                <w:rFonts w:hint="default" w:ascii="Times New Roman" w:hAnsi="Times New Roman" w:cs="Times New Roman"/>
                <w:iCs/>
                <w:color w:val="auto"/>
                <w:sz w:val="24"/>
                <w:szCs w:val="24"/>
                <w:highlight w:val="none"/>
                <w:shd w:val="clear"/>
              </w:rPr>
              <w:t>mg/m</w:t>
            </w:r>
            <w:r>
              <w:rPr>
                <w:rFonts w:hint="default" w:ascii="Times New Roman" w:hAnsi="Times New Roman" w:cs="Times New Roman"/>
                <w:iCs/>
                <w:color w:val="auto"/>
                <w:sz w:val="24"/>
                <w:szCs w:val="24"/>
                <w:highlight w:val="none"/>
                <w:shd w:val="clear"/>
                <w:vertAlign w:val="superscript"/>
              </w:rPr>
              <w:t>3</w:t>
            </w:r>
            <w:r>
              <w:rPr>
                <w:rFonts w:hint="default" w:ascii="Times New Roman" w:hAnsi="Times New Roman" w:cs="Times New Roman"/>
                <w:iCs/>
                <w:color w:val="auto"/>
                <w:sz w:val="24"/>
                <w:szCs w:val="24"/>
                <w:highlight w:val="none"/>
                <w:shd w:val="clear"/>
                <w:vertAlign w:val="baseline"/>
                <w:lang w:eastAsia="zh-CN"/>
              </w:rPr>
              <w:t>。</w:t>
            </w:r>
          </w:p>
          <w:p w14:paraId="2529FC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cs="Times New Roman"/>
                <w:b w:val="0"/>
                <w:bCs w:val="0"/>
                <w:color w:val="FF0000"/>
                <w:sz w:val="24"/>
                <w:szCs w:val="24"/>
                <w:highlight w:val="none"/>
                <w:lang w:val="en-US" w:eastAsia="zh-CN"/>
              </w:rPr>
            </w:pPr>
          </w:p>
          <w:p w14:paraId="1863DB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③二氧化硫</w:t>
            </w:r>
          </w:p>
          <w:p w14:paraId="3C4B09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center"/>
              <w:textAlignment w:val="auto"/>
              <w:rPr>
                <w:rFonts w:hint="eastAsia" w:cs="Times New Roman"/>
                <w:b w:val="0"/>
                <w:bCs w:val="0"/>
                <w:color w:val="auto"/>
                <w:sz w:val="24"/>
                <w:szCs w:val="24"/>
                <w:highlight w:val="none"/>
                <w:lang w:val="en-US" w:eastAsia="zh-CN"/>
              </w:rPr>
            </w:pPr>
            <w:r>
              <w:rPr>
                <w:rFonts w:ascii="Times New Roman" w:hAnsi="Times New Roman" w:cs="Times New Roman"/>
                <w:color w:val="auto"/>
                <w:position w:val="-28"/>
                <w:sz w:val="21"/>
                <w:szCs w:val="21"/>
                <w:highlight w:val="none"/>
                <w:lang w:eastAsia="en-US"/>
              </w:rPr>
              <w:object>
                <v:shape id="_x0000_i1042" o:spt="75" type="#_x0000_t75" style="height:33.8pt;width:206.85pt;" o:ole="t" filled="f" o:preferrelative="t" stroked="f" coordsize="21600,21600">
                  <v:path/>
                  <v:fill on="f" focussize="0,0"/>
                  <v:stroke on="f"/>
                  <v:imagedata r:id="rId55" o:title=""/>
                  <o:lock v:ext="edit" aspectratio="t"/>
                  <w10:wrap type="none"/>
                  <w10:anchorlock/>
                </v:shape>
                <o:OLEObject Type="Embed" ProgID="Equation.3" ShapeID="_x0000_i1042" DrawAspect="Content" ObjectID="_1468075742" r:id="rId54">
                  <o:LockedField>false</o:LockedField>
                </o:OLEObject>
              </w:object>
            </w:r>
          </w:p>
          <w:p w14:paraId="475B3B29">
            <w:pPr>
              <w:adjustRightInd w:val="0"/>
              <w:snapToGrid w:val="0"/>
              <w:spacing w:line="360" w:lineRule="auto"/>
              <w:ind w:firstLine="480" w:firstLineChars="200"/>
              <w:rPr>
                <w:rFonts w:ascii="Times New Roman" w:hAnsi="Times New Roman" w:cs="Times New Roman"/>
                <w:iCs/>
                <w:color w:val="auto"/>
                <w:sz w:val="24"/>
                <w:szCs w:val="24"/>
                <w:highlight w:val="none"/>
              </w:rPr>
            </w:pPr>
            <w:r>
              <w:rPr>
                <w:rFonts w:hint="default" w:ascii="Times New Roman" w:hAnsi="Times New Roman" w:eastAsia="宋体" w:cs="Times New Roman"/>
                <w:color w:val="auto"/>
                <w:sz w:val="24"/>
                <w:szCs w:val="24"/>
                <w:highlight w:val="none"/>
              </w:rPr>
              <w:t>式中：</w:t>
            </w:r>
            <w:r>
              <w:rPr>
                <w:rFonts w:ascii="Times New Roman" w:hAnsi="Times New Roman" w:cs="Times New Roman"/>
                <w:i/>
                <w:color w:val="auto"/>
                <w:sz w:val="24"/>
                <w:szCs w:val="24"/>
                <w:highlight w:val="none"/>
              </w:rPr>
              <w:t>E</w:t>
            </w:r>
            <w:r>
              <w:rPr>
                <w:rFonts w:hint="eastAsia" w:cs="Times New Roman"/>
                <w:i/>
                <w:color w:val="auto"/>
                <w:sz w:val="24"/>
                <w:szCs w:val="24"/>
                <w:highlight w:val="none"/>
                <w:vertAlign w:val="subscript"/>
                <w:lang w:val="en-US" w:eastAsia="zh-CN"/>
              </w:rPr>
              <w:t>SO</w:t>
            </w:r>
            <w:r>
              <w:rPr>
                <w:rFonts w:hint="eastAsia" w:cs="Times New Roman"/>
                <w:i/>
                <w:color w:val="auto"/>
                <w:sz w:val="21"/>
                <w:szCs w:val="21"/>
                <w:highlight w:val="none"/>
                <w:vertAlign w:val="subscript"/>
                <w:lang w:val="en-US" w:eastAsia="zh-CN"/>
              </w:rPr>
              <w:t>2</w:t>
            </w:r>
            <w:r>
              <w:rPr>
                <w:rFonts w:ascii="Times New Roman" w:hAnsi="Times New Roman" w:cs="Times New Roman"/>
                <w:iCs/>
                <w:color w:val="auto"/>
                <w:sz w:val="24"/>
                <w:szCs w:val="24"/>
                <w:highlight w:val="none"/>
              </w:rPr>
              <w:t>——核算时段内</w:t>
            </w:r>
            <w:r>
              <w:rPr>
                <w:rFonts w:hint="eastAsia" w:cs="Times New Roman"/>
                <w:iCs/>
                <w:color w:val="auto"/>
                <w:sz w:val="24"/>
                <w:szCs w:val="24"/>
                <w:highlight w:val="none"/>
                <w:lang w:val="en-US" w:eastAsia="zh-CN"/>
              </w:rPr>
              <w:t>二氧化硫</w:t>
            </w:r>
            <w:r>
              <w:rPr>
                <w:rFonts w:ascii="Times New Roman" w:hAnsi="Times New Roman" w:cs="Times New Roman"/>
                <w:iCs/>
                <w:color w:val="auto"/>
                <w:sz w:val="24"/>
                <w:szCs w:val="24"/>
                <w:highlight w:val="none"/>
              </w:rPr>
              <w:t>排放量，t；</w:t>
            </w:r>
          </w:p>
          <w:p w14:paraId="1D1D5382">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ascii="Times New Roman" w:hAnsi="Times New Roman" w:cs="Times New Roman"/>
                <w:iCs/>
                <w:color w:val="auto"/>
                <w:sz w:val="24"/>
                <w:szCs w:val="24"/>
                <w:highlight w:val="none"/>
              </w:rPr>
            </w:pPr>
            <w:r>
              <w:rPr>
                <w:rFonts w:ascii="Times New Roman" w:hAnsi="Times New Roman" w:cs="Times New Roman"/>
                <w:i/>
                <w:color w:val="auto"/>
                <w:sz w:val="24"/>
                <w:szCs w:val="24"/>
                <w:highlight w:val="none"/>
              </w:rPr>
              <w:t>R</w:t>
            </w:r>
            <w:r>
              <w:rPr>
                <w:rFonts w:ascii="Times New Roman" w:hAnsi="Times New Roman" w:cs="Times New Roman"/>
                <w:iCs/>
                <w:color w:val="auto"/>
                <w:sz w:val="24"/>
                <w:szCs w:val="24"/>
                <w:highlight w:val="none"/>
              </w:rPr>
              <w:t>——核算时段内锅炉燃料耗量，t</w:t>
            </w:r>
            <w:r>
              <w:rPr>
                <w:rFonts w:hint="eastAsia" w:cs="Times New Roman"/>
                <w:iCs/>
                <w:color w:val="auto"/>
                <w:sz w:val="24"/>
                <w:szCs w:val="24"/>
                <w:highlight w:val="none"/>
                <w:lang w:eastAsia="zh-CN"/>
              </w:rPr>
              <w:t>，</w:t>
            </w:r>
            <w:r>
              <w:rPr>
                <w:rFonts w:hint="eastAsia" w:cs="Times New Roman"/>
                <w:color w:val="auto"/>
                <w:sz w:val="24"/>
                <w:szCs w:val="24"/>
                <w:highlight w:val="none"/>
                <w:lang w:val="en-US" w:eastAsia="zh-CN"/>
              </w:rPr>
              <w:t>6219t/a</w:t>
            </w:r>
            <w:r>
              <w:rPr>
                <w:rFonts w:ascii="Times New Roman" w:hAnsi="Times New Roman" w:cs="Times New Roman"/>
                <w:iCs/>
                <w:color w:val="auto"/>
                <w:sz w:val="24"/>
                <w:szCs w:val="24"/>
                <w:highlight w:val="none"/>
              </w:rPr>
              <w:t>；</w:t>
            </w:r>
          </w:p>
          <w:p w14:paraId="4F5109C4">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ascii="Times New Roman" w:hAnsi="Times New Roman" w:cs="Times New Roman"/>
                <w:iCs/>
                <w:color w:val="auto"/>
                <w:sz w:val="24"/>
                <w:szCs w:val="24"/>
                <w:highlight w:val="none"/>
              </w:rPr>
            </w:pPr>
            <w:r>
              <w:rPr>
                <w:rFonts w:hint="eastAsia" w:cs="Times New Roman"/>
                <w:i/>
                <w:color w:val="auto"/>
                <w:sz w:val="24"/>
                <w:szCs w:val="24"/>
                <w:highlight w:val="none"/>
                <w:vertAlign w:val="baseline"/>
                <w:lang w:val="en-US" w:eastAsia="zh-CN"/>
              </w:rPr>
              <w:t>S</w:t>
            </w:r>
            <w:r>
              <w:rPr>
                <w:rFonts w:ascii="Times New Roman" w:hAnsi="Times New Roman" w:cs="Times New Roman"/>
                <w:i/>
                <w:color w:val="auto"/>
                <w:sz w:val="24"/>
                <w:szCs w:val="24"/>
                <w:highlight w:val="none"/>
                <w:vertAlign w:val="subscript"/>
              </w:rPr>
              <w:t>ar</w:t>
            </w:r>
            <w:r>
              <w:rPr>
                <w:rFonts w:ascii="Times New Roman" w:hAnsi="Times New Roman" w:cs="Times New Roman"/>
                <w:iCs/>
                <w:color w:val="auto"/>
                <w:sz w:val="24"/>
                <w:szCs w:val="24"/>
                <w:highlight w:val="none"/>
              </w:rPr>
              <w:t>——收到基</w:t>
            </w:r>
            <w:r>
              <w:rPr>
                <w:rFonts w:hint="eastAsia" w:cs="Times New Roman"/>
                <w:iCs/>
                <w:color w:val="auto"/>
                <w:sz w:val="24"/>
                <w:szCs w:val="24"/>
                <w:highlight w:val="none"/>
                <w:lang w:val="en-US" w:eastAsia="zh-CN"/>
              </w:rPr>
              <w:t>硫</w:t>
            </w:r>
            <w:r>
              <w:rPr>
                <w:rFonts w:ascii="Times New Roman" w:hAnsi="Times New Roman" w:cs="Times New Roman"/>
                <w:iCs/>
                <w:color w:val="auto"/>
                <w:sz w:val="24"/>
                <w:szCs w:val="24"/>
                <w:highlight w:val="none"/>
              </w:rPr>
              <w:t>的质量分数，</w:t>
            </w:r>
            <w:r>
              <w:rPr>
                <w:rFonts w:hint="eastAsia" w:cs="Times New Roman"/>
                <w:iCs/>
                <w:color w:val="auto"/>
                <w:sz w:val="24"/>
                <w:szCs w:val="24"/>
                <w:highlight w:val="none"/>
                <w:lang w:val="en-US" w:eastAsia="zh-CN"/>
              </w:rPr>
              <w:t>0.07</w:t>
            </w:r>
            <w:r>
              <w:rPr>
                <w:rFonts w:ascii="Times New Roman" w:hAnsi="Times New Roman" w:cs="Times New Roman"/>
                <w:iCs/>
                <w:color w:val="auto"/>
                <w:sz w:val="24"/>
                <w:szCs w:val="24"/>
                <w:highlight w:val="none"/>
              </w:rPr>
              <w:t>%；</w:t>
            </w:r>
          </w:p>
          <w:p w14:paraId="38B2EDC3">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ascii="Times New Roman" w:hAnsi="Times New Roman" w:cs="Times New Roman"/>
                <w:iCs/>
                <w:color w:val="auto"/>
                <w:sz w:val="24"/>
                <w:szCs w:val="24"/>
                <w:highlight w:val="none"/>
              </w:rPr>
            </w:pPr>
            <w:r>
              <w:rPr>
                <w:rFonts w:hint="eastAsia" w:cs="Times New Roman"/>
                <w:i/>
                <w:iCs w:val="0"/>
                <w:color w:val="auto"/>
                <w:sz w:val="24"/>
                <w:szCs w:val="24"/>
                <w:highlight w:val="none"/>
                <w:lang w:val="en-US" w:eastAsia="zh-CN"/>
              </w:rPr>
              <w:t>q</w:t>
            </w:r>
            <w:r>
              <w:rPr>
                <w:rFonts w:hint="eastAsia" w:cs="Times New Roman"/>
                <w:i/>
                <w:iCs w:val="0"/>
                <w:color w:val="auto"/>
                <w:sz w:val="24"/>
                <w:szCs w:val="24"/>
                <w:highlight w:val="none"/>
                <w:vertAlign w:val="subscript"/>
                <w:lang w:val="en-US" w:eastAsia="zh-CN"/>
              </w:rPr>
              <w:t>4</w:t>
            </w:r>
            <w:r>
              <w:rPr>
                <w:rFonts w:ascii="Times New Roman" w:hAnsi="Times New Roman" w:cs="Times New Roman"/>
                <w:iCs/>
                <w:color w:val="auto"/>
                <w:sz w:val="24"/>
                <w:szCs w:val="24"/>
                <w:highlight w:val="none"/>
              </w:rPr>
              <w:t>——锅炉烟气带出的飞灰份额，</w:t>
            </w:r>
            <w:r>
              <w:rPr>
                <w:rFonts w:hint="eastAsia" w:cs="Times New Roman"/>
                <w:iCs/>
                <w:color w:val="auto"/>
                <w:sz w:val="24"/>
                <w:szCs w:val="24"/>
                <w:highlight w:val="none"/>
                <w:lang w:val="en-US" w:eastAsia="zh-CN"/>
              </w:rPr>
              <w:t>取12</w:t>
            </w:r>
            <w:r>
              <w:rPr>
                <w:rFonts w:ascii="Times New Roman" w:hAnsi="Times New Roman" w:cs="Times New Roman"/>
                <w:iCs/>
                <w:color w:val="auto"/>
                <w:sz w:val="24"/>
                <w:szCs w:val="24"/>
                <w:highlight w:val="none"/>
              </w:rPr>
              <w:t>；</w:t>
            </w:r>
          </w:p>
          <w:p w14:paraId="6E1FB97D">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ascii="Times New Roman" w:hAnsi="Times New Roman" w:cs="Times New Roman"/>
                <w:iCs/>
                <w:color w:val="auto"/>
                <w:sz w:val="24"/>
                <w:szCs w:val="24"/>
                <w:highlight w:val="none"/>
              </w:rPr>
            </w:pPr>
            <w:r>
              <w:rPr>
                <w:rFonts w:ascii="Times New Roman" w:hAnsi="Times New Roman" w:cs="Times New Roman"/>
                <w:i/>
                <w:color w:val="auto"/>
                <w:sz w:val="24"/>
                <w:szCs w:val="24"/>
                <w:highlight w:val="none"/>
              </w:rPr>
              <w:t>η</w:t>
            </w:r>
            <w:r>
              <w:rPr>
                <w:rFonts w:hint="eastAsia" w:cs="Times New Roman"/>
                <w:i/>
                <w:color w:val="auto"/>
                <w:sz w:val="24"/>
                <w:szCs w:val="24"/>
                <w:highlight w:val="none"/>
                <w:vertAlign w:val="subscript"/>
                <w:lang w:val="en-US" w:eastAsia="zh-CN"/>
              </w:rPr>
              <w:t>s</w:t>
            </w:r>
            <w:r>
              <w:rPr>
                <w:rFonts w:ascii="Times New Roman" w:hAnsi="Times New Roman" w:cs="Times New Roman"/>
                <w:iCs/>
                <w:color w:val="auto"/>
                <w:sz w:val="24"/>
                <w:szCs w:val="24"/>
                <w:highlight w:val="none"/>
              </w:rPr>
              <w:t>——</w:t>
            </w:r>
            <w:r>
              <w:rPr>
                <w:rFonts w:hint="eastAsia" w:cs="Times New Roman"/>
                <w:iCs/>
                <w:color w:val="auto"/>
                <w:sz w:val="24"/>
                <w:szCs w:val="24"/>
                <w:highlight w:val="none"/>
                <w:lang w:val="en-US" w:eastAsia="zh-CN"/>
              </w:rPr>
              <w:t>脱硫</w:t>
            </w:r>
            <w:r>
              <w:rPr>
                <w:rFonts w:ascii="Times New Roman" w:hAnsi="Times New Roman" w:cs="Times New Roman"/>
                <w:iCs/>
                <w:color w:val="auto"/>
                <w:sz w:val="24"/>
                <w:szCs w:val="24"/>
                <w:highlight w:val="none"/>
              </w:rPr>
              <w:t>效率，</w:t>
            </w:r>
            <w:r>
              <w:rPr>
                <w:rFonts w:hint="eastAsia" w:cs="Times New Roman"/>
                <w:iCs/>
                <w:color w:val="auto"/>
                <w:sz w:val="24"/>
                <w:szCs w:val="24"/>
                <w:highlight w:val="none"/>
                <w:lang w:val="en-US" w:eastAsia="zh-CN"/>
              </w:rPr>
              <w:t>0</w:t>
            </w:r>
            <w:r>
              <w:rPr>
                <w:rFonts w:ascii="Times New Roman" w:hAnsi="Times New Roman" w:cs="Times New Roman"/>
                <w:iCs/>
                <w:color w:val="auto"/>
                <w:sz w:val="24"/>
                <w:szCs w:val="24"/>
                <w:highlight w:val="none"/>
              </w:rPr>
              <w:t>%；</w:t>
            </w:r>
          </w:p>
          <w:p w14:paraId="6F034EE7">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ascii="Times New Roman" w:hAnsi="Times New Roman" w:cs="Times New Roman"/>
                <w:iCs/>
                <w:color w:val="auto"/>
                <w:sz w:val="24"/>
                <w:szCs w:val="24"/>
                <w:highlight w:val="none"/>
              </w:rPr>
            </w:pPr>
            <w:r>
              <w:rPr>
                <w:rFonts w:hint="eastAsia" w:cs="Times New Roman"/>
                <w:i/>
                <w:iCs w:val="0"/>
                <w:color w:val="auto"/>
                <w:sz w:val="24"/>
                <w:szCs w:val="24"/>
                <w:highlight w:val="none"/>
                <w:lang w:val="en-US" w:eastAsia="zh-CN"/>
              </w:rPr>
              <w:t>K</w:t>
            </w:r>
            <w:r>
              <w:rPr>
                <w:rFonts w:ascii="Times New Roman" w:hAnsi="Times New Roman" w:cs="Times New Roman"/>
                <w:iCs/>
                <w:color w:val="auto"/>
                <w:sz w:val="24"/>
                <w:szCs w:val="24"/>
                <w:highlight w:val="none"/>
              </w:rPr>
              <w:t>——</w:t>
            </w:r>
            <w:r>
              <w:rPr>
                <w:rFonts w:hint="eastAsia" w:cs="Times New Roman"/>
                <w:iCs/>
                <w:color w:val="auto"/>
                <w:sz w:val="24"/>
                <w:szCs w:val="24"/>
                <w:highlight w:val="none"/>
                <w:lang w:val="en-US" w:eastAsia="zh-CN"/>
              </w:rPr>
              <w:t>燃料中的硫燃烧后氧化成二氧化硫的份额</w:t>
            </w:r>
            <w:r>
              <w:rPr>
                <w:rFonts w:ascii="Times New Roman" w:hAnsi="Times New Roman" w:cs="Times New Roman"/>
                <w:iCs/>
                <w:color w:val="auto"/>
                <w:sz w:val="24"/>
                <w:szCs w:val="24"/>
                <w:highlight w:val="none"/>
              </w:rPr>
              <w:t>，</w:t>
            </w:r>
            <w:r>
              <w:rPr>
                <w:rFonts w:hint="eastAsia" w:cs="Times New Roman"/>
                <w:iCs/>
                <w:color w:val="auto"/>
                <w:sz w:val="24"/>
                <w:szCs w:val="24"/>
                <w:highlight w:val="none"/>
                <w:lang w:val="en-US" w:eastAsia="zh-CN"/>
              </w:rPr>
              <w:t>取0.5</w:t>
            </w:r>
            <w:r>
              <w:rPr>
                <w:rFonts w:ascii="Times New Roman" w:hAnsi="Times New Roman" w:cs="Times New Roman"/>
                <w:iCs/>
                <w:color w:val="auto"/>
                <w:sz w:val="24"/>
                <w:szCs w:val="24"/>
                <w:highlight w:val="none"/>
              </w:rPr>
              <w:t>；</w:t>
            </w:r>
          </w:p>
          <w:p w14:paraId="5CA75091">
            <w:pPr>
              <w:spacing w:line="360" w:lineRule="auto"/>
              <w:ind w:firstLine="480" w:firstLineChars="200"/>
              <w:rPr>
                <w:rFonts w:hint="default" w:ascii="Times New Roman" w:hAnsi="Times New Roman" w:cs="Times New Roman"/>
                <w:iCs/>
                <w:color w:val="auto"/>
                <w:sz w:val="24"/>
                <w:szCs w:val="24"/>
                <w:highlight w:val="none"/>
                <w:shd w:val="clear"/>
                <w:vertAlign w:val="baseline"/>
                <w:lang w:eastAsia="zh-CN"/>
              </w:rPr>
            </w:pPr>
            <w:r>
              <w:rPr>
                <w:rFonts w:hint="default" w:ascii="Times New Roman" w:hAnsi="Times New Roman" w:cs="Times New Roman"/>
                <w:b w:val="0"/>
                <w:bCs w:val="0"/>
                <w:color w:val="auto"/>
                <w:sz w:val="24"/>
                <w:szCs w:val="24"/>
                <w:highlight w:val="none"/>
                <w:lang w:val="en-US" w:eastAsia="zh-CN"/>
              </w:rPr>
              <w:t>根据上述计算可知，项目1台5.6MW</w:t>
            </w:r>
            <w:r>
              <w:rPr>
                <w:rFonts w:hint="eastAsia" w:ascii="Times New Roman" w:hAnsi="Times New Roman" w:cs="Times New Roman"/>
                <w:b w:val="0"/>
                <w:bCs w:val="0"/>
                <w:color w:val="auto"/>
                <w:sz w:val="24"/>
                <w:szCs w:val="24"/>
                <w:highlight w:val="none"/>
                <w:lang w:val="en-US" w:eastAsia="zh-CN"/>
              </w:rPr>
              <w:t>生物质承压热水锅炉</w:t>
            </w:r>
            <w:r>
              <w:rPr>
                <w:rFonts w:hint="default" w:ascii="Times New Roman" w:hAnsi="Times New Roman" w:cs="Times New Roman"/>
                <w:b w:val="0"/>
                <w:bCs w:val="0"/>
                <w:color w:val="auto"/>
                <w:sz w:val="24"/>
                <w:szCs w:val="24"/>
                <w:highlight w:val="none"/>
                <w:lang w:val="en-US" w:eastAsia="zh-CN"/>
              </w:rPr>
              <w:t>二氧化硫排放量为</w:t>
            </w:r>
            <w:r>
              <w:rPr>
                <w:rFonts w:hint="eastAsia" w:ascii="Times New Roman" w:hAnsi="Times New Roman" w:cs="Times New Roman"/>
                <w:b w:val="0"/>
                <w:bCs w:val="0"/>
                <w:color w:val="auto"/>
                <w:sz w:val="24"/>
                <w:szCs w:val="24"/>
                <w:highlight w:val="none"/>
                <w:lang w:val="en-US" w:eastAsia="zh-CN"/>
              </w:rPr>
              <w:t>3.83</w:t>
            </w:r>
            <w:r>
              <w:rPr>
                <w:rFonts w:hint="default" w:ascii="Times New Roman" w:hAnsi="Times New Roman" w:cs="Times New Roman"/>
                <w:color w:val="auto"/>
                <w:sz w:val="24"/>
                <w:highlight w:val="none"/>
                <w:lang w:val="en-US" w:eastAsia="zh-CN"/>
              </w:rPr>
              <w:t>t/a，</w:t>
            </w:r>
            <w:r>
              <w:rPr>
                <w:rFonts w:hint="eastAsia" w:ascii="Times New Roman" w:hAnsi="Times New Roman" w:cs="Times New Roman"/>
                <w:color w:val="auto"/>
                <w:sz w:val="24"/>
                <w:highlight w:val="none"/>
                <w:lang w:val="en-US" w:eastAsia="zh-CN"/>
              </w:rPr>
              <w:t>1.00</w:t>
            </w:r>
            <w:r>
              <w:rPr>
                <w:rFonts w:hint="default" w:ascii="Times New Roman" w:hAnsi="Times New Roman" w:cs="Times New Roman"/>
                <w:color w:val="auto"/>
                <w:sz w:val="24"/>
                <w:highlight w:val="none"/>
                <w:lang w:val="en-US" w:eastAsia="zh-CN"/>
              </w:rPr>
              <w:t>kg/h，排放浓度9</w:t>
            </w:r>
            <w:r>
              <w:rPr>
                <w:rFonts w:hint="eastAsia" w:ascii="Times New Roman" w:hAnsi="Times New Roman" w:cs="Times New Roman"/>
                <w:color w:val="auto"/>
                <w:sz w:val="24"/>
                <w:highlight w:val="none"/>
                <w:lang w:val="en-US" w:eastAsia="zh-CN"/>
              </w:rPr>
              <w:t>0</w:t>
            </w:r>
            <w:r>
              <w:rPr>
                <w:rFonts w:hint="default"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82</w:t>
            </w:r>
            <w:r>
              <w:rPr>
                <w:rFonts w:hint="default" w:ascii="Times New Roman" w:hAnsi="Times New Roman" w:cs="Times New Roman"/>
                <w:iCs/>
                <w:color w:val="auto"/>
                <w:sz w:val="24"/>
                <w:szCs w:val="24"/>
                <w:highlight w:val="none"/>
                <w:shd w:val="clear"/>
              </w:rPr>
              <w:t>mg/m</w:t>
            </w:r>
            <w:r>
              <w:rPr>
                <w:rFonts w:hint="default" w:ascii="Times New Roman" w:hAnsi="Times New Roman" w:cs="Times New Roman"/>
                <w:iCs/>
                <w:color w:val="auto"/>
                <w:sz w:val="24"/>
                <w:szCs w:val="24"/>
                <w:highlight w:val="none"/>
                <w:shd w:val="clear"/>
                <w:vertAlign w:val="superscript"/>
              </w:rPr>
              <w:t>3</w:t>
            </w:r>
            <w:r>
              <w:rPr>
                <w:rFonts w:hint="default" w:ascii="Times New Roman" w:hAnsi="Times New Roman" w:cs="Times New Roman"/>
                <w:iCs/>
                <w:color w:val="auto"/>
                <w:sz w:val="24"/>
                <w:szCs w:val="24"/>
                <w:highlight w:val="none"/>
                <w:shd w:val="clear"/>
                <w:vertAlign w:val="baseline"/>
                <w:lang w:eastAsia="zh-CN"/>
              </w:rPr>
              <w:t>；</w:t>
            </w:r>
            <w:r>
              <w:rPr>
                <w:rFonts w:hint="default" w:ascii="Times New Roman" w:hAnsi="Times New Roman" w:cs="Times New Roman"/>
                <w:iCs/>
                <w:color w:val="auto"/>
                <w:sz w:val="24"/>
                <w:szCs w:val="24"/>
                <w:highlight w:val="none"/>
                <w:shd w:val="clear"/>
                <w:vertAlign w:val="baseline"/>
                <w:lang w:val="en-US" w:eastAsia="zh-CN"/>
              </w:rPr>
              <w:t>产生量为</w:t>
            </w:r>
            <w:r>
              <w:rPr>
                <w:rFonts w:hint="eastAsia" w:ascii="Times New Roman" w:hAnsi="Times New Roman" w:cs="Times New Roman"/>
                <w:b w:val="0"/>
                <w:bCs w:val="0"/>
                <w:color w:val="auto"/>
                <w:sz w:val="24"/>
                <w:szCs w:val="24"/>
                <w:highlight w:val="none"/>
                <w:lang w:val="en-US" w:eastAsia="zh-CN"/>
              </w:rPr>
              <w:t>3.83</w:t>
            </w:r>
            <w:r>
              <w:rPr>
                <w:rFonts w:hint="default" w:ascii="Times New Roman" w:hAnsi="Times New Roman" w:cs="Times New Roman"/>
                <w:color w:val="auto"/>
                <w:sz w:val="24"/>
                <w:highlight w:val="none"/>
                <w:lang w:val="en-US" w:eastAsia="zh-CN"/>
              </w:rPr>
              <w:t>t/a，</w:t>
            </w:r>
            <w:r>
              <w:rPr>
                <w:rFonts w:hint="eastAsia" w:ascii="Times New Roman" w:hAnsi="Times New Roman" w:cs="Times New Roman"/>
                <w:color w:val="auto"/>
                <w:sz w:val="24"/>
                <w:highlight w:val="none"/>
                <w:lang w:val="en-US" w:eastAsia="zh-CN"/>
              </w:rPr>
              <w:t>1.00</w:t>
            </w:r>
            <w:r>
              <w:rPr>
                <w:rFonts w:hint="default" w:ascii="Times New Roman" w:hAnsi="Times New Roman" w:cs="Times New Roman"/>
                <w:color w:val="auto"/>
                <w:sz w:val="24"/>
                <w:highlight w:val="none"/>
                <w:lang w:val="en-US" w:eastAsia="zh-CN"/>
              </w:rPr>
              <w:t>kg/h，</w:t>
            </w:r>
            <w:r>
              <w:rPr>
                <w:rFonts w:hint="eastAsia" w:ascii="Times New Roman" w:hAnsi="Times New Roman" w:cs="Times New Roman"/>
                <w:color w:val="auto"/>
                <w:sz w:val="24"/>
                <w:highlight w:val="none"/>
                <w:lang w:val="en-US" w:eastAsia="zh-CN"/>
              </w:rPr>
              <w:t>产生</w:t>
            </w:r>
            <w:r>
              <w:rPr>
                <w:rFonts w:hint="default" w:ascii="Times New Roman" w:hAnsi="Times New Roman" w:cs="Times New Roman"/>
                <w:color w:val="auto"/>
                <w:sz w:val="24"/>
                <w:highlight w:val="none"/>
                <w:lang w:val="en-US" w:eastAsia="zh-CN"/>
              </w:rPr>
              <w:t>浓度9</w:t>
            </w:r>
            <w:r>
              <w:rPr>
                <w:rFonts w:hint="eastAsia" w:ascii="Times New Roman" w:hAnsi="Times New Roman" w:cs="Times New Roman"/>
                <w:color w:val="auto"/>
                <w:sz w:val="24"/>
                <w:highlight w:val="none"/>
                <w:lang w:val="en-US" w:eastAsia="zh-CN"/>
              </w:rPr>
              <w:t>0</w:t>
            </w:r>
            <w:r>
              <w:rPr>
                <w:rFonts w:hint="default"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82</w:t>
            </w:r>
            <w:r>
              <w:rPr>
                <w:rFonts w:hint="default" w:ascii="Times New Roman" w:hAnsi="Times New Roman" w:cs="Times New Roman"/>
                <w:iCs/>
                <w:color w:val="auto"/>
                <w:sz w:val="24"/>
                <w:szCs w:val="24"/>
                <w:highlight w:val="none"/>
                <w:shd w:val="clear"/>
              </w:rPr>
              <w:t>mg/m</w:t>
            </w:r>
            <w:r>
              <w:rPr>
                <w:rFonts w:hint="default" w:ascii="Times New Roman" w:hAnsi="Times New Roman" w:cs="Times New Roman"/>
                <w:iCs/>
                <w:color w:val="auto"/>
                <w:sz w:val="24"/>
                <w:szCs w:val="24"/>
                <w:highlight w:val="none"/>
                <w:shd w:val="clear"/>
                <w:vertAlign w:val="superscript"/>
              </w:rPr>
              <w:t>3</w:t>
            </w:r>
            <w:r>
              <w:rPr>
                <w:rFonts w:hint="default" w:ascii="Times New Roman" w:hAnsi="Times New Roman" w:cs="Times New Roman"/>
                <w:iCs/>
                <w:color w:val="auto"/>
                <w:sz w:val="24"/>
                <w:szCs w:val="24"/>
                <w:highlight w:val="none"/>
                <w:shd w:val="clear"/>
                <w:vertAlign w:val="baseline"/>
                <w:lang w:eastAsia="zh-CN"/>
              </w:rPr>
              <w:t>。</w:t>
            </w:r>
          </w:p>
          <w:p w14:paraId="706A02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④氮氧化物（系数法）</w:t>
            </w:r>
          </w:p>
          <w:p w14:paraId="00274A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本项目锅炉燃烧生物质燃料，其中氮氧化物无相关可比性的检测数据，不满足使用《污染源源强核算技术指南 锅炉》（HJ991-2018）中物料衡算法条件，因此本项目氮氧化物核算方法采用产排污系数法，</w:t>
            </w:r>
            <w:r>
              <w:rPr>
                <w:rFonts w:ascii="Times New Roman" w:hAnsi="Times New Roman" w:cs="Times New Roman"/>
                <w:color w:val="auto"/>
                <w:sz w:val="24"/>
                <w:szCs w:val="24"/>
                <w:highlight w:val="none"/>
              </w:rPr>
              <w:t>根据《</w:t>
            </w:r>
            <w:r>
              <w:rPr>
                <w:rFonts w:hint="eastAsia" w:ascii="Times New Roman" w:hAnsi="Times New Roman" w:cs="Times New Roman"/>
                <w:color w:val="auto"/>
                <w:sz w:val="24"/>
                <w:szCs w:val="24"/>
                <w:highlight w:val="none"/>
              </w:rPr>
              <w:t>排放源统计调查产排污核算方法和系数手册</w:t>
            </w:r>
            <w:r>
              <w:rPr>
                <w:rFonts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rPr>
              <w:t>（公告 2021年 第24号）中“4430工业锅炉（热力生产和供应行业）产排污系数表”的内容，</w:t>
            </w:r>
            <w:r>
              <w:rPr>
                <w:rFonts w:ascii="Times New Roman" w:hAnsi="Times New Roman" w:cs="Times New Roman"/>
                <w:color w:val="auto"/>
                <w:sz w:val="24"/>
                <w:szCs w:val="24"/>
                <w:highlight w:val="none"/>
              </w:rPr>
              <w:t>参照生物质</w:t>
            </w:r>
            <w:r>
              <w:rPr>
                <w:rFonts w:hint="eastAsia" w:cs="Times New Roman"/>
                <w:color w:val="auto"/>
                <w:sz w:val="24"/>
                <w:szCs w:val="24"/>
                <w:highlight w:val="none"/>
                <w:lang w:val="en-US" w:eastAsia="zh-CN"/>
              </w:rPr>
              <w:t>燃料</w:t>
            </w:r>
            <w:r>
              <w:rPr>
                <w:rFonts w:ascii="Times New Roman" w:hAnsi="Times New Roman" w:cs="Times New Roman"/>
                <w:color w:val="auto"/>
                <w:sz w:val="24"/>
                <w:szCs w:val="24"/>
                <w:highlight w:val="none"/>
              </w:rPr>
              <w:t>层燃炉，NO</w:t>
            </w:r>
            <w:r>
              <w:rPr>
                <w:rFonts w:ascii="Times New Roman" w:hAnsi="Times New Roman" w:cs="Times New Roman"/>
                <w:color w:val="auto"/>
                <w:sz w:val="24"/>
                <w:szCs w:val="24"/>
                <w:highlight w:val="none"/>
                <w:vertAlign w:val="subscript"/>
              </w:rPr>
              <w:t>x</w:t>
            </w:r>
            <w:r>
              <w:rPr>
                <w:rFonts w:ascii="Times New Roman" w:hAnsi="Times New Roman" w:cs="Times New Roman"/>
                <w:color w:val="auto"/>
                <w:sz w:val="24"/>
                <w:szCs w:val="24"/>
                <w:highlight w:val="none"/>
              </w:rPr>
              <w:t>产生量为1.02kg/吨-原料。</w:t>
            </w:r>
          </w:p>
          <w:p w14:paraId="3DE53A83">
            <w:pPr>
              <w:pStyle w:val="49"/>
              <w:spacing w:line="360" w:lineRule="auto"/>
              <w:jc w:val="center"/>
              <w:rPr>
                <w:rFonts w:ascii="Times New Roman" w:hAnsi="Times New Roman" w:cs="Times New Roman"/>
                <w:color w:val="auto"/>
                <w:sz w:val="24"/>
                <w:szCs w:val="24"/>
                <w:highlight w:val="none"/>
                <w:vertAlign w:val="superscript"/>
              </w:rPr>
            </w:pPr>
            <w:r>
              <w:rPr>
                <w:rFonts w:ascii="Times New Roman" w:hAnsi="Times New Roman" w:cs="Times New Roman"/>
                <w:color w:val="auto"/>
                <w:sz w:val="24"/>
                <w:szCs w:val="24"/>
                <w:highlight w:val="none"/>
              </w:rPr>
              <w:t>NO</w:t>
            </w:r>
            <w:r>
              <w:rPr>
                <w:rFonts w:ascii="Times New Roman" w:hAnsi="Times New Roman" w:cs="Times New Roman"/>
                <w:color w:val="auto"/>
                <w:sz w:val="24"/>
                <w:szCs w:val="24"/>
                <w:highlight w:val="none"/>
                <w:vertAlign w:val="subscript"/>
              </w:rPr>
              <w:t>x</w:t>
            </w:r>
            <w:r>
              <w:rPr>
                <w:rFonts w:ascii="Times New Roman" w:hAnsi="Times New Roman" w:cs="Times New Roman"/>
                <w:color w:val="auto"/>
                <w:sz w:val="24"/>
                <w:szCs w:val="24"/>
                <w:highlight w:val="none"/>
              </w:rPr>
              <w:t>产生量=</w:t>
            </w:r>
            <w:r>
              <w:rPr>
                <w:rFonts w:hint="eastAsia" w:ascii="Times New Roman" w:hAnsi="Times New Roman" w:cs="Times New Roman"/>
                <w:color w:val="auto"/>
                <w:sz w:val="24"/>
                <w:szCs w:val="24"/>
                <w:highlight w:val="none"/>
                <w:lang w:val="en-US" w:eastAsia="zh-CN"/>
              </w:rPr>
              <w:t>原料</w:t>
            </w:r>
            <w:r>
              <w:rPr>
                <w:rFonts w:ascii="Times New Roman" w:hAnsi="Times New Roman" w:cs="Times New Roman"/>
                <w:color w:val="auto"/>
                <w:sz w:val="24"/>
                <w:szCs w:val="24"/>
                <w:highlight w:val="none"/>
              </w:rPr>
              <w:t>t/a×1.02kg/吨-原料×10</w:t>
            </w:r>
            <w:r>
              <w:rPr>
                <w:rFonts w:ascii="Times New Roman" w:hAnsi="Times New Roman" w:cs="Times New Roman"/>
                <w:color w:val="auto"/>
                <w:sz w:val="24"/>
                <w:szCs w:val="24"/>
                <w:highlight w:val="none"/>
                <w:vertAlign w:val="superscript"/>
              </w:rPr>
              <w:t>-3</w:t>
            </w:r>
          </w:p>
          <w:p w14:paraId="1E827D42">
            <w:pPr>
              <w:spacing w:line="360" w:lineRule="auto"/>
              <w:ind w:firstLine="480" w:firstLineChars="200"/>
              <w:rPr>
                <w:rFonts w:hint="default" w:ascii="Times New Roman" w:hAnsi="Times New Roman" w:cs="Times New Roman" w:eastAsiaTheme="minorEastAsia"/>
                <w:iCs/>
                <w:color w:val="FF0000"/>
                <w:sz w:val="24"/>
                <w:szCs w:val="24"/>
                <w:highlight w:val="yellow"/>
                <w:vertAlign w:val="baseline"/>
                <w:lang w:val="en-US" w:eastAsia="zh-CN"/>
              </w:rPr>
            </w:pPr>
            <w:r>
              <w:rPr>
                <w:rFonts w:hint="default" w:ascii="Times New Roman" w:hAnsi="Times New Roman" w:cs="Times New Roman"/>
                <w:color w:val="auto"/>
                <w:sz w:val="24"/>
                <w:szCs w:val="24"/>
                <w:highlight w:val="none"/>
                <w:lang w:val="en-US" w:eastAsia="zh-CN"/>
              </w:rPr>
              <w:t>1台5.6MW</w:t>
            </w:r>
            <w:r>
              <w:rPr>
                <w:rFonts w:hint="eastAsia" w:ascii="Times New Roman" w:hAnsi="Times New Roman" w:cs="Times New Roman"/>
                <w:color w:val="auto"/>
                <w:sz w:val="24"/>
                <w:szCs w:val="24"/>
                <w:highlight w:val="none"/>
                <w:lang w:val="en-US" w:eastAsia="zh-CN"/>
              </w:rPr>
              <w:t>生物质承压热水锅炉</w:t>
            </w:r>
            <w:r>
              <w:rPr>
                <w:rFonts w:hint="default" w:ascii="Times New Roman" w:hAnsi="Times New Roman" w:cs="Times New Roman"/>
                <w:color w:val="auto"/>
                <w:sz w:val="24"/>
                <w:szCs w:val="24"/>
                <w:highlight w:val="none"/>
                <w:lang w:val="en-US" w:eastAsia="zh-CN"/>
              </w:rPr>
              <w:t>燃料消耗量为</w:t>
            </w:r>
            <w:r>
              <w:rPr>
                <w:rFonts w:hint="eastAsia" w:ascii="Times New Roman" w:hAnsi="Times New Roman" w:cs="Times New Roman"/>
                <w:b w:val="0"/>
                <w:bCs w:val="0"/>
                <w:color w:val="auto"/>
                <w:sz w:val="24"/>
                <w:szCs w:val="24"/>
                <w:highlight w:val="none"/>
                <w:lang w:val="en-US" w:eastAsia="zh-CN"/>
              </w:rPr>
              <w:t>6219</w:t>
            </w:r>
            <w:r>
              <w:rPr>
                <w:rFonts w:hint="default" w:ascii="Times New Roman" w:hAnsi="Times New Roman" w:cs="Times New Roman"/>
                <w:b w:val="0"/>
                <w:bCs w:val="0"/>
                <w:color w:val="auto"/>
                <w:sz w:val="24"/>
                <w:szCs w:val="24"/>
                <w:highlight w:val="none"/>
                <w:lang w:val="en-US" w:eastAsia="zh-CN"/>
              </w:rPr>
              <w:t>t/a</w:t>
            </w:r>
            <w:r>
              <w:rPr>
                <w:rFonts w:hint="default" w:ascii="Times New Roman" w:hAnsi="Times New Roman" w:cs="Times New Roman"/>
                <w:iCs/>
                <w:color w:val="auto"/>
                <w:sz w:val="24"/>
                <w:szCs w:val="24"/>
                <w:highlight w:val="none"/>
                <w:lang w:val="en-US" w:eastAsia="zh-CN"/>
              </w:rPr>
              <w:t>，则氮氧化物产生量为</w:t>
            </w:r>
            <w:r>
              <w:rPr>
                <w:rFonts w:hint="eastAsia" w:ascii="Times New Roman" w:hAnsi="Times New Roman" w:cs="Times New Roman"/>
                <w:iCs/>
                <w:color w:val="auto"/>
                <w:sz w:val="24"/>
                <w:szCs w:val="24"/>
                <w:highlight w:val="none"/>
                <w:lang w:val="en-US" w:eastAsia="zh-CN"/>
              </w:rPr>
              <w:t>6.34</w:t>
            </w:r>
            <w:r>
              <w:rPr>
                <w:rFonts w:hint="default" w:ascii="Times New Roman" w:hAnsi="Times New Roman" w:cs="Times New Roman"/>
                <w:iCs/>
                <w:color w:val="auto"/>
                <w:sz w:val="24"/>
                <w:szCs w:val="24"/>
                <w:highlight w:val="none"/>
                <w:lang w:val="en-US" w:eastAsia="zh-CN"/>
              </w:rPr>
              <w:t>t/a，1.6</w:t>
            </w:r>
            <w:r>
              <w:rPr>
                <w:rFonts w:hint="eastAsia" w:ascii="Times New Roman" w:hAnsi="Times New Roman" w:cs="Times New Roman"/>
                <w:iCs/>
                <w:color w:val="auto"/>
                <w:sz w:val="24"/>
                <w:szCs w:val="24"/>
                <w:highlight w:val="none"/>
                <w:lang w:val="en-US" w:eastAsia="zh-CN"/>
              </w:rPr>
              <w:t>5</w:t>
            </w:r>
            <w:r>
              <w:rPr>
                <w:rFonts w:hint="default" w:ascii="Times New Roman" w:hAnsi="Times New Roman" w:cs="Times New Roman"/>
                <w:iCs/>
                <w:color w:val="auto"/>
                <w:sz w:val="24"/>
                <w:szCs w:val="24"/>
                <w:highlight w:val="none"/>
                <w:lang w:val="en-US" w:eastAsia="zh-CN"/>
              </w:rPr>
              <w:t>kg/h，产生浓度15</w:t>
            </w:r>
            <w:r>
              <w:rPr>
                <w:rFonts w:hint="eastAsia" w:ascii="Times New Roman" w:hAnsi="Times New Roman" w:cs="Times New Roman"/>
                <w:iCs/>
                <w:color w:val="auto"/>
                <w:sz w:val="24"/>
                <w:szCs w:val="24"/>
                <w:highlight w:val="none"/>
                <w:lang w:val="en-US" w:eastAsia="zh-CN"/>
              </w:rPr>
              <w:t>0</w:t>
            </w:r>
            <w:r>
              <w:rPr>
                <w:rFonts w:hint="default" w:ascii="Times New Roman" w:hAnsi="Times New Roman" w:cs="Times New Roman"/>
                <w:iCs/>
                <w:color w:val="auto"/>
                <w:sz w:val="24"/>
                <w:szCs w:val="24"/>
                <w:highlight w:val="none"/>
                <w:lang w:val="en-US" w:eastAsia="zh-CN"/>
              </w:rPr>
              <w:t>.</w:t>
            </w:r>
            <w:r>
              <w:rPr>
                <w:rFonts w:hint="eastAsia" w:ascii="Times New Roman" w:hAnsi="Times New Roman" w:cs="Times New Roman"/>
                <w:iCs/>
                <w:color w:val="auto"/>
                <w:sz w:val="24"/>
                <w:szCs w:val="24"/>
                <w:highlight w:val="none"/>
                <w:lang w:val="en-US" w:eastAsia="zh-CN"/>
              </w:rPr>
              <w:t>38</w:t>
            </w:r>
            <w:r>
              <w:rPr>
                <w:rFonts w:hint="default" w:ascii="Times New Roman" w:hAnsi="Times New Roman" w:cs="Times New Roman"/>
                <w:color w:val="auto"/>
                <w:sz w:val="24"/>
                <w:szCs w:val="24"/>
                <w:highlight w:val="none"/>
                <w:vertAlign w:val="baseline"/>
                <w:lang w:val="en-US" w:eastAsia="zh-CN"/>
              </w:rPr>
              <w:t>m</w:t>
            </w:r>
            <w:r>
              <w:rPr>
                <w:rFonts w:hint="default" w:ascii="Times New Roman" w:hAnsi="Times New Roman" w:eastAsia="宋体" w:cs="Times New Roman"/>
                <w:color w:val="auto"/>
                <w:kern w:val="2"/>
                <w:sz w:val="24"/>
                <w:szCs w:val="24"/>
                <w:highlight w:val="none"/>
                <w:lang w:val="en-US" w:eastAsia="zh-CN" w:bidi="ar-SA"/>
              </w:rPr>
              <w:t>g/m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cs="Times New Roman"/>
                <w:color w:val="auto"/>
                <w:kern w:val="2"/>
                <w:sz w:val="24"/>
                <w:szCs w:val="24"/>
                <w:highlight w:val="none"/>
                <w:vertAlign w:val="baseline"/>
                <w:lang w:val="en-US" w:eastAsia="zh-CN" w:bidi="ar-SA"/>
              </w:rPr>
              <w:t>；排放量为</w:t>
            </w:r>
            <w:r>
              <w:rPr>
                <w:rFonts w:hint="eastAsia" w:ascii="Times New Roman" w:hAnsi="Times New Roman" w:cs="Times New Roman"/>
                <w:iCs/>
                <w:color w:val="auto"/>
                <w:sz w:val="24"/>
                <w:szCs w:val="24"/>
                <w:highlight w:val="none"/>
                <w:lang w:val="en-US" w:eastAsia="zh-CN"/>
              </w:rPr>
              <w:t>6.34</w:t>
            </w:r>
            <w:r>
              <w:rPr>
                <w:rFonts w:hint="default" w:ascii="Times New Roman" w:hAnsi="Times New Roman" w:cs="Times New Roman"/>
                <w:iCs/>
                <w:color w:val="auto"/>
                <w:sz w:val="24"/>
                <w:szCs w:val="24"/>
                <w:highlight w:val="none"/>
                <w:lang w:val="en-US" w:eastAsia="zh-CN"/>
              </w:rPr>
              <w:t>t/a，1.6</w:t>
            </w:r>
            <w:r>
              <w:rPr>
                <w:rFonts w:hint="eastAsia" w:ascii="Times New Roman" w:hAnsi="Times New Roman" w:cs="Times New Roman"/>
                <w:iCs/>
                <w:color w:val="auto"/>
                <w:sz w:val="24"/>
                <w:szCs w:val="24"/>
                <w:highlight w:val="none"/>
                <w:lang w:val="en-US" w:eastAsia="zh-CN"/>
              </w:rPr>
              <w:t>5</w:t>
            </w:r>
            <w:r>
              <w:rPr>
                <w:rFonts w:hint="default" w:ascii="Times New Roman" w:hAnsi="Times New Roman" w:cs="Times New Roman"/>
                <w:iCs/>
                <w:color w:val="auto"/>
                <w:sz w:val="24"/>
                <w:szCs w:val="24"/>
                <w:highlight w:val="none"/>
                <w:lang w:val="en-US" w:eastAsia="zh-CN"/>
              </w:rPr>
              <w:t>kg/h，</w:t>
            </w:r>
            <w:r>
              <w:rPr>
                <w:rFonts w:hint="eastAsia" w:ascii="Times New Roman" w:hAnsi="Times New Roman" w:cs="Times New Roman"/>
                <w:iCs/>
                <w:color w:val="auto"/>
                <w:sz w:val="24"/>
                <w:szCs w:val="24"/>
                <w:highlight w:val="none"/>
                <w:lang w:val="en-US" w:eastAsia="zh-CN"/>
              </w:rPr>
              <w:t>排放</w:t>
            </w:r>
            <w:r>
              <w:rPr>
                <w:rFonts w:hint="default" w:ascii="Times New Roman" w:hAnsi="Times New Roman" w:cs="Times New Roman"/>
                <w:iCs/>
                <w:color w:val="auto"/>
                <w:sz w:val="24"/>
                <w:szCs w:val="24"/>
                <w:highlight w:val="none"/>
                <w:lang w:val="en-US" w:eastAsia="zh-CN"/>
              </w:rPr>
              <w:t>浓度15</w:t>
            </w:r>
            <w:r>
              <w:rPr>
                <w:rFonts w:hint="eastAsia" w:ascii="Times New Roman" w:hAnsi="Times New Roman" w:cs="Times New Roman"/>
                <w:iCs/>
                <w:color w:val="auto"/>
                <w:sz w:val="24"/>
                <w:szCs w:val="24"/>
                <w:highlight w:val="none"/>
                <w:lang w:val="en-US" w:eastAsia="zh-CN"/>
              </w:rPr>
              <w:t>0</w:t>
            </w:r>
            <w:r>
              <w:rPr>
                <w:rFonts w:hint="default" w:ascii="Times New Roman" w:hAnsi="Times New Roman" w:cs="Times New Roman"/>
                <w:iCs/>
                <w:color w:val="auto"/>
                <w:sz w:val="24"/>
                <w:szCs w:val="24"/>
                <w:highlight w:val="none"/>
                <w:lang w:val="en-US" w:eastAsia="zh-CN"/>
              </w:rPr>
              <w:t>.</w:t>
            </w:r>
            <w:r>
              <w:rPr>
                <w:rFonts w:hint="eastAsia" w:ascii="Times New Roman" w:hAnsi="Times New Roman" w:cs="Times New Roman"/>
                <w:iCs/>
                <w:color w:val="auto"/>
                <w:sz w:val="24"/>
                <w:szCs w:val="24"/>
                <w:highlight w:val="none"/>
                <w:lang w:val="en-US" w:eastAsia="zh-CN"/>
              </w:rPr>
              <w:t>38</w:t>
            </w:r>
            <w:r>
              <w:rPr>
                <w:rFonts w:hint="default" w:ascii="Times New Roman" w:hAnsi="Times New Roman" w:cs="Times New Roman"/>
                <w:color w:val="auto"/>
                <w:sz w:val="24"/>
                <w:szCs w:val="24"/>
                <w:highlight w:val="none"/>
                <w:vertAlign w:val="baseline"/>
                <w:lang w:val="en-US" w:eastAsia="zh-CN"/>
              </w:rPr>
              <w:t>m</w:t>
            </w:r>
            <w:r>
              <w:rPr>
                <w:rFonts w:hint="default" w:ascii="Times New Roman" w:hAnsi="Times New Roman" w:eastAsia="宋体" w:cs="Times New Roman"/>
                <w:color w:val="auto"/>
                <w:kern w:val="2"/>
                <w:sz w:val="24"/>
                <w:szCs w:val="24"/>
                <w:highlight w:val="none"/>
                <w:lang w:val="en-US" w:eastAsia="zh-CN" w:bidi="ar-SA"/>
              </w:rPr>
              <w:t>g/m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vertAlign w:val="baseline"/>
                <w:lang w:val="en-US" w:eastAsia="zh-CN" w:bidi="ar-SA"/>
              </w:rPr>
              <w:t>。</w:t>
            </w:r>
          </w:p>
          <w:p w14:paraId="3F03B5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（2）环保措施可行性分析</w:t>
            </w:r>
          </w:p>
          <w:p w14:paraId="4CA2D3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color w:val="auto"/>
                <w:sz w:val="24"/>
                <w:szCs w:val="24"/>
                <w:highlight w:val="none"/>
                <w:lang w:val="en-US" w:eastAsia="zh-CN" w:bidi="ar"/>
              </w:rPr>
            </w:pPr>
            <w:r>
              <w:rPr>
                <w:rFonts w:hint="eastAsia" w:ascii="宋体" w:hAnsi="宋体" w:cs="宋体"/>
                <w:b w:val="0"/>
                <w:bCs w:val="0"/>
                <w:color w:val="auto"/>
                <w:kern w:val="0"/>
                <w:sz w:val="24"/>
                <w:szCs w:val="24"/>
                <w:highlight w:val="none"/>
                <w:lang w:val="en-US" w:eastAsia="zh-CN"/>
              </w:rPr>
              <w:t>项目锅炉烟气净化措施采用</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b w:val="0"/>
                <w:bCs w:val="0"/>
                <w:color w:val="auto"/>
                <w:sz w:val="24"/>
                <w:szCs w:val="24"/>
                <w:highlight w:val="none"/>
                <w:lang w:val="en-US" w:eastAsia="zh-CN"/>
              </w:rPr>
              <w:t>旋风多管陶瓷除尘器+布袋除尘器</w:t>
            </w:r>
            <w:r>
              <w:rPr>
                <w:rFonts w:hint="eastAsia" w:ascii="Times New Roman" w:hAnsi="Times New Roman" w:eastAsia="宋体" w:cs="Times New Roman"/>
                <w:color w:val="auto"/>
                <w:sz w:val="24"/>
                <w:szCs w:val="24"/>
                <w:highlight w:val="none"/>
                <w:lang w:val="en-US" w:eastAsia="zh-CN"/>
              </w:rPr>
              <w:t>”</w:t>
            </w:r>
            <w:r>
              <w:rPr>
                <w:rFonts w:hint="eastAsia" w:ascii="宋体" w:hAnsi="宋体" w:cs="宋体"/>
                <w:b w:val="0"/>
                <w:bCs w:val="0"/>
                <w:color w:val="auto"/>
                <w:kern w:val="0"/>
                <w:sz w:val="24"/>
                <w:szCs w:val="24"/>
                <w:highlight w:val="none"/>
                <w:lang w:val="en-US" w:eastAsia="zh-CN"/>
              </w:rPr>
              <w:t>技术，除尘效率</w:t>
            </w:r>
            <w:r>
              <w:rPr>
                <w:rFonts w:hint="eastAsia" w:ascii="Times New Roman" w:hAnsi="Times New Roman" w:cs="Times New Roman"/>
                <w:color w:val="auto"/>
                <w:sz w:val="24"/>
                <w:szCs w:val="24"/>
                <w:highlight w:val="none"/>
                <w:lang w:val="en-US" w:eastAsia="zh-CN" w:bidi="ar"/>
              </w:rPr>
              <w:t>99</w:t>
            </w:r>
            <w:r>
              <w:rPr>
                <w:rFonts w:hint="eastAsia" w:cs="Times New Roman"/>
                <w:color w:val="auto"/>
                <w:sz w:val="24"/>
                <w:szCs w:val="24"/>
                <w:highlight w:val="none"/>
                <w:lang w:val="en-US" w:eastAsia="zh-CN" w:bidi="ar"/>
              </w:rPr>
              <w:t>.8</w:t>
            </w:r>
            <w:r>
              <w:rPr>
                <w:rFonts w:hint="eastAsia" w:ascii="Times New Roman" w:hAnsi="Times New Roman" w:cs="Times New Roman"/>
                <w:color w:val="auto"/>
                <w:sz w:val="24"/>
                <w:szCs w:val="24"/>
                <w:highlight w:val="none"/>
                <w:lang w:val="en-US" w:eastAsia="zh-CN" w:bidi="ar"/>
              </w:rPr>
              <w:t>%</w:t>
            </w:r>
            <w:r>
              <w:rPr>
                <w:rFonts w:hint="default" w:ascii="Times New Roman" w:hAnsi="Times New Roman" w:cs="Times New Roman"/>
                <w:color w:val="auto"/>
                <w:sz w:val="24"/>
                <w:szCs w:val="24"/>
                <w:highlight w:val="none"/>
                <w:lang w:val="en-US" w:eastAsia="zh-CN" w:bidi="ar"/>
              </w:rPr>
              <w:t>，</w:t>
            </w:r>
            <w:r>
              <w:rPr>
                <w:rFonts w:hint="eastAsia" w:ascii="Times New Roman" w:hAnsi="Times New Roman" w:cs="Times New Roman"/>
                <w:color w:val="auto"/>
                <w:sz w:val="24"/>
                <w:szCs w:val="24"/>
                <w:highlight w:val="none"/>
                <w:lang w:val="en-US" w:eastAsia="zh-CN" w:bidi="ar"/>
              </w:rPr>
              <w:t>可有效削减颗粒物排放量</w:t>
            </w:r>
            <w:r>
              <w:rPr>
                <w:rFonts w:hint="eastAsia" w:cs="Times New Roman"/>
                <w:color w:val="auto"/>
                <w:sz w:val="24"/>
                <w:szCs w:val="24"/>
                <w:highlight w:val="none"/>
                <w:lang w:val="en-US" w:eastAsia="zh-CN" w:bidi="ar"/>
              </w:rPr>
              <w:t>。</w:t>
            </w:r>
            <w:r>
              <w:rPr>
                <w:rFonts w:hint="eastAsia" w:ascii="Times New Roman" w:hAnsi="Times New Roman" w:cs="Times New Roman"/>
                <w:color w:val="auto"/>
                <w:sz w:val="24"/>
                <w:szCs w:val="24"/>
                <w:highlight w:val="none"/>
                <w:lang w:val="en-US" w:eastAsia="zh-CN" w:bidi="ar"/>
              </w:rPr>
              <w:t>由于项目</w:t>
            </w:r>
            <w:r>
              <w:rPr>
                <w:rFonts w:hint="eastAsia" w:cs="Times New Roman"/>
                <w:color w:val="auto"/>
                <w:sz w:val="24"/>
                <w:szCs w:val="24"/>
                <w:highlight w:val="none"/>
                <w:lang w:val="en-US" w:eastAsia="zh-CN" w:bidi="ar"/>
              </w:rPr>
              <w:t>锅炉</w:t>
            </w:r>
            <w:r>
              <w:rPr>
                <w:rFonts w:hint="eastAsia" w:ascii="Times New Roman" w:hAnsi="Times New Roman" w:cs="Times New Roman"/>
                <w:color w:val="auto"/>
                <w:sz w:val="24"/>
                <w:szCs w:val="24"/>
                <w:highlight w:val="none"/>
                <w:lang w:val="en-US" w:eastAsia="zh-CN" w:bidi="ar"/>
              </w:rPr>
              <w:t>燃料为生物质成型燃料，</w:t>
            </w:r>
            <w:r>
              <w:rPr>
                <w:rFonts w:hint="eastAsia" w:cs="Times New Roman"/>
                <w:color w:val="auto"/>
                <w:sz w:val="24"/>
                <w:szCs w:val="24"/>
                <w:highlight w:val="none"/>
                <w:lang w:val="en-US" w:eastAsia="zh-CN" w:bidi="ar"/>
              </w:rPr>
              <w:t>根据源强核算结果，颗粒物经布袋除尘器处理后排放浓度满足</w:t>
            </w:r>
            <w:r>
              <w:rPr>
                <w:rFonts w:hint="eastAsia"/>
                <w:color w:val="auto"/>
                <w:sz w:val="24"/>
                <w:szCs w:val="24"/>
                <w:highlight w:val="none"/>
              </w:rPr>
              <w:t>《锅炉大气污染物排放标准》（GB13271-2014）表3中燃煤锅炉大气污染物特别排放限值</w:t>
            </w:r>
            <w:r>
              <w:rPr>
                <w:rFonts w:hint="eastAsia" w:ascii="宋体" w:hAnsi="宋体" w:cs="宋体"/>
                <w:b w:val="0"/>
                <w:bCs w:val="0"/>
                <w:color w:val="auto"/>
                <w:kern w:val="0"/>
                <w:sz w:val="24"/>
                <w:szCs w:val="24"/>
                <w:highlight w:val="none"/>
                <w:lang w:val="en-US" w:eastAsia="zh-CN"/>
              </w:rPr>
              <w:t>；锅炉</w:t>
            </w:r>
            <w:r>
              <w:rPr>
                <w:rFonts w:hint="eastAsia" w:cs="Times New Roman"/>
                <w:color w:val="auto"/>
                <w:sz w:val="24"/>
                <w:szCs w:val="24"/>
                <w:highlight w:val="none"/>
                <w:lang w:val="en-US" w:eastAsia="zh-CN" w:bidi="ar"/>
              </w:rPr>
              <w:t>烟气中二氧化硫、氮氧化物含量均较少，因此无需设置脱硫脱硝环保措施，二氧化硫、氮氧化物排放浓度仍满足</w:t>
            </w:r>
            <w:r>
              <w:rPr>
                <w:rFonts w:hint="eastAsia"/>
                <w:color w:val="auto"/>
                <w:sz w:val="24"/>
                <w:szCs w:val="24"/>
                <w:highlight w:val="none"/>
              </w:rPr>
              <w:t>《锅炉大气污染物排放标准》（GB13271-2014）表3中燃煤锅炉大气污染物特别排放限值</w:t>
            </w:r>
            <w:r>
              <w:rPr>
                <w:rFonts w:hint="eastAsia"/>
                <w:color w:val="auto"/>
                <w:sz w:val="24"/>
                <w:szCs w:val="24"/>
                <w:highlight w:val="none"/>
                <w:lang w:val="en-US" w:eastAsia="zh-CN"/>
              </w:rPr>
              <w:t>锅炉烟气经布袋除尘器处理后，通过35m高的烟囱（DA001）排放</w:t>
            </w:r>
            <w:r>
              <w:rPr>
                <w:rFonts w:hint="eastAsia" w:cs="Times New Roman"/>
                <w:b w:val="0"/>
                <w:bCs w:val="0"/>
                <w:color w:val="auto"/>
                <w:sz w:val="24"/>
                <w:szCs w:val="24"/>
                <w:highlight w:val="none"/>
                <w:lang w:val="en-US" w:eastAsia="zh-CN"/>
              </w:rPr>
              <w:t>。因此</w:t>
            </w:r>
            <w:r>
              <w:rPr>
                <w:rFonts w:hint="eastAsia"/>
                <w:color w:val="auto"/>
                <w:sz w:val="24"/>
                <w:szCs w:val="24"/>
                <w:highlight w:val="none"/>
                <w:lang w:val="en-US" w:eastAsia="zh-CN" w:bidi="ar"/>
              </w:rPr>
              <w:t>环保措施合理、可行。</w:t>
            </w:r>
          </w:p>
          <w:p w14:paraId="1E6722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（3）锅炉烟囱高度合理性分析</w:t>
            </w:r>
          </w:p>
          <w:p w14:paraId="3FE441D8">
            <w:pPr>
              <w:pStyle w:val="43"/>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val="0"/>
                <w:bCs w:val="0"/>
                <w:color w:val="auto"/>
                <w:kern w:val="0"/>
                <w:sz w:val="24"/>
                <w:szCs w:val="24"/>
                <w:highlight w:val="none"/>
                <w:lang w:val="en-US" w:eastAsia="zh-CN"/>
              </w:rPr>
            </w:pPr>
            <w:r>
              <w:rPr>
                <w:rFonts w:hint="default" w:ascii="Times New Roman" w:hAnsi="Times New Roman" w:cs="Times New Roman"/>
                <w:b w:val="0"/>
                <w:bCs w:val="0"/>
                <w:color w:val="auto"/>
                <w:kern w:val="0"/>
                <w:sz w:val="24"/>
                <w:szCs w:val="24"/>
                <w:highlight w:val="none"/>
                <w:lang w:val="en-US" w:eastAsia="zh-CN"/>
              </w:rPr>
              <w:t>根据《锅炉大气污染物排放标准》（GB13271-2014）中4.5要求，燃煤锅炉房</w:t>
            </w:r>
            <w:r>
              <w:rPr>
                <w:rFonts w:hint="eastAsia" w:cs="Times New Roman"/>
                <w:b w:val="0"/>
                <w:bCs w:val="0"/>
                <w:color w:val="auto"/>
                <w:kern w:val="0"/>
                <w:sz w:val="24"/>
                <w:szCs w:val="24"/>
                <w:highlight w:val="none"/>
                <w:lang w:val="en-US" w:eastAsia="zh-CN"/>
              </w:rPr>
              <w:t>烟囱最低运行高度中</w:t>
            </w:r>
            <w:r>
              <w:rPr>
                <w:rFonts w:hint="default" w:ascii="Times New Roman" w:hAnsi="Times New Roman" w:cs="Times New Roman"/>
                <w:b w:val="0"/>
                <w:bCs w:val="0"/>
                <w:color w:val="auto"/>
                <w:kern w:val="0"/>
                <w:sz w:val="24"/>
                <w:szCs w:val="24"/>
                <w:highlight w:val="none"/>
                <w:lang w:val="en-US" w:eastAsia="zh-CN"/>
              </w:rPr>
              <w:t>装机总容量</w:t>
            </w:r>
            <w:r>
              <w:rPr>
                <w:rFonts w:hint="eastAsia" w:cs="Times New Roman"/>
                <w:b w:val="0"/>
                <w:bCs w:val="0"/>
                <w:color w:val="auto"/>
                <w:kern w:val="0"/>
                <w:sz w:val="24"/>
                <w:szCs w:val="24"/>
                <w:highlight w:val="none"/>
                <w:lang w:val="en-US" w:eastAsia="zh-CN"/>
              </w:rPr>
              <w:t>2.8</w:t>
            </w:r>
            <w:r>
              <w:rPr>
                <w:rFonts w:hint="default" w:ascii="Times New Roman" w:hAnsi="Times New Roman" w:cs="Times New Roman"/>
                <w:b w:val="0"/>
                <w:bCs w:val="0"/>
                <w:color w:val="auto"/>
                <w:kern w:val="0"/>
                <w:sz w:val="24"/>
                <w:szCs w:val="24"/>
                <w:highlight w:val="none"/>
                <w:lang w:val="en-US" w:eastAsia="zh-CN"/>
              </w:rPr>
              <w:t>~＜</w:t>
            </w:r>
            <w:r>
              <w:rPr>
                <w:rFonts w:hint="eastAsia" w:cs="Times New Roman"/>
                <w:b w:val="0"/>
                <w:bCs w:val="0"/>
                <w:color w:val="auto"/>
                <w:kern w:val="0"/>
                <w:sz w:val="24"/>
                <w:szCs w:val="24"/>
                <w:highlight w:val="none"/>
                <w:lang w:val="en-US" w:eastAsia="zh-CN"/>
              </w:rPr>
              <w:t>7（MW）</w:t>
            </w:r>
            <w:r>
              <w:rPr>
                <w:rFonts w:hint="default" w:ascii="Times New Roman" w:hAnsi="Times New Roman" w:cs="Times New Roman"/>
                <w:b w:val="0"/>
                <w:bCs w:val="0"/>
                <w:color w:val="auto"/>
                <w:kern w:val="0"/>
                <w:sz w:val="24"/>
                <w:szCs w:val="24"/>
                <w:highlight w:val="none"/>
                <w:lang w:val="en-US" w:eastAsia="zh-CN"/>
              </w:rPr>
              <w:t>，烟囱最低允许高度为</w:t>
            </w:r>
            <w:r>
              <w:rPr>
                <w:rFonts w:hint="eastAsia" w:cs="Times New Roman"/>
                <w:b w:val="0"/>
                <w:bCs w:val="0"/>
                <w:color w:val="auto"/>
                <w:kern w:val="0"/>
                <w:sz w:val="24"/>
                <w:szCs w:val="24"/>
                <w:highlight w:val="none"/>
                <w:lang w:val="en-US" w:eastAsia="zh-CN"/>
              </w:rPr>
              <w:t>35m</w:t>
            </w:r>
            <w:r>
              <w:rPr>
                <w:rFonts w:hint="default" w:ascii="Times New Roman" w:hAnsi="Times New Roman" w:cs="Times New Roman"/>
                <w:b w:val="0"/>
                <w:bCs w:val="0"/>
                <w:color w:val="auto"/>
                <w:kern w:val="0"/>
                <w:sz w:val="24"/>
                <w:szCs w:val="24"/>
                <w:highlight w:val="none"/>
                <w:lang w:val="en-US" w:eastAsia="zh-CN"/>
              </w:rPr>
              <w:t>，且应高出烟囱周围半径200</w:t>
            </w:r>
            <w:r>
              <w:rPr>
                <w:rFonts w:hint="eastAsia" w:cs="Times New Roman"/>
                <w:b w:val="0"/>
                <w:bCs w:val="0"/>
                <w:color w:val="auto"/>
                <w:kern w:val="0"/>
                <w:sz w:val="24"/>
                <w:szCs w:val="24"/>
                <w:highlight w:val="none"/>
                <w:lang w:val="en-US" w:eastAsia="zh-CN"/>
              </w:rPr>
              <w:t>m</w:t>
            </w:r>
            <w:r>
              <w:rPr>
                <w:rFonts w:hint="default" w:ascii="Times New Roman" w:hAnsi="Times New Roman" w:cs="Times New Roman"/>
                <w:b w:val="0"/>
                <w:bCs w:val="0"/>
                <w:color w:val="auto"/>
                <w:kern w:val="0"/>
                <w:sz w:val="24"/>
                <w:szCs w:val="24"/>
                <w:highlight w:val="none"/>
                <w:lang w:val="en-US" w:eastAsia="zh-CN"/>
              </w:rPr>
              <w:t>范围内最高建筑3</w:t>
            </w:r>
            <w:r>
              <w:rPr>
                <w:rFonts w:hint="eastAsia" w:cs="Times New Roman"/>
                <w:b w:val="0"/>
                <w:bCs w:val="0"/>
                <w:color w:val="auto"/>
                <w:kern w:val="0"/>
                <w:sz w:val="24"/>
                <w:szCs w:val="24"/>
                <w:highlight w:val="none"/>
                <w:lang w:val="en-US" w:eastAsia="zh-CN"/>
              </w:rPr>
              <w:t>m</w:t>
            </w:r>
            <w:r>
              <w:rPr>
                <w:rFonts w:hint="default" w:ascii="Times New Roman" w:hAnsi="Times New Roman" w:cs="Times New Roman"/>
                <w:b w:val="0"/>
                <w:bCs w:val="0"/>
                <w:color w:val="auto"/>
                <w:kern w:val="0"/>
                <w:sz w:val="24"/>
                <w:szCs w:val="24"/>
                <w:highlight w:val="none"/>
                <w:lang w:val="en-US" w:eastAsia="zh-CN"/>
              </w:rPr>
              <w:t>以上。项目</w:t>
            </w:r>
            <w:r>
              <w:rPr>
                <w:rFonts w:hint="eastAsia" w:cs="Times New Roman"/>
                <w:color w:val="auto"/>
                <w:sz w:val="24"/>
                <w:szCs w:val="24"/>
                <w:highlight w:val="none"/>
                <w:lang w:val="en-US" w:eastAsia="zh-CN"/>
              </w:rPr>
              <w:t>1台5.6MW</w:t>
            </w:r>
            <w:r>
              <w:rPr>
                <w:rFonts w:hint="default" w:ascii="Times New Roman" w:hAnsi="Times New Roman" w:eastAsia="宋体" w:cs="Times New Roman"/>
                <w:b w:val="0"/>
                <w:bCs w:val="0"/>
                <w:color w:val="auto"/>
                <w:sz w:val="24"/>
                <w:szCs w:val="24"/>
                <w:highlight w:val="none"/>
                <w:lang w:val="en-US" w:eastAsia="zh-CN"/>
              </w:rPr>
              <w:t>生物质承压热水锅炉</w:t>
            </w:r>
            <w:r>
              <w:rPr>
                <w:rFonts w:hint="default" w:ascii="Times New Roman" w:hAnsi="Times New Roman" w:cs="Times New Roman"/>
                <w:b w:val="0"/>
                <w:bCs w:val="0"/>
                <w:color w:val="auto"/>
                <w:kern w:val="0"/>
                <w:sz w:val="24"/>
                <w:szCs w:val="24"/>
                <w:highlight w:val="none"/>
                <w:lang w:val="en-US" w:eastAsia="zh-CN"/>
              </w:rPr>
              <w:t>（</w:t>
            </w:r>
            <w:r>
              <w:rPr>
                <w:rFonts w:hint="eastAsia" w:ascii="Times New Roman" w:hAnsi="Times New Roman" w:cs="Times New Roman"/>
                <w:b w:val="0"/>
                <w:bCs w:val="0"/>
                <w:color w:val="auto"/>
                <w:kern w:val="0"/>
                <w:sz w:val="24"/>
                <w:szCs w:val="24"/>
                <w:highlight w:val="none"/>
                <w:lang w:val="en-US" w:eastAsia="zh-CN"/>
              </w:rPr>
              <w:t>生物质成型燃料锅炉</w:t>
            </w:r>
            <w:r>
              <w:rPr>
                <w:rFonts w:hint="default" w:ascii="Times New Roman" w:hAnsi="Times New Roman" w:cs="Times New Roman"/>
                <w:b w:val="0"/>
                <w:bCs w:val="0"/>
                <w:color w:val="auto"/>
                <w:kern w:val="0"/>
                <w:sz w:val="24"/>
                <w:szCs w:val="24"/>
                <w:highlight w:val="none"/>
                <w:lang w:val="en-US" w:eastAsia="zh-CN"/>
              </w:rPr>
              <w:t>执行燃煤锅炉标准），烟囱周围半径200</w:t>
            </w:r>
            <w:r>
              <w:rPr>
                <w:rFonts w:hint="eastAsia" w:cs="Times New Roman"/>
                <w:b w:val="0"/>
                <w:bCs w:val="0"/>
                <w:color w:val="auto"/>
                <w:kern w:val="0"/>
                <w:sz w:val="24"/>
                <w:szCs w:val="24"/>
                <w:highlight w:val="none"/>
                <w:lang w:val="en-US" w:eastAsia="zh-CN"/>
              </w:rPr>
              <w:t>m</w:t>
            </w:r>
            <w:r>
              <w:rPr>
                <w:rFonts w:hint="default" w:ascii="Times New Roman" w:hAnsi="Times New Roman" w:cs="Times New Roman"/>
                <w:b w:val="0"/>
                <w:bCs w:val="0"/>
                <w:color w:val="auto"/>
                <w:kern w:val="0"/>
                <w:sz w:val="24"/>
                <w:szCs w:val="24"/>
                <w:highlight w:val="none"/>
                <w:lang w:val="en-US" w:eastAsia="zh-CN"/>
              </w:rPr>
              <w:t>范围内最高建筑物高度约10</w:t>
            </w:r>
            <w:r>
              <w:rPr>
                <w:rFonts w:hint="eastAsia" w:cs="Times New Roman"/>
                <w:b w:val="0"/>
                <w:bCs w:val="0"/>
                <w:color w:val="auto"/>
                <w:kern w:val="0"/>
                <w:sz w:val="24"/>
                <w:szCs w:val="24"/>
                <w:highlight w:val="none"/>
                <w:lang w:val="en-US" w:eastAsia="zh-CN"/>
              </w:rPr>
              <w:t>m</w:t>
            </w:r>
            <w:r>
              <w:rPr>
                <w:rFonts w:hint="default" w:ascii="Times New Roman" w:hAnsi="Times New Roman" w:cs="Times New Roman"/>
                <w:b w:val="0"/>
                <w:bCs w:val="0"/>
                <w:color w:val="auto"/>
                <w:kern w:val="0"/>
                <w:sz w:val="24"/>
                <w:szCs w:val="24"/>
                <w:highlight w:val="none"/>
                <w:lang w:val="en-US" w:eastAsia="zh-CN"/>
              </w:rPr>
              <w:t>，项目设置锅炉烟囱（DA001）设置高度为</w:t>
            </w:r>
            <w:r>
              <w:rPr>
                <w:rFonts w:hint="eastAsia" w:cs="Times New Roman"/>
                <w:b w:val="0"/>
                <w:bCs w:val="0"/>
                <w:color w:val="auto"/>
                <w:kern w:val="0"/>
                <w:sz w:val="24"/>
                <w:szCs w:val="24"/>
                <w:highlight w:val="none"/>
                <w:lang w:val="en-US" w:eastAsia="zh-CN"/>
              </w:rPr>
              <w:t>35m，</w:t>
            </w:r>
            <w:r>
              <w:rPr>
                <w:rFonts w:hint="default" w:ascii="Times New Roman" w:hAnsi="Times New Roman" w:cs="Times New Roman"/>
                <w:b w:val="0"/>
                <w:bCs w:val="0"/>
                <w:color w:val="auto"/>
                <w:kern w:val="0"/>
                <w:sz w:val="24"/>
                <w:szCs w:val="24"/>
                <w:highlight w:val="none"/>
                <w:lang w:val="en-US" w:eastAsia="zh-CN"/>
              </w:rPr>
              <w:t>排气筒高度符合</w:t>
            </w:r>
            <w:r>
              <w:rPr>
                <w:rFonts w:hint="eastAsia" w:cs="Times New Roman"/>
                <w:b w:val="0"/>
                <w:bCs w:val="0"/>
                <w:color w:val="auto"/>
                <w:kern w:val="0"/>
                <w:sz w:val="24"/>
                <w:szCs w:val="24"/>
                <w:highlight w:val="none"/>
                <w:lang w:val="en-US" w:eastAsia="zh-CN"/>
              </w:rPr>
              <w:t>排放标准</w:t>
            </w:r>
            <w:r>
              <w:rPr>
                <w:rFonts w:hint="default" w:ascii="Times New Roman" w:hAnsi="Times New Roman" w:cs="Times New Roman"/>
                <w:b w:val="0"/>
                <w:bCs w:val="0"/>
                <w:color w:val="auto"/>
                <w:kern w:val="0"/>
                <w:sz w:val="24"/>
                <w:szCs w:val="24"/>
                <w:highlight w:val="none"/>
                <w:lang w:val="en-US" w:eastAsia="zh-CN"/>
              </w:rPr>
              <w:t>且合理可行。</w:t>
            </w:r>
          </w:p>
          <w:p w14:paraId="19C6A4F4">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宋体" w:cs="Times New Roman"/>
                <w:b w:val="0"/>
                <w:bCs/>
                <w:color w:val="auto"/>
                <w:spacing w:val="-10"/>
                <w:sz w:val="24"/>
                <w:szCs w:val="24"/>
                <w:highlight w:val="none"/>
                <w:lang w:val="en-US" w:eastAsia="zh-CN"/>
              </w:rPr>
            </w:pPr>
            <w:r>
              <w:rPr>
                <w:rFonts w:hint="eastAsia" w:ascii="Times New Roman" w:hAnsi="Times New Roman" w:eastAsia="宋体" w:cs="Times New Roman"/>
                <w:b w:val="0"/>
                <w:bCs/>
                <w:color w:val="auto"/>
                <w:spacing w:val="-10"/>
                <w:sz w:val="24"/>
                <w:szCs w:val="24"/>
                <w:highlight w:val="none"/>
                <w:lang w:val="en-US" w:eastAsia="zh-CN"/>
              </w:rPr>
              <w:t>2.</w:t>
            </w:r>
            <w:r>
              <w:rPr>
                <w:rFonts w:hint="eastAsia" w:cs="Times New Roman"/>
                <w:b w:val="0"/>
                <w:bCs/>
                <w:color w:val="auto"/>
                <w:spacing w:val="-10"/>
                <w:sz w:val="24"/>
                <w:szCs w:val="24"/>
                <w:highlight w:val="none"/>
                <w:lang w:val="en-US" w:eastAsia="zh-CN"/>
              </w:rPr>
              <w:t>灰渣暂存间</w:t>
            </w:r>
            <w:r>
              <w:rPr>
                <w:rFonts w:hint="eastAsia" w:ascii="Times New Roman" w:hAnsi="Times New Roman" w:eastAsia="宋体" w:cs="Times New Roman"/>
                <w:b w:val="0"/>
                <w:bCs/>
                <w:color w:val="auto"/>
                <w:spacing w:val="-10"/>
                <w:sz w:val="24"/>
                <w:szCs w:val="24"/>
                <w:highlight w:val="none"/>
                <w:lang w:val="en-US" w:eastAsia="zh-CN"/>
              </w:rPr>
              <w:t>颗粒物无组织排放源强</w:t>
            </w:r>
          </w:p>
          <w:p w14:paraId="3600A9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cs="Times New Roman"/>
                <w:b w:val="0"/>
                <w:bCs/>
                <w:color w:val="auto"/>
                <w:sz w:val="24"/>
                <w:szCs w:val="24"/>
                <w:highlight w:val="none"/>
                <w:lang w:val="en-US" w:eastAsia="zh-CN"/>
              </w:rPr>
            </w:pPr>
            <w:r>
              <w:rPr>
                <w:rFonts w:hint="eastAsia" w:cs="Times New Roman"/>
                <w:b w:val="0"/>
                <w:bCs/>
                <w:color w:val="auto"/>
                <w:sz w:val="24"/>
                <w:szCs w:val="24"/>
                <w:highlight w:val="none"/>
                <w:lang w:val="en-US" w:eastAsia="zh-CN"/>
              </w:rPr>
              <w:t>（1）源强核算</w:t>
            </w:r>
          </w:p>
          <w:p w14:paraId="1B1EE2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cs="Times New Roman"/>
                <w:b w:val="0"/>
                <w:bCs/>
                <w:color w:val="auto"/>
                <w:sz w:val="24"/>
                <w:szCs w:val="24"/>
                <w:highlight w:val="none"/>
                <w:lang w:val="en-US" w:eastAsia="zh-CN"/>
              </w:rPr>
            </w:pPr>
            <w:r>
              <w:rPr>
                <w:rFonts w:hint="eastAsia" w:cs="Times New Roman"/>
                <w:b w:val="0"/>
                <w:bCs/>
                <w:color w:val="auto"/>
                <w:sz w:val="24"/>
                <w:szCs w:val="24"/>
                <w:highlight w:val="none"/>
                <w:lang w:val="en-US" w:eastAsia="zh-CN"/>
              </w:rPr>
              <w:t>项目锅炉灰渣收集后袋装暂存于封闭式的灰渣暂存间，</w:t>
            </w:r>
            <w:r>
              <w:rPr>
                <w:rFonts w:hint="eastAsia"/>
                <w:color w:val="auto"/>
                <w:spacing w:val="0"/>
                <w:sz w:val="24"/>
                <w:highlight w:val="none"/>
              </w:rPr>
              <w:t>根据《固体物料堆存颗粒物产排污核算系数手册》计算颗</w:t>
            </w:r>
            <w:r>
              <w:rPr>
                <w:rFonts w:hint="eastAsia"/>
                <w:color w:val="auto"/>
                <w:spacing w:val="0"/>
                <w:sz w:val="24"/>
                <w:highlight w:val="none"/>
                <w:lang w:eastAsia="zh-CN"/>
              </w:rPr>
              <w:t>灰渣储存间</w:t>
            </w:r>
            <w:r>
              <w:rPr>
                <w:rFonts w:hint="eastAsia"/>
                <w:color w:val="auto"/>
                <w:spacing w:val="0"/>
                <w:sz w:val="24"/>
                <w:highlight w:val="none"/>
              </w:rPr>
              <w:t>粒物无组织排放量，工业企业固体物料堆存颗粒物包括装卸场尘和风蚀扬尘。</w:t>
            </w:r>
          </w:p>
          <w:p w14:paraId="7E232B4C">
            <w:pPr>
              <w:pStyle w:val="5"/>
              <w:spacing w:line="360" w:lineRule="auto"/>
              <w:jc w:val="center"/>
              <w:rPr>
                <w:color w:val="auto"/>
                <w:spacing w:val="0"/>
                <w:highlight w:val="none"/>
              </w:rPr>
            </w:pPr>
            <w:r>
              <w:rPr>
                <w:color w:val="auto"/>
                <w:spacing w:val="0"/>
                <w:position w:val="-14"/>
                <w:highlight w:val="none"/>
              </w:rPr>
              <w:object>
                <v:shape id="_x0000_i1043" o:spt="75" type="#_x0000_t75" style="height:20pt;width:245pt;" o:ole="t" filled="f" o:preferrelative="t" stroked="f" coordsize="21600,21600">
                  <v:path/>
                  <v:fill on="f" focussize="0,0"/>
                  <v:stroke on="f"/>
                  <v:imagedata r:id="rId57" o:title=""/>
                  <o:lock v:ext="edit" aspectratio="t"/>
                  <w10:wrap type="none"/>
                  <w10:anchorlock/>
                </v:shape>
                <o:OLEObject Type="Embed" ProgID="Equation.KSEE3" ShapeID="_x0000_i1043" DrawAspect="Content" ObjectID="_1468075743" r:id="rId56">
                  <o:LockedField>false</o:LockedField>
                </o:OLEObject>
              </w:object>
            </w:r>
          </w:p>
          <w:p w14:paraId="13268CE2">
            <w:pPr>
              <w:spacing w:line="360" w:lineRule="auto"/>
              <w:ind w:firstLine="480" w:firstLineChars="200"/>
              <w:rPr>
                <w:color w:val="auto"/>
                <w:spacing w:val="0"/>
                <w:sz w:val="24"/>
                <w:highlight w:val="none"/>
              </w:rPr>
            </w:pPr>
            <w:r>
              <w:rPr>
                <w:rFonts w:hint="eastAsia"/>
                <w:color w:val="auto"/>
                <w:spacing w:val="0"/>
                <w:sz w:val="24"/>
                <w:highlight w:val="none"/>
              </w:rPr>
              <w:t>式中：</w:t>
            </w:r>
            <w:r>
              <w:rPr>
                <w:rFonts w:hint="eastAsia"/>
                <w:color w:val="auto"/>
                <w:spacing w:val="0"/>
                <w:position w:val="-4"/>
                <w:sz w:val="24"/>
                <w:highlight w:val="none"/>
              </w:rPr>
              <w:object>
                <v:shape id="_x0000_i1044" o:spt="75" type="#_x0000_t75" style="height:13pt;width:12pt;" o:ole="t" filled="f" o:preferrelative="t" stroked="f" coordsize="21600,21600">
                  <v:path/>
                  <v:fill on="f" focussize="0,0"/>
                  <v:stroke on="f"/>
                  <v:imagedata r:id="rId59" o:title=""/>
                  <o:lock v:ext="edit" aspectratio="t"/>
                  <w10:wrap type="none"/>
                  <w10:anchorlock/>
                </v:shape>
                <o:OLEObject Type="Embed" ProgID="Equation.KSEE3" ShapeID="_x0000_i1044" DrawAspect="Content" ObjectID="_1468075744" r:id="rId58">
                  <o:LockedField>false</o:LockedField>
                </o:OLEObject>
              </w:object>
            </w:r>
            <w:r>
              <w:rPr>
                <w:rFonts w:hint="eastAsia"/>
                <w:color w:val="auto"/>
                <w:spacing w:val="0"/>
                <w:sz w:val="24"/>
                <w:highlight w:val="none"/>
              </w:rPr>
              <w:t xml:space="preserve">—指颗粒物产生量（单位：吨）； </w:t>
            </w:r>
          </w:p>
          <w:p w14:paraId="4214BF16">
            <w:pPr>
              <w:spacing w:line="360" w:lineRule="auto"/>
              <w:ind w:firstLine="1200" w:firstLineChars="500"/>
              <w:rPr>
                <w:color w:val="auto"/>
                <w:spacing w:val="0"/>
                <w:sz w:val="24"/>
                <w:highlight w:val="none"/>
              </w:rPr>
            </w:pPr>
            <w:r>
              <w:rPr>
                <w:rFonts w:hint="eastAsia"/>
                <w:color w:val="auto"/>
                <w:spacing w:val="0"/>
                <w:position w:val="-14"/>
                <w:sz w:val="24"/>
                <w:highlight w:val="none"/>
              </w:rPr>
              <w:object>
                <v:shape id="_x0000_i1045" o:spt="75" type="#_x0000_t75" style="height:19pt;width:23pt;" o:ole="t" filled="f" o:preferrelative="t" stroked="f" coordsize="21600,21600">
                  <v:path/>
                  <v:fill on="f" focussize="0,0"/>
                  <v:stroke on="f"/>
                  <v:imagedata r:id="rId61" o:title=""/>
                  <o:lock v:ext="edit" aspectratio="t"/>
                  <w10:wrap type="none"/>
                  <w10:anchorlock/>
                </v:shape>
                <o:OLEObject Type="Embed" ProgID="Equation.KSEE3" ShapeID="_x0000_i1045" DrawAspect="Content" ObjectID="_1468075745" r:id="rId60">
                  <o:LockedField>false</o:LockedField>
                </o:OLEObject>
              </w:object>
            </w:r>
            <w:r>
              <w:rPr>
                <w:rFonts w:hint="eastAsia"/>
                <w:color w:val="auto"/>
                <w:spacing w:val="0"/>
                <w:sz w:val="24"/>
                <w:highlight w:val="none"/>
              </w:rPr>
              <w:t xml:space="preserve">—指装卸扬尘产生量（单位：吨）； </w:t>
            </w:r>
          </w:p>
          <w:p w14:paraId="69F327E9">
            <w:pPr>
              <w:spacing w:line="360" w:lineRule="auto"/>
              <w:ind w:firstLine="1200" w:firstLineChars="500"/>
              <w:rPr>
                <w:color w:val="auto"/>
                <w:spacing w:val="0"/>
                <w:sz w:val="24"/>
                <w:highlight w:val="none"/>
              </w:rPr>
            </w:pPr>
            <w:r>
              <w:rPr>
                <w:rFonts w:hint="eastAsia"/>
                <w:color w:val="auto"/>
                <w:spacing w:val="0"/>
                <w:position w:val="-14"/>
                <w:sz w:val="24"/>
                <w:highlight w:val="none"/>
              </w:rPr>
              <w:object>
                <v:shape id="_x0000_i1046" o:spt="75" type="#_x0000_t75" style="height:19pt;width:24pt;" o:ole="t" filled="f" o:preferrelative="t" stroked="f" coordsize="21600,21600">
                  <v:path/>
                  <v:fill on="f" focussize="0,0"/>
                  <v:stroke on="f"/>
                  <v:imagedata r:id="rId63" o:title=""/>
                  <o:lock v:ext="edit" aspectratio="t"/>
                  <w10:wrap type="none"/>
                  <w10:anchorlock/>
                </v:shape>
                <o:OLEObject Type="Embed" ProgID="Equation.KSEE3" ShapeID="_x0000_i1046" DrawAspect="Content" ObjectID="_1468075746" r:id="rId62">
                  <o:LockedField>false</o:LockedField>
                </o:OLEObject>
              </w:object>
            </w:r>
            <w:r>
              <w:rPr>
                <w:rFonts w:hint="eastAsia"/>
                <w:color w:val="auto"/>
                <w:spacing w:val="0"/>
                <w:sz w:val="24"/>
                <w:highlight w:val="none"/>
              </w:rPr>
              <w:t xml:space="preserve">—指风蚀扬尘产生量（单位：吨）； </w:t>
            </w:r>
          </w:p>
          <w:p w14:paraId="6A835293">
            <w:pPr>
              <w:spacing w:line="360" w:lineRule="auto"/>
              <w:ind w:firstLine="1200" w:firstLineChars="500"/>
              <w:rPr>
                <w:color w:val="auto"/>
                <w:spacing w:val="0"/>
                <w:highlight w:val="none"/>
              </w:rPr>
            </w:pPr>
            <w:r>
              <w:rPr>
                <w:rFonts w:hint="eastAsia"/>
                <w:color w:val="auto"/>
                <w:spacing w:val="0"/>
                <w:position w:val="-12"/>
                <w:sz w:val="24"/>
                <w:highlight w:val="none"/>
              </w:rPr>
              <w:object>
                <v:shape id="_x0000_i1047" o:spt="75" type="#_x0000_t75" style="height:18pt;width:16pt;" o:ole="t" filled="f" o:preferrelative="t" stroked="f" coordsize="21600,21600">
                  <v:path/>
                  <v:fill on="f" focussize="0,0"/>
                  <v:stroke on="f"/>
                  <v:imagedata r:id="rId65" o:title=""/>
                  <o:lock v:ext="edit" aspectratio="t"/>
                  <w10:wrap type="none"/>
                  <w10:anchorlock/>
                </v:shape>
                <o:OLEObject Type="Embed" ProgID="Equation.KSEE3" ShapeID="_x0000_i1047" DrawAspect="Content" ObjectID="_1468075747" r:id="rId64">
                  <o:LockedField>false</o:LockedField>
                </o:OLEObject>
              </w:object>
            </w:r>
            <w:r>
              <w:rPr>
                <w:rFonts w:hint="eastAsia"/>
                <w:color w:val="auto"/>
                <w:spacing w:val="0"/>
                <w:sz w:val="24"/>
                <w:highlight w:val="none"/>
              </w:rPr>
              <w:t>—指年物料运载车次（单位：车），取</w:t>
            </w:r>
            <w:r>
              <w:rPr>
                <w:rFonts w:hint="eastAsia"/>
                <w:color w:val="auto"/>
                <w:spacing w:val="0"/>
                <w:sz w:val="24"/>
                <w:highlight w:val="none"/>
                <w:lang w:val="en-US" w:eastAsia="zh-CN"/>
              </w:rPr>
              <w:t>12</w:t>
            </w:r>
            <w:r>
              <w:rPr>
                <w:rFonts w:hint="eastAsia"/>
                <w:color w:val="auto"/>
                <w:spacing w:val="0"/>
                <w:sz w:val="24"/>
                <w:highlight w:val="none"/>
              </w:rPr>
              <w:t>车；</w:t>
            </w:r>
          </w:p>
          <w:p w14:paraId="28E4C7BE">
            <w:pPr>
              <w:spacing w:line="360" w:lineRule="auto"/>
              <w:ind w:firstLine="1200" w:firstLineChars="500"/>
              <w:rPr>
                <w:rFonts w:hint="default" w:eastAsia="宋体"/>
                <w:color w:val="auto"/>
                <w:spacing w:val="0"/>
                <w:sz w:val="24"/>
                <w:highlight w:val="none"/>
                <w:lang w:val="en-US" w:eastAsia="zh-CN"/>
              </w:rPr>
            </w:pPr>
            <w:r>
              <w:rPr>
                <w:rFonts w:hint="eastAsia"/>
                <w:color w:val="auto"/>
                <w:spacing w:val="0"/>
                <w:position w:val="-4"/>
                <w:sz w:val="24"/>
                <w:highlight w:val="none"/>
              </w:rPr>
              <w:object>
                <v:shape id="_x0000_i1048" o:spt="75" type="#_x0000_t75" style="height:13pt;width:13pt;" o:ole="t" filled="f" o:preferrelative="t" stroked="f" coordsize="21600,21600">
                  <v:path/>
                  <v:fill on="f" focussize="0,0"/>
                  <v:stroke on="f"/>
                  <v:imagedata r:id="rId67" o:title=""/>
                  <o:lock v:ext="edit" aspectratio="t"/>
                  <w10:wrap type="none"/>
                  <w10:anchorlock/>
                </v:shape>
                <o:OLEObject Type="Embed" ProgID="Equation.KSEE3" ShapeID="_x0000_i1048" DrawAspect="Content" ObjectID="_1468075748" r:id="rId66">
                  <o:LockedField>false</o:LockedField>
                </o:OLEObject>
              </w:object>
            </w:r>
            <w:r>
              <w:rPr>
                <w:rFonts w:hint="eastAsia"/>
                <w:color w:val="auto"/>
                <w:spacing w:val="0"/>
                <w:sz w:val="24"/>
                <w:highlight w:val="none"/>
              </w:rPr>
              <w:t>—指单车平均运载量（单位：吨</w:t>
            </w:r>
            <w:r>
              <w:rPr>
                <w:color w:val="auto"/>
                <w:spacing w:val="0"/>
                <w:sz w:val="24"/>
                <w:highlight w:val="none"/>
              </w:rPr>
              <w:t>/</w:t>
            </w:r>
            <w:r>
              <w:rPr>
                <w:rFonts w:hint="eastAsia"/>
                <w:color w:val="auto"/>
                <w:spacing w:val="0"/>
                <w:sz w:val="24"/>
                <w:highlight w:val="none"/>
              </w:rPr>
              <w:t>车）；</w:t>
            </w:r>
            <w:r>
              <w:rPr>
                <w:rFonts w:hint="eastAsia"/>
                <w:color w:val="auto"/>
                <w:spacing w:val="0"/>
                <w:sz w:val="24"/>
                <w:highlight w:val="none"/>
                <w:lang w:val="en-US" w:eastAsia="zh-CN"/>
              </w:rPr>
              <w:t>取40吨</w:t>
            </w:r>
          </w:p>
          <w:p w14:paraId="35FE4A44">
            <w:pPr>
              <w:spacing w:line="360" w:lineRule="auto"/>
              <w:ind w:firstLine="1200" w:firstLineChars="500"/>
              <w:rPr>
                <w:color w:val="auto"/>
                <w:spacing w:val="0"/>
                <w:sz w:val="24"/>
                <w:highlight w:val="none"/>
              </w:rPr>
            </w:pPr>
            <w:r>
              <w:rPr>
                <w:rFonts w:hint="eastAsia"/>
                <w:color w:val="auto"/>
                <w:spacing w:val="0"/>
                <w:position w:val="-10"/>
                <w:sz w:val="24"/>
                <w:highlight w:val="none"/>
              </w:rPr>
              <w:object>
                <v:shape id="_x0000_i1049" o:spt="75" type="#_x0000_t75" style="height:17pt;width:28pt;" o:ole="t" filled="f" o:preferrelative="t" stroked="f" coordsize="21600,21600">
                  <v:path/>
                  <v:fill on="f" focussize="0,0"/>
                  <v:stroke on="f"/>
                  <v:imagedata r:id="rId69" o:title=""/>
                  <o:lock v:ext="edit" aspectratio="t"/>
                  <w10:wrap type="none"/>
                  <w10:anchorlock/>
                </v:shape>
                <o:OLEObject Type="Embed" ProgID="Equation.KSEE3" ShapeID="_x0000_i1049" DrawAspect="Content" ObjectID="_1468075749" r:id="rId68">
                  <o:LockedField>false</o:LockedField>
                </o:OLEObject>
              </w:object>
            </w:r>
            <w:r>
              <w:rPr>
                <w:rFonts w:hint="eastAsia"/>
                <w:color w:val="auto"/>
                <w:spacing w:val="0"/>
                <w:sz w:val="24"/>
                <w:highlight w:val="none"/>
              </w:rPr>
              <w:t>—指装卸扬尘概化系数（单位：千克</w:t>
            </w:r>
            <w:r>
              <w:rPr>
                <w:color w:val="auto"/>
                <w:spacing w:val="0"/>
                <w:sz w:val="24"/>
                <w:highlight w:val="none"/>
              </w:rPr>
              <w:t>/</w:t>
            </w:r>
            <w:r>
              <w:rPr>
                <w:rFonts w:hint="eastAsia"/>
                <w:color w:val="auto"/>
                <w:spacing w:val="0"/>
                <w:sz w:val="24"/>
                <w:highlight w:val="none"/>
              </w:rPr>
              <w:t>吨），</w:t>
            </w:r>
            <w:r>
              <w:rPr>
                <w:color w:val="auto"/>
                <w:spacing w:val="0"/>
                <w:sz w:val="24"/>
                <w:highlight w:val="none"/>
              </w:rPr>
              <w:t>ɑ</w:t>
            </w:r>
            <w:r>
              <w:rPr>
                <w:rFonts w:hint="eastAsia"/>
                <w:color w:val="auto"/>
                <w:spacing w:val="0"/>
                <w:sz w:val="24"/>
                <w:highlight w:val="none"/>
              </w:rPr>
              <w:t>指各省风速概化系数，取0.0015，</w:t>
            </w:r>
            <w:r>
              <w:rPr>
                <w:color w:val="auto"/>
                <w:spacing w:val="0"/>
                <w:sz w:val="24"/>
                <w:highlight w:val="none"/>
              </w:rPr>
              <w:t>b</w:t>
            </w:r>
            <w:r>
              <w:rPr>
                <w:rFonts w:hint="eastAsia"/>
                <w:color w:val="auto"/>
                <w:spacing w:val="0"/>
                <w:sz w:val="24"/>
                <w:highlight w:val="none"/>
              </w:rPr>
              <w:t xml:space="preserve">指物料含水率概化系数，取0.0005； </w:t>
            </w:r>
          </w:p>
          <w:p w14:paraId="59610CB2">
            <w:pPr>
              <w:spacing w:line="360" w:lineRule="auto"/>
              <w:ind w:firstLine="1200" w:firstLineChars="500"/>
              <w:rPr>
                <w:color w:val="auto"/>
                <w:spacing w:val="0"/>
                <w:sz w:val="24"/>
                <w:highlight w:val="none"/>
              </w:rPr>
            </w:pPr>
            <w:r>
              <w:rPr>
                <w:rFonts w:hint="eastAsia"/>
                <w:color w:val="auto"/>
                <w:spacing w:val="0"/>
                <w:position w:val="-14"/>
                <w:sz w:val="24"/>
                <w:highlight w:val="none"/>
              </w:rPr>
              <w:object>
                <v:shape id="_x0000_i1050" o:spt="75" type="#_x0000_t75" style="height:19pt;width:17pt;" o:ole="t" filled="f" o:preferrelative="t" stroked="f" coordsize="21600,21600">
                  <v:path/>
                  <v:fill on="f" focussize="0,0"/>
                  <v:stroke on="f"/>
                  <v:imagedata r:id="rId71" o:title=""/>
                  <o:lock v:ext="edit" aspectratio="t"/>
                  <w10:wrap type="none"/>
                  <w10:anchorlock/>
                </v:shape>
                <o:OLEObject Type="Embed" ProgID="Equation.KSEE3" ShapeID="_x0000_i1050" DrawAspect="Content" ObjectID="_1468075750" r:id="rId70">
                  <o:LockedField>false</o:LockedField>
                </o:OLEObject>
              </w:object>
            </w:r>
            <w:r>
              <w:rPr>
                <w:rFonts w:hint="eastAsia"/>
                <w:color w:val="auto"/>
                <w:spacing w:val="0"/>
                <w:sz w:val="24"/>
                <w:highlight w:val="none"/>
              </w:rPr>
              <w:t>—指堆场风蚀扬尘概化系数，取46.1652（单位：千克</w:t>
            </w:r>
            <w:r>
              <w:rPr>
                <w:color w:val="auto"/>
                <w:spacing w:val="0"/>
                <w:sz w:val="24"/>
                <w:highlight w:val="none"/>
              </w:rPr>
              <w:t>/</w:t>
            </w:r>
            <w:r>
              <w:rPr>
                <w:rFonts w:hint="eastAsia"/>
                <w:color w:val="auto"/>
                <w:spacing w:val="0"/>
                <w:sz w:val="24"/>
                <w:highlight w:val="none"/>
              </w:rPr>
              <w:t xml:space="preserve">平方米）； </w:t>
            </w:r>
          </w:p>
          <w:p w14:paraId="092BA372">
            <w:pPr>
              <w:spacing w:line="360" w:lineRule="auto"/>
              <w:ind w:firstLine="1200" w:firstLineChars="500"/>
              <w:rPr>
                <w:color w:val="auto"/>
                <w:spacing w:val="0"/>
                <w:sz w:val="24"/>
                <w:highlight w:val="none"/>
              </w:rPr>
            </w:pPr>
            <w:r>
              <w:rPr>
                <w:rFonts w:hint="eastAsia"/>
                <w:color w:val="auto"/>
                <w:spacing w:val="0"/>
                <w:position w:val="-6"/>
                <w:sz w:val="24"/>
                <w:highlight w:val="none"/>
              </w:rPr>
              <w:object>
                <v:shape id="_x0000_i1051" o:spt="75" type="#_x0000_t75" style="height:13.95pt;width:11pt;" o:ole="t" filled="f" o:preferrelative="t" stroked="f" coordsize="21600,21600">
                  <v:path/>
                  <v:fill on="f" focussize="0,0"/>
                  <v:stroke on="f"/>
                  <v:imagedata r:id="rId73" o:title=""/>
                  <o:lock v:ext="edit" aspectratio="t"/>
                  <w10:wrap type="none"/>
                  <w10:anchorlock/>
                </v:shape>
                <o:OLEObject Type="Embed" ProgID="Equation.KSEE3" ShapeID="_x0000_i1051" DrawAspect="Content" ObjectID="_1468075751" r:id="rId72">
                  <o:LockedField>false</o:LockedField>
                </o:OLEObject>
              </w:object>
            </w:r>
            <w:r>
              <w:rPr>
                <w:rFonts w:hint="eastAsia"/>
                <w:color w:val="auto"/>
                <w:spacing w:val="0"/>
                <w:sz w:val="24"/>
                <w:highlight w:val="none"/>
              </w:rPr>
              <w:t>—指堆场占地面积（单位：平方米），</w:t>
            </w:r>
            <w:r>
              <w:rPr>
                <w:rFonts w:hint="eastAsia"/>
                <w:color w:val="auto"/>
                <w:spacing w:val="0"/>
                <w:sz w:val="24"/>
                <w:highlight w:val="none"/>
                <w:lang w:val="en-US" w:eastAsia="zh-CN"/>
              </w:rPr>
              <w:t>15</w:t>
            </w:r>
            <w:r>
              <w:rPr>
                <w:rFonts w:hint="eastAsia"/>
                <w:color w:val="auto"/>
                <w:spacing w:val="0"/>
                <w:sz w:val="24"/>
                <w:highlight w:val="none"/>
              </w:rPr>
              <w:t>平方米。</w:t>
            </w:r>
          </w:p>
          <w:p w14:paraId="03730EFB">
            <w:pPr>
              <w:pStyle w:val="6"/>
              <w:spacing w:line="360" w:lineRule="auto"/>
              <w:ind w:firstLine="480" w:firstLineChars="200"/>
              <w:rPr>
                <w:rFonts w:ascii="Times New Roman"/>
                <w:color w:val="FF0000"/>
                <w:spacing w:val="0"/>
                <w:kern w:val="2"/>
                <w:szCs w:val="24"/>
                <w:highlight w:val="none"/>
              </w:rPr>
            </w:pPr>
            <w:r>
              <w:rPr>
                <w:rFonts w:ascii="Times New Roman"/>
                <w:color w:val="auto"/>
                <w:spacing w:val="0"/>
                <w:kern w:val="2"/>
                <w:szCs w:val="24"/>
                <w:highlight w:val="none"/>
              </w:rPr>
              <w:t>计算得：</w:t>
            </w:r>
            <w:r>
              <w:rPr>
                <w:rFonts w:hint="eastAsia" w:ascii="Times New Roman"/>
                <w:color w:val="auto"/>
                <w:spacing w:val="0"/>
                <w:position w:val="-4"/>
                <w:highlight w:val="none"/>
              </w:rPr>
              <w:object>
                <v:shape id="_x0000_i1052" o:spt="75" type="#_x0000_t75" style="height:13pt;width:12pt;" o:ole="t" filled="f" o:preferrelative="t" stroked="f" coordsize="21600,21600">
                  <v:path/>
                  <v:fill on="f" focussize="0,0"/>
                  <v:stroke on="f"/>
                  <v:imagedata r:id="rId59" o:title=""/>
                  <o:lock v:ext="edit" aspectratio="t"/>
                  <w10:wrap type="none"/>
                  <w10:anchorlock/>
                </v:shape>
                <o:OLEObject Type="Embed" ProgID="Equation.KSEE3" ShapeID="_x0000_i1052" DrawAspect="Content" ObjectID="_1468075752" r:id="rId74">
                  <o:LockedField>false</o:LockedField>
                </o:OLEObject>
              </w:object>
            </w:r>
            <w:r>
              <w:rPr>
                <w:rFonts w:ascii="Times New Roman"/>
                <w:color w:val="auto"/>
                <w:spacing w:val="0"/>
                <w:kern w:val="2"/>
                <w:szCs w:val="24"/>
                <w:highlight w:val="none"/>
              </w:rPr>
              <w:t>=</w:t>
            </w:r>
            <w:r>
              <w:rPr>
                <w:rFonts w:hint="eastAsia" w:ascii="Times New Roman"/>
                <w:color w:val="auto"/>
                <w:spacing w:val="0"/>
                <w:kern w:val="2"/>
                <w:szCs w:val="24"/>
                <w:highlight w:val="none"/>
                <w:lang w:val="en-US" w:eastAsia="zh-CN"/>
              </w:rPr>
              <w:t>18.66t</w:t>
            </w:r>
            <w:r>
              <w:rPr>
                <w:rFonts w:ascii="Times New Roman"/>
                <w:color w:val="auto"/>
                <w:spacing w:val="0"/>
                <w:kern w:val="2"/>
                <w:szCs w:val="24"/>
                <w:highlight w:val="none"/>
              </w:rPr>
              <w:t>/a</w:t>
            </w:r>
            <w:r>
              <w:rPr>
                <w:rFonts w:hint="eastAsia" w:ascii="Times New Roman"/>
                <w:color w:val="auto"/>
                <w:spacing w:val="0"/>
                <w:kern w:val="2"/>
                <w:szCs w:val="24"/>
                <w:highlight w:val="none"/>
              </w:rPr>
              <w:t>，</w:t>
            </w:r>
            <w:r>
              <w:rPr>
                <w:rFonts w:hint="eastAsia" w:ascii="Times New Roman"/>
                <w:color w:val="auto"/>
                <w:spacing w:val="0"/>
                <w:kern w:val="2"/>
                <w:szCs w:val="24"/>
                <w:highlight w:val="none"/>
                <w:lang w:val="en-US" w:eastAsia="zh-CN"/>
              </w:rPr>
              <w:t>4.87</w:t>
            </w:r>
            <w:r>
              <w:rPr>
                <w:rFonts w:hint="eastAsia" w:ascii="Times New Roman"/>
                <w:color w:val="auto"/>
                <w:spacing w:val="0"/>
                <w:kern w:val="2"/>
                <w:szCs w:val="24"/>
                <w:highlight w:val="none"/>
              </w:rPr>
              <w:t>kg/h。</w:t>
            </w:r>
          </w:p>
          <w:p w14:paraId="5631CF8F">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color w:val="auto"/>
                <w:spacing w:val="0"/>
                <w:sz w:val="24"/>
                <w:highlight w:val="none"/>
              </w:rPr>
            </w:pPr>
            <w:r>
              <w:rPr>
                <w:rFonts w:hint="eastAsia"/>
                <w:color w:val="auto"/>
                <w:spacing w:val="0"/>
                <w:sz w:val="24"/>
                <w:highlight w:val="none"/>
              </w:rPr>
              <w:t>颗粒物产生量具体核算方法及计算结果如下：</w:t>
            </w:r>
          </w:p>
          <w:p w14:paraId="212CAD3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color w:val="FF0000"/>
                <w:spacing w:val="0"/>
                <w:highlight w:val="none"/>
              </w:rPr>
            </w:pPr>
            <w:r>
              <w:rPr>
                <w:color w:val="FF0000"/>
                <w:spacing w:val="0"/>
                <w:position w:val="-12"/>
                <w:highlight w:val="none"/>
              </w:rPr>
              <w:object>
                <v:shape id="_x0000_i1053" o:spt="75" type="#_x0000_t75" style="height:18pt;width:125pt;" o:ole="t" filled="f" o:preferrelative="t" stroked="f" coordsize="21600,21600">
                  <v:path/>
                  <v:fill on="f" focussize="0,0"/>
                  <v:stroke on="f"/>
                  <v:imagedata r:id="rId76" o:title=""/>
                  <o:lock v:ext="edit" aspectratio="t"/>
                  <w10:wrap type="none"/>
                  <w10:anchorlock/>
                </v:shape>
                <o:OLEObject Type="Embed" ProgID="Equation.KSEE3" ShapeID="_x0000_i1053" DrawAspect="Content" ObjectID="_1468075753" r:id="rId75">
                  <o:LockedField>false</o:LockedField>
                </o:OLEObject>
              </w:object>
            </w:r>
          </w:p>
          <w:p w14:paraId="5FF899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pacing w:val="0"/>
                <w:sz w:val="24"/>
                <w:highlight w:val="none"/>
              </w:rPr>
            </w:pPr>
            <w:r>
              <w:rPr>
                <w:rFonts w:hint="eastAsia"/>
                <w:color w:val="auto"/>
                <w:spacing w:val="0"/>
                <w:sz w:val="24"/>
                <w:highlight w:val="none"/>
              </w:rPr>
              <w:t>式中：</w:t>
            </w:r>
          </w:p>
          <w:p w14:paraId="19E05F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pacing w:val="0"/>
                <w:sz w:val="24"/>
                <w:highlight w:val="none"/>
              </w:rPr>
            </w:pPr>
            <w:r>
              <w:rPr>
                <w:rFonts w:hint="eastAsia"/>
                <w:color w:val="auto"/>
                <w:spacing w:val="0"/>
                <w:position w:val="-4"/>
                <w:sz w:val="24"/>
                <w:highlight w:val="none"/>
              </w:rPr>
              <w:object>
                <v:shape id="_x0000_i1054" o:spt="75" type="#_x0000_t75" style="height:13pt;width:12pt;" o:ole="t" filled="f" o:preferrelative="t" stroked="f" coordsize="21600,21600">
                  <v:path/>
                  <v:fill on="f" focussize="0,0"/>
                  <v:stroke on="f"/>
                  <v:imagedata r:id="rId59" o:title=""/>
                  <o:lock v:ext="edit" aspectratio="t"/>
                  <w10:wrap type="none"/>
                  <w10:anchorlock/>
                </v:shape>
                <o:OLEObject Type="Embed" ProgID="Equation.KSEE3" ShapeID="_x0000_i1054" DrawAspect="Content" ObjectID="_1468075754" r:id="rId77">
                  <o:LockedField>false</o:LockedField>
                </o:OLEObject>
              </w:object>
            </w:r>
            <w:r>
              <w:rPr>
                <w:rFonts w:hint="eastAsia"/>
                <w:color w:val="auto"/>
                <w:spacing w:val="0"/>
                <w:sz w:val="24"/>
                <w:highlight w:val="none"/>
              </w:rPr>
              <w:t>—指颗粒物产生量（单位：吨）；</w:t>
            </w:r>
          </w:p>
          <w:p w14:paraId="2DDC37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pacing w:val="0"/>
                <w:sz w:val="24"/>
                <w:highlight w:val="none"/>
              </w:rPr>
            </w:pPr>
            <w:r>
              <w:rPr>
                <w:rFonts w:hint="eastAsia"/>
                <w:color w:val="auto"/>
                <w:spacing w:val="0"/>
                <w:position w:val="-12"/>
                <w:sz w:val="24"/>
                <w:highlight w:val="none"/>
              </w:rPr>
              <w:object>
                <v:shape id="_x0000_i1055" o:spt="75" type="#_x0000_t75" style="height:18pt;width:16pt;" o:ole="t" filled="f" o:preferrelative="t" stroked="f" coordsize="21600,21600">
                  <v:path/>
                  <v:fill on="f" focussize="0,0"/>
                  <v:stroke on="f"/>
                  <v:imagedata r:id="rId79" o:title=""/>
                  <o:lock v:ext="edit" aspectratio="t"/>
                  <w10:wrap type="none"/>
                  <w10:anchorlock/>
                </v:shape>
                <o:OLEObject Type="Embed" ProgID="Equation.KSEE3" ShapeID="_x0000_i1055" DrawAspect="Content" ObjectID="_1468075755" r:id="rId78">
                  <o:LockedField>false</o:LockedField>
                </o:OLEObject>
              </w:object>
            </w:r>
            <w:r>
              <w:rPr>
                <w:rFonts w:hint="eastAsia"/>
                <w:color w:val="auto"/>
                <w:spacing w:val="0"/>
                <w:sz w:val="24"/>
                <w:highlight w:val="none"/>
              </w:rPr>
              <w:t>—指颗粒物排放量（单位：吨）；</w:t>
            </w:r>
          </w:p>
          <w:p w14:paraId="7C830C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pacing w:val="0"/>
                <w:sz w:val="24"/>
                <w:highlight w:val="none"/>
              </w:rPr>
            </w:pPr>
            <w:r>
              <w:rPr>
                <w:rFonts w:hint="eastAsia"/>
                <w:color w:val="auto"/>
                <w:spacing w:val="0"/>
                <w:position w:val="-12"/>
                <w:sz w:val="24"/>
                <w:highlight w:val="none"/>
              </w:rPr>
              <w:object>
                <v:shape id="_x0000_i1056" o:spt="75" type="#_x0000_t75" style="height:18pt;width:17pt;" o:ole="t" filled="f" o:preferrelative="t" stroked="f" coordsize="21600,21600">
                  <v:path/>
                  <v:fill on="f" focussize="0,0"/>
                  <v:stroke on="f"/>
                  <v:imagedata r:id="rId81" o:title=""/>
                  <o:lock v:ext="edit" aspectratio="t"/>
                  <w10:wrap type="none"/>
                  <w10:anchorlock/>
                </v:shape>
                <o:OLEObject Type="Embed" ProgID="Equation.KSEE3" ShapeID="_x0000_i1056" DrawAspect="Content" ObjectID="_1468075756" r:id="rId80">
                  <o:LockedField>false</o:LockedField>
                </o:OLEObject>
              </w:object>
            </w:r>
            <w:r>
              <w:rPr>
                <w:rFonts w:hint="eastAsia"/>
                <w:color w:val="auto"/>
                <w:spacing w:val="0"/>
                <w:sz w:val="24"/>
                <w:highlight w:val="none"/>
              </w:rPr>
              <w:t>—指颗粒物控制措施控制效率（单位：</w:t>
            </w:r>
            <w:r>
              <w:rPr>
                <w:color w:val="auto"/>
                <w:spacing w:val="0"/>
                <w:sz w:val="24"/>
                <w:highlight w:val="none"/>
              </w:rPr>
              <w:t>%</w:t>
            </w:r>
            <w:r>
              <w:rPr>
                <w:rFonts w:hint="eastAsia"/>
                <w:color w:val="auto"/>
                <w:spacing w:val="0"/>
                <w:sz w:val="24"/>
                <w:highlight w:val="none"/>
              </w:rPr>
              <w:t>），取74%；</w:t>
            </w:r>
          </w:p>
          <w:p w14:paraId="4BBF72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cs="Times New Roman"/>
                <w:b/>
                <w:bCs/>
                <w:color w:val="auto"/>
                <w:sz w:val="24"/>
                <w:szCs w:val="24"/>
                <w:highlight w:val="none"/>
                <w:lang w:val="en-US" w:eastAsia="zh-CN"/>
              </w:rPr>
            </w:pPr>
            <w:r>
              <w:rPr>
                <w:rFonts w:hint="eastAsia"/>
                <w:color w:val="auto"/>
                <w:spacing w:val="0"/>
                <w:position w:val="-12"/>
                <w:sz w:val="24"/>
                <w:highlight w:val="none"/>
              </w:rPr>
              <w:object>
                <v:shape id="_x0000_i1057" o:spt="75" type="#_x0000_t75" style="height:18pt;width:15pt;" o:ole="t" filled="f" o:preferrelative="t" stroked="f" coordsize="21600,21600">
                  <v:path/>
                  <v:fill on="f" focussize="0,0"/>
                  <v:stroke on="f"/>
                  <v:imagedata r:id="rId83" o:title=""/>
                  <o:lock v:ext="edit" aspectratio="t"/>
                  <w10:wrap type="none"/>
                  <w10:anchorlock/>
                </v:shape>
                <o:OLEObject Type="Embed" ProgID="Equation.KSEE3" ShapeID="_x0000_i1057" DrawAspect="Content" ObjectID="_1468075757" r:id="rId82">
                  <o:LockedField>false</o:LockedField>
                </o:OLEObject>
              </w:object>
            </w:r>
            <w:r>
              <w:rPr>
                <w:rFonts w:hint="eastAsia"/>
                <w:color w:val="auto"/>
                <w:spacing w:val="0"/>
                <w:sz w:val="24"/>
                <w:highlight w:val="none"/>
              </w:rPr>
              <w:t>—指堆场类型控制效率（单位：</w:t>
            </w:r>
            <w:r>
              <w:rPr>
                <w:color w:val="auto"/>
                <w:spacing w:val="0"/>
                <w:sz w:val="24"/>
                <w:highlight w:val="none"/>
              </w:rPr>
              <w:t>%</w:t>
            </w:r>
            <w:r>
              <w:rPr>
                <w:rFonts w:hint="eastAsia"/>
                <w:color w:val="auto"/>
                <w:spacing w:val="0"/>
                <w:sz w:val="24"/>
                <w:highlight w:val="none"/>
              </w:rPr>
              <w:t>），取99%。</w:t>
            </w:r>
          </w:p>
          <w:p w14:paraId="6F482F84">
            <w:pPr>
              <w:spacing w:line="360" w:lineRule="auto"/>
              <w:ind w:firstLine="480" w:firstLineChars="200"/>
              <w:rPr>
                <w:color w:val="auto"/>
                <w:spacing w:val="0"/>
                <w:sz w:val="24"/>
                <w:highlight w:val="none"/>
              </w:rPr>
            </w:pPr>
            <w:r>
              <w:rPr>
                <w:color w:val="auto"/>
                <w:spacing w:val="0"/>
                <w:sz w:val="24"/>
                <w:highlight w:val="none"/>
              </w:rPr>
              <w:t>计算得：</w:t>
            </w:r>
            <w:r>
              <w:rPr>
                <w:rFonts w:hint="eastAsia"/>
                <w:color w:val="auto"/>
                <w:spacing w:val="0"/>
                <w:position w:val="-12"/>
                <w:sz w:val="24"/>
                <w:highlight w:val="none"/>
              </w:rPr>
              <w:object>
                <v:shape id="_x0000_i1058" o:spt="75" type="#_x0000_t75" style="height:18pt;width:16pt;" o:ole="t" filled="f" o:preferrelative="t" stroked="f" coordsize="21600,21600">
                  <v:path/>
                  <v:fill on="f" focussize="0,0"/>
                  <v:stroke on="f"/>
                  <v:imagedata r:id="rId79" o:title=""/>
                  <o:lock v:ext="edit" aspectratio="t"/>
                  <w10:wrap type="none"/>
                  <w10:anchorlock/>
                </v:shape>
                <o:OLEObject Type="Embed" ProgID="Equation.KSEE3" ShapeID="_x0000_i1058" DrawAspect="Content" ObjectID="_1468075758" r:id="rId84">
                  <o:LockedField>false</o:LockedField>
                </o:OLEObject>
              </w:object>
            </w:r>
            <w:r>
              <w:rPr>
                <w:color w:val="auto"/>
                <w:spacing w:val="0"/>
                <w:sz w:val="24"/>
                <w:highlight w:val="none"/>
              </w:rPr>
              <w:t>=</w:t>
            </w:r>
            <w:r>
              <w:rPr>
                <w:rFonts w:hint="eastAsia"/>
                <w:color w:val="auto"/>
                <w:spacing w:val="0"/>
                <w:sz w:val="24"/>
                <w:highlight w:val="none"/>
              </w:rPr>
              <w:t>0.</w:t>
            </w:r>
            <w:r>
              <w:rPr>
                <w:rFonts w:hint="eastAsia"/>
                <w:color w:val="auto"/>
                <w:spacing w:val="0"/>
                <w:sz w:val="24"/>
                <w:highlight w:val="none"/>
                <w:lang w:val="en-US" w:eastAsia="zh-CN"/>
              </w:rPr>
              <w:t>05</w:t>
            </w:r>
            <w:r>
              <w:rPr>
                <w:rFonts w:hint="eastAsia"/>
                <w:color w:val="auto"/>
                <w:spacing w:val="0"/>
                <w:sz w:val="24"/>
                <w:highlight w:val="none"/>
              </w:rPr>
              <w:t>t</w:t>
            </w:r>
            <w:r>
              <w:rPr>
                <w:color w:val="auto"/>
                <w:spacing w:val="0"/>
                <w:sz w:val="24"/>
                <w:highlight w:val="none"/>
              </w:rPr>
              <w:t>/a</w:t>
            </w:r>
            <w:r>
              <w:rPr>
                <w:rFonts w:hint="eastAsia"/>
                <w:color w:val="auto"/>
                <w:spacing w:val="0"/>
                <w:sz w:val="24"/>
                <w:highlight w:val="none"/>
              </w:rPr>
              <w:t>，0.</w:t>
            </w:r>
            <w:r>
              <w:rPr>
                <w:rFonts w:hint="eastAsia"/>
                <w:color w:val="auto"/>
                <w:spacing w:val="0"/>
                <w:sz w:val="24"/>
                <w:highlight w:val="none"/>
                <w:lang w:val="en-US" w:eastAsia="zh-CN"/>
              </w:rPr>
              <w:t>01</w:t>
            </w:r>
            <w:r>
              <w:rPr>
                <w:rFonts w:hint="eastAsia"/>
                <w:color w:val="auto"/>
                <w:spacing w:val="0"/>
                <w:sz w:val="24"/>
                <w:highlight w:val="none"/>
              </w:rPr>
              <w:t>kg/h。</w:t>
            </w:r>
          </w:p>
          <w:p w14:paraId="3B0971A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（2）环保措施可行性分析</w:t>
            </w:r>
          </w:p>
          <w:p w14:paraId="6907B7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cs="Times New Roman"/>
                <w:b/>
                <w:bCs/>
                <w:color w:val="auto"/>
                <w:sz w:val="24"/>
                <w:szCs w:val="24"/>
                <w:highlight w:val="none"/>
                <w:lang w:val="en-US" w:eastAsia="zh-CN"/>
              </w:rPr>
            </w:pPr>
            <w:r>
              <w:rPr>
                <w:rFonts w:hint="eastAsia" w:eastAsia="宋体"/>
                <w:color w:val="auto"/>
                <w:sz w:val="24"/>
                <w:szCs w:val="28"/>
                <w:highlight w:val="none"/>
                <w:lang w:eastAsia="zh-CN"/>
              </w:rPr>
              <w:t>灰渣储存间运输、储存过程会产生少量无组织粉尘逸散，</w:t>
            </w:r>
            <w:r>
              <w:rPr>
                <w:rFonts w:hint="eastAsia"/>
                <w:color w:val="auto"/>
                <w:sz w:val="24"/>
                <w:szCs w:val="28"/>
                <w:highlight w:val="none"/>
                <w:lang w:val="en-US" w:eastAsia="zh-CN"/>
              </w:rPr>
              <w:t>灰渣暂存间</w:t>
            </w:r>
            <w:r>
              <w:rPr>
                <w:rFonts w:hint="eastAsia" w:eastAsia="宋体"/>
                <w:color w:val="auto"/>
                <w:sz w:val="24"/>
                <w:szCs w:val="28"/>
                <w:highlight w:val="none"/>
                <w:lang w:eastAsia="zh-CN"/>
              </w:rPr>
              <w:t>内采取密闭储存、洒水降尘等措施，可有效降低无组织粉尘的排放。</w:t>
            </w:r>
            <w:r>
              <w:rPr>
                <w:rFonts w:hint="eastAsia" w:eastAsia="宋体"/>
                <w:color w:val="auto"/>
                <w:sz w:val="24"/>
                <w:szCs w:val="28"/>
                <w:highlight w:val="none"/>
                <w:lang w:val="en-US" w:eastAsia="zh-CN"/>
              </w:rPr>
              <w:t>厂界颗粒物排放浓度符合</w:t>
            </w:r>
            <w:r>
              <w:rPr>
                <w:rFonts w:hint="default" w:ascii="Times New Roman" w:hAnsi="Times New Roman" w:eastAsia="宋体" w:cs="Times New Roman"/>
                <w:color w:val="auto"/>
                <w:sz w:val="24"/>
                <w:highlight w:val="none"/>
              </w:rPr>
              <w:t>《大气污染物综合排放标准》（GB16297-1996）表2中无组织排放监控浓度限值。</w:t>
            </w:r>
          </w:p>
          <w:p w14:paraId="031189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（三）</w:t>
            </w:r>
            <w:r>
              <w:rPr>
                <w:rFonts w:hint="eastAsia" w:ascii="Times New Roman" w:hAnsi="Times New Roman" w:eastAsia="宋体" w:cs="Times New Roman"/>
                <w:b/>
                <w:bCs/>
                <w:color w:val="auto"/>
                <w:sz w:val="24"/>
                <w:szCs w:val="24"/>
                <w:highlight w:val="none"/>
                <w:lang w:val="en-US" w:eastAsia="zh-CN"/>
              </w:rPr>
              <w:t>大气排放口基本信息汇总</w:t>
            </w:r>
          </w:p>
          <w:p w14:paraId="2D79057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val="0"/>
                <w:color w:val="auto"/>
                <w:kern w:val="0"/>
                <w:highlight w:val="none"/>
              </w:rPr>
            </w:pPr>
            <w:r>
              <w:rPr>
                <w:rFonts w:hint="eastAsia" w:ascii="Times New Roman" w:hAnsi="Times New Roman" w:eastAsia="宋体" w:cs="Times New Roman"/>
                <w:b w:val="0"/>
                <w:bCs w:val="0"/>
                <w:color w:val="auto"/>
                <w:sz w:val="24"/>
                <w:szCs w:val="24"/>
                <w:highlight w:val="none"/>
                <w:vertAlign w:val="baseline"/>
                <w:lang w:val="en-US" w:eastAsia="zh-CN"/>
              </w:rPr>
              <w:t>大气排放口基本信息汇总情况详见下表。</w:t>
            </w:r>
          </w:p>
          <w:p w14:paraId="69A37470">
            <w:pPr>
              <w:spacing w:line="240" w:lineRule="auto"/>
              <w:ind w:left="0" w:leftChars="0" w:firstLine="0" w:firstLineChars="0"/>
              <w:jc w:val="center"/>
              <w:rPr>
                <w:rFonts w:hint="default"/>
                <w:b/>
                <w:bCs/>
                <w:color w:val="FF0000"/>
                <w:sz w:val="18"/>
                <w:szCs w:val="21"/>
                <w:highlight w:val="none"/>
                <w:lang w:val="en-US" w:eastAsia="zh-CN"/>
              </w:rPr>
            </w:pPr>
            <w:r>
              <w:rPr>
                <w:rFonts w:hint="eastAsia" w:ascii="Times New Roman" w:hAnsi="Times New Roman" w:eastAsia="宋体" w:cs="Times New Roman"/>
                <w:b/>
                <w:bCs/>
                <w:color w:val="auto"/>
                <w:sz w:val="21"/>
                <w:szCs w:val="21"/>
                <w:highlight w:val="none"/>
                <w:vertAlign w:val="baseline"/>
                <w:lang w:val="en-US" w:eastAsia="zh-CN"/>
              </w:rPr>
              <w:t>表4-</w:t>
            </w:r>
            <w:r>
              <w:rPr>
                <w:rFonts w:hint="eastAsia" w:cs="Times New Roman"/>
                <w:b/>
                <w:bCs/>
                <w:color w:val="auto"/>
                <w:sz w:val="21"/>
                <w:szCs w:val="21"/>
                <w:highlight w:val="none"/>
                <w:vertAlign w:val="baseline"/>
                <w:lang w:val="en-US" w:eastAsia="zh-CN"/>
              </w:rPr>
              <w:t xml:space="preserve">2 </w:t>
            </w:r>
            <w:r>
              <w:rPr>
                <w:rFonts w:hint="eastAsia" w:ascii="Times New Roman" w:hAnsi="Times New Roman" w:eastAsia="宋体" w:cs="Times New Roman"/>
                <w:b/>
                <w:bCs/>
                <w:color w:val="auto"/>
                <w:sz w:val="21"/>
                <w:szCs w:val="21"/>
                <w:highlight w:val="none"/>
                <w:vertAlign w:val="baseline"/>
                <w:lang w:val="en-US" w:eastAsia="zh-CN"/>
              </w:rPr>
              <w:t xml:space="preserve"> 项目大气排放口基本信息一览表</w:t>
            </w:r>
          </w:p>
          <w:tbl>
            <w:tblPr>
              <w:tblStyle w:val="21"/>
              <w:tblW w:w="8901"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60"/>
              <w:gridCol w:w="1078"/>
              <w:gridCol w:w="1214"/>
              <w:gridCol w:w="1109"/>
              <w:gridCol w:w="791"/>
              <w:gridCol w:w="774"/>
              <w:gridCol w:w="715"/>
              <w:gridCol w:w="685"/>
              <w:gridCol w:w="814"/>
              <w:gridCol w:w="861"/>
            </w:tblGrid>
            <w:tr w14:paraId="4FF8112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jc w:val="center"/>
              </w:trPr>
              <w:tc>
                <w:tcPr>
                  <w:tcW w:w="860" w:type="dxa"/>
                  <w:vMerge w:val="restart"/>
                  <w:tcBorders>
                    <w:tl2br w:val="nil"/>
                    <w:tr2bl w:val="nil"/>
                  </w:tcBorders>
                  <w:vAlign w:val="center"/>
                </w:tcPr>
                <w:p w14:paraId="1412938A">
                  <w:pPr>
                    <w:jc w:val="center"/>
                    <w:rPr>
                      <w:rFonts w:hint="default" w:ascii="Times New Roman" w:hAnsi="Times New Roman" w:cs="Times New Roman"/>
                      <w:b/>
                      <w:bCs/>
                      <w:color w:val="auto"/>
                      <w:sz w:val="20"/>
                      <w:szCs w:val="20"/>
                      <w:highlight w:val="none"/>
                      <w:vertAlign w:val="baseline"/>
                      <w:lang w:val="en-US" w:eastAsia="zh-CN"/>
                    </w:rPr>
                  </w:pPr>
                  <w:r>
                    <w:rPr>
                      <w:rFonts w:hint="default" w:ascii="Times New Roman" w:hAnsi="Times New Roman" w:cs="Times New Roman"/>
                      <w:b/>
                      <w:bCs/>
                      <w:color w:val="auto"/>
                      <w:kern w:val="0"/>
                      <w:sz w:val="20"/>
                      <w:szCs w:val="20"/>
                      <w:highlight w:val="none"/>
                    </w:rPr>
                    <w:t>编号</w:t>
                  </w:r>
                </w:p>
              </w:tc>
              <w:tc>
                <w:tcPr>
                  <w:tcW w:w="1078" w:type="dxa"/>
                  <w:vMerge w:val="restart"/>
                  <w:tcBorders>
                    <w:tl2br w:val="nil"/>
                    <w:tr2bl w:val="nil"/>
                  </w:tcBorders>
                  <w:vAlign w:val="center"/>
                </w:tcPr>
                <w:p w14:paraId="47A27673">
                  <w:pPr>
                    <w:jc w:val="center"/>
                    <w:rPr>
                      <w:rFonts w:hint="default" w:ascii="Times New Roman" w:hAnsi="Times New Roman" w:cs="Times New Roman"/>
                      <w:b/>
                      <w:bCs/>
                      <w:color w:val="auto"/>
                      <w:sz w:val="20"/>
                      <w:szCs w:val="20"/>
                      <w:highlight w:val="none"/>
                      <w:vertAlign w:val="baseline"/>
                      <w:lang w:val="en-US" w:eastAsia="zh-CN"/>
                    </w:rPr>
                  </w:pPr>
                  <w:r>
                    <w:rPr>
                      <w:rFonts w:hint="default" w:ascii="Times New Roman" w:hAnsi="Times New Roman" w:cs="Times New Roman"/>
                      <w:b/>
                      <w:bCs/>
                      <w:color w:val="auto"/>
                      <w:kern w:val="0"/>
                      <w:sz w:val="20"/>
                      <w:szCs w:val="20"/>
                      <w:highlight w:val="none"/>
                    </w:rPr>
                    <w:t>名称</w:t>
                  </w:r>
                </w:p>
              </w:tc>
              <w:tc>
                <w:tcPr>
                  <w:tcW w:w="2323" w:type="dxa"/>
                  <w:gridSpan w:val="2"/>
                  <w:tcBorders>
                    <w:tl2br w:val="nil"/>
                    <w:tr2bl w:val="nil"/>
                  </w:tcBorders>
                  <w:vAlign w:val="center"/>
                </w:tcPr>
                <w:p w14:paraId="6E98CE55">
                  <w:pPr>
                    <w:jc w:val="center"/>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kern w:val="0"/>
                      <w:sz w:val="21"/>
                      <w:szCs w:val="21"/>
                      <w:highlight w:val="none"/>
                    </w:rPr>
                    <w:t>排气筒底部中心坐标</w:t>
                  </w:r>
                </w:p>
              </w:tc>
              <w:tc>
                <w:tcPr>
                  <w:tcW w:w="791" w:type="dxa"/>
                  <w:vMerge w:val="restart"/>
                  <w:tcBorders>
                    <w:tl2br w:val="nil"/>
                    <w:tr2bl w:val="nil"/>
                  </w:tcBorders>
                  <w:vAlign w:val="center"/>
                </w:tcPr>
                <w:p w14:paraId="3929C568">
                  <w:pPr>
                    <w:jc w:val="center"/>
                    <w:rPr>
                      <w:rFonts w:hint="eastAsia"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cs="Times New Roman"/>
                      <w:b/>
                      <w:bCs/>
                      <w:color w:val="auto"/>
                      <w:kern w:val="0"/>
                      <w:sz w:val="21"/>
                      <w:szCs w:val="21"/>
                      <w:highlight w:val="none"/>
                    </w:rPr>
                    <w:t>排气筒高度</w:t>
                  </w:r>
                  <w:r>
                    <w:rPr>
                      <w:rFonts w:hint="eastAsia" w:cs="Times New Roman"/>
                      <w:b/>
                      <w:bCs/>
                      <w:color w:val="auto"/>
                      <w:kern w:val="0"/>
                      <w:sz w:val="21"/>
                      <w:szCs w:val="21"/>
                      <w:highlight w:val="none"/>
                      <w:lang w:val="en-US" w:eastAsia="zh-CN"/>
                    </w:rPr>
                    <w:t>(</w:t>
                  </w:r>
                  <w:r>
                    <w:rPr>
                      <w:rFonts w:hint="default" w:ascii="Times New Roman" w:hAnsi="Times New Roman" w:cs="Times New Roman"/>
                      <w:b/>
                      <w:bCs/>
                      <w:color w:val="auto"/>
                      <w:kern w:val="0"/>
                      <w:sz w:val="21"/>
                      <w:szCs w:val="21"/>
                      <w:highlight w:val="none"/>
                    </w:rPr>
                    <w:t>m</w:t>
                  </w:r>
                  <w:r>
                    <w:rPr>
                      <w:rFonts w:hint="eastAsia" w:cs="Times New Roman"/>
                      <w:b/>
                      <w:bCs/>
                      <w:color w:val="auto"/>
                      <w:kern w:val="0"/>
                      <w:sz w:val="21"/>
                      <w:szCs w:val="21"/>
                      <w:highlight w:val="none"/>
                      <w:lang w:val="en-US" w:eastAsia="zh-CN"/>
                    </w:rPr>
                    <w:t>)</w:t>
                  </w:r>
                </w:p>
              </w:tc>
              <w:tc>
                <w:tcPr>
                  <w:tcW w:w="774" w:type="dxa"/>
                  <w:vMerge w:val="restart"/>
                  <w:tcBorders>
                    <w:tl2br w:val="nil"/>
                    <w:tr2bl w:val="nil"/>
                  </w:tcBorders>
                  <w:vAlign w:val="center"/>
                </w:tcPr>
                <w:p w14:paraId="0CEC6E83">
                  <w:pPr>
                    <w:jc w:val="center"/>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kern w:val="0"/>
                      <w:sz w:val="21"/>
                      <w:szCs w:val="21"/>
                      <w:highlight w:val="none"/>
                    </w:rPr>
                    <w:t>排气筒出口</w:t>
                  </w:r>
                  <w:r>
                    <w:rPr>
                      <w:rFonts w:hint="default" w:ascii="Times New Roman" w:hAnsi="Times New Roman" w:cs="Times New Roman"/>
                      <w:b/>
                      <w:bCs/>
                      <w:color w:val="auto"/>
                      <w:kern w:val="0"/>
                      <w:sz w:val="21"/>
                      <w:szCs w:val="21"/>
                      <w:highlight w:val="none"/>
                      <w:lang w:eastAsia="zh-CN"/>
                    </w:rPr>
                    <w:t>内径</w:t>
                  </w:r>
                  <w:r>
                    <w:rPr>
                      <w:rFonts w:hint="eastAsia" w:cs="Times New Roman"/>
                      <w:b/>
                      <w:bCs/>
                      <w:color w:val="auto"/>
                      <w:kern w:val="0"/>
                      <w:sz w:val="21"/>
                      <w:szCs w:val="21"/>
                      <w:highlight w:val="none"/>
                      <w:lang w:val="en-US" w:eastAsia="zh-CN"/>
                    </w:rPr>
                    <w:t>(</w:t>
                  </w:r>
                  <w:r>
                    <w:rPr>
                      <w:rFonts w:hint="default" w:ascii="Times New Roman" w:hAnsi="Times New Roman" w:cs="Times New Roman"/>
                      <w:b/>
                      <w:bCs/>
                      <w:color w:val="auto"/>
                      <w:kern w:val="0"/>
                      <w:sz w:val="21"/>
                      <w:szCs w:val="21"/>
                      <w:highlight w:val="none"/>
                    </w:rPr>
                    <w:t>m</w:t>
                  </w:r>
                  <w:r>
                    <w:rPr>
                      <w:rFonts w:hint="eastAsia" w:cs="Times New Roman"/>
                      <w:b/>
                      <w:bCs/>
                      <w:color w:val="auto"/>
                      <w:kern w:val="0"/>
                      <w:sz w:val="21"/>
                      <w:szCs w:val="21"/>
                      <w:highlight w:val="none"/>
                      <w:lang w:val="en-US" w:eastAsia="zh-CN"/>
                    </w:rPr>
                    <w:t>)</w:t>
                  </w:r>
                </w:p>
              </w:tc>
              <w:tc>
                <w:tcPr>
                  <w:tcW w:w="715" w:type="dxa"/>
                  <w:vMerge w:val="restart"/>
                  <w:tcBorders>
                    <w:tl2br w:val="nil"/>
                    <w:tr2bl w:val="nil"/>
                  </w:tcBorders>
                  <w:vAlign w:val="center"/>
                </w:tcPr>
                <w:p w14:paraId="46530BE7">
                  <w:pPr>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烟气</w:t>
                  </w:r>
                </w:p>
                <w:p w14:paraId="267E82B1">
                  <w:pPr>
                    <w:jc w:val="center"/>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kern w:val="0"/>
                      <w:sz w:val="21"/>
                      <w:szCs w:val="21"/>
                      <w:highlight w:val="none"/>
                    </w:rPr>
                    <w:t>流速</w:t>
                  </w:r>
                  <w:r>
                    <w:rPr>
                      <w:rFonts w:hint="eastAsia" w:cs="Times New Roman"/>
                      <w:b/>
                      <w:bCs/>
                      <w:color w:val="auto"/>
                      <w:kern w:val="0"/>
                      <w:sz w:val="21"/>
                      <w:szCs w:val="21"/>
                      <w:highlight w:val="none"/>
                      <w:lang w:val="en-US" w:eastAsia="zh-CN"/>
                    </w:rPr>
                    <w:t>(</w:t>
                  </w:r>
                  <w:r>
                    <w:rPr>
                      <w:rFonts w:hint="default" w:ascii="Times New Roman" w:hAnsi="Times New Roman" w:cs="Times New Roman"/>
                      <w:b/>
                      <w:bCs/>
                      <w:color w:val="auto"/>
                      <w:kern w:val="0"/>
                      <w:sz w:val="21"/>
                      <w:szCs w:val="21"/>
                      <w:highlight w:val="none"/>
                    </w:rPr>
                    <w:t>m/</w:t>
                  </w:r>
                  <w:r>
                    <w:rPr>
                      <w:rFonts w:hint="default" w:ascii="Times New Roman" w:hAnsi="Times New Roman" w:cs="Times New Roman"/>
                      <w:b/>
                      <w:bCs/>
                      <w:color w:val="auto"/>
                      <w:kern w:val="0"/>
                      <w:sz w:val="21"/>
                      <w:szCs w:val="21"/>
                      <w:highlight w:val="none"/>
                      <w:lang w:val="en-US" w:eastAsia="zh-CN"/>
                    </w:rPr>
                    <w:t>s</w:t>
                  </w:r>
                  <w:r>
                    <w:rPr>
                      <w:rFonts w:hint="eastAsia" w:cs="Times New Roman"/>
                      <w:b/>
                      <w:bCs/>
                      <w:color w:val="auto"/>
                      <w:kern w:val="0"/>
                      <w:sz w:val="21"/>
                      <w:szCs w:val="21"/>
                      <w:highlight w:val="none"/>
                      <w:lang w:val="en-US" w:eastAsia="zh-CN"/>
                    </w:rPr>
                    <w:t>)</w:t>
                  </w:r>
                </w:p>
              </w:tc>
              <w:tc>
                <w:tcPr>
                  <w:tcW w:w="685" w:type="dxa"/>
                  <w:vMerge w:val="restart"/>
                  <w:tcBorders>
                    <w:tl2br w:val="nil"/>
                    <w:tr2bl w:val="nil"/>
                  </w:tcBorders>
                  <w:vAlign w:val="center"/>
                </w:tcPr>
                <w:p w14:paraId="6207F814">
                  <w:pPr>
                    <w:jc w:val="center"/>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kern w:val="0"/>
                      <w:sz w:val="21"/>
                      <w:szCs w:val="21"/>
                      <w:highlight w:val="none"/>
                    </w:rPr>
                    <w:t>烟气温度</w:t>
                  </w:r>
                  <w:r>
                    <w:rPr>
                      <w:rFonts w:hint="eastAsia" w:cs="Times New Roman"/>
                      <w:b/>
                      <w:bCs/>
                      <w:color w:val="auto"/>
                      <w:kern w:val="0"/>
                      <w:sz w:val="21"/>
                      <w:szCs w:val="21"/>
                      <w:highlight w:val="none"/>
                      <w:lang w:val="en-US" w:eastAsia="zh-CN"/>
                    </w:rPr>
                    <w:t>(</w:t>
                  </w:r>
                  <w:r>
                    <w:rPr>
                      <w:rFonts w:hint="default" w:ascii="Times New Roman" w:hAnsi="Times New Roman" w:cs="Times New Roman"/>
                      <w:b/>
                      <w:bCs/>
                      <w:color w:val="auto"/>
                      <w:kern w:val="0"/>
                      <w:sz w:val="21"/>
                      <w:szCs w:val="21"/>
                      <w:highlight w:val="none"/>
                    </w:rPr>
                    <w:t>℃</w:t>
                  </w:r>
                  <w:r>
                    <w:rPr>
                      <w:rFonts w:hint="eastAsia" w:cs="Times New Roman"/>
                      <w:b/>
                      <w:bCs/>
                      <w:color w:val="auto"/>
                      <w:kern w:val="0"/>
                      <w:sz w:val="21"/>
                      <w:szCs w:val="21"/>
                      <w:highlight w:val="none"/>
                      <w:lang w:val="en-US" w:eastAsia="zh-CN"/>
                    </w:rPr>
                    <w:t>)</w:t>
                  </w:r>
                </w:p>
              </w:tc>
              <w:tc>
                <w:tcPr>
                  <w:tcW w:w="814" w:type="dxa"/>
                  <w:vMerge w:val="restart"/>
                  <w:tcBorders>
                    <w:tl2br w:val="nil"/>
                    <w:tr2bl w:val="nil"/>
                  </w:tcBorders>
                  <w:vAlign w:val="center"/>
                </w:tcPr>
                <w:p w14:paraId="5ECE8569">
                  <w:pPr>
                    <w:jc w:val="center"/>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kern w:val="0"/>
                      <w:sz w:val="21"/>
                      <w:szCs w:val="21"/>
                      <w:highlight w:val="none"/>
                    </w:rPr>
                    <w:t>年排放小时数</w:t>
                  </w:r>
                  <w:r>
                    <w:rPr>
                      <w:rFonts w:hint="eastAsia" w:cs="Times New Roman"/>
                      <w:b/>
                      <w:bCs/>
                      <w:color w:val="auto"/>
                      <w:kern w:val="0"/>
                      <w:sz w:val="21"/>
                      <w:szCs w:val="21"/>
                      <w:highlight w:val="none"/>
                      <w:lang w:val="en-US" w:eastAsia="zh-CN"/>
                    </w:rPr>
                    <w:t>(</w:t>
                  </w:r>
                  <w:r>
                    <w:rPr>
                      <w:rFonts w:hint="default" w:ascii="Times New Roman" w:hAnsi="Times New Roman" w:cs="Times New Roman"/>
                      <w:b/>
                      <w:bCs/>
                      <w:color w:val="auto"/>
                      <w:kern w:val="0"/>
                      <w:sz w:val="21"/>
                      <w:szCs w:val="21"/>
                      <w:highlight w:val="none"/>
                    </w:rPr>
                    <w:t>h</w:t>
                  </w:r>
                  <w:r>
                    <w:rPr>
                      <w:rFonts w:hint="eastAsia" w:cs="Times New Roman"/>
                      <w:b/>
                      <w:bCs/>
                      <w:color w:val="auto"/>
                      <w:kern w:val="0"/>
                      <w:sz w:val="21"/>
                      <w:szCs w:val="21"/>
                      <w:highlight w:val="none"/>
                      <w:lang w:val="en-US" w:eastAsia="zh-CN"/>
                    </w:rPr>
                    <w:t>)</w:t>
                  </w:r>
                </w:p>
              </w:tc>
              <w:tc>
                <w:tcPr>
                  <w:tcW w:w="861" w:type="dxa"/>
                  <w:vMerge w:val="restart"/>
                  <w:tcBorders>
                    <w:tl2br w:val="nil"/>
                    <w:tr2bl w:val="nil"/>
                  </w:tcBorders>
                  <w:vAlign w:val="center"/>
                </w:tcPr>
                <w:p w14:paraId="32EB6E67">
                  <w:pPr>
                    <w:jc w:val="center"/>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kern w:val="0"/>
                      <w:sz w:val="21"/>
                      <w:szCs w:val="21"/>
                      <w:highlight w:val="none"/>
                      <w:lang w:val="en-US" w:eastAsia="zh-CN"/>
                    </w:rPr>
                    <w:t>类型</w:t>
                  </w:r>
                </w:p>
              </w:tc>
            </w:tr>
            <w:tr w14:paraId="2088697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0" w:type="dxa"/>
                  <w:vMerge w:val="continue"/>
                  <w:tcBorders>
                    <w:tl2br w:val="nil"/>
                    <w:tr2bl w:val="nil"/>
                  </w:tcBorders>
                  <w:vAlign w:val="center"/>
                </w:tcPr>
                <w:p w14:paraId="78F8F76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0"/>
                      <w:szCs w:val="20"/>
                      <w:highlight w:val="none"/>
                      <w:vertAlign w:val="baseline"/>
                      <w:lang w:val="en-US" w:eastAsia="zh-CN"/>
                    </w:rPr>
                  </w:pPr>
                </w:p>
              </w:tc>
              <w:tc>
                <w:tcPr>
                  <w:tcW w:w="1078" w:type="dxa"/>
                  <w:vMerge w:val="continue"/>
                  <w:tcBorders>
                    <w:tl2br w:val="nil"/>
                    <w:tr2bl w:val="nil"/>
                  </w:tcBorders>
                  <w:vAlign w:val="center"/>
                </w:tcPr>
                <w:p w14:paraId="2176E11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0"/>
                      <w:szCs w:val="20"/>
                      <w:highlight w:val="none"/>
                      <w:vertAlign w:val="baseline"/>
                      <w:lang w:val="en-US" w:eastAsia="zh-CN"/>
                    </w:rPr>
                  </w:pPr>
                </w:p>
              </w:tc>
              <w:tc>
                <w:tcPr>
                  <w:tcW w:w="1214" w:type="dxa"/>
                  <w:tcBorders>
                    <w:tl2br w:val="nil"/>
                    <w:tr2bl w:val="nil"/>
                  </w:tcBorders>
                  <w:vAlign w:val="center"/>
                </w:tcPr>
                <w:p w14:paraId="47528196">
                  <w:pPr>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cs="Times New Roman"/>
                      <w:b/>
                      <w:bCs/>
                      <w:color w:val="auto"/>
                      <w:kern w:val="0"/>
                      <w:sz w:val="21"/>
                      <w:szCs w:val="21"/>
                      <w:highlight w:val="none"/>
                    </w:rPr>
                    <w:t>东经</w:t>
                  </w:r>
                  <w:r>
                    <w:rPr>
                      <w:rFonts w:hint="eastAsia" w:cs="Times New Roman"/>
                      <w:b/>
                      <w:bCs/>
                      <w:color w:val="auto"/>
                      <w:kern w:val="0"/>
                      <w:sz w:val="21"/>
                      <w:szCs w:val="21"/>
                      <w:highlight w:val="none"/>
                      <w:lang w:eastAsia="zh-CN"/>
                    </w:rPr>
                    <w:t>（</w:t>
                  </w:r>
                  <w:r>
                    <w:rPr>
                      <w:rFonts w:hint="eastAsia" w:ascii="Times New Roman" w:hAnsi="Times New Roman" w:eastAsia="宋体" w:cs="Times New Roman"/>
                      <w:b/>
                      <w:bCs/>
                      <w:color w:val="auto"/>
                      <w:kern w:val="2"/>
                      <w:sz w:val="21"/>
                      <w:szCs w:val="21"/>
                      <w:highlight w:val="none"/>
                      <w:vertAlign w:val="baseline"/>
                      <w:lang w:val="en-US" w:eastAsia="zh-CN" w:bidi="ar-SA"/>
                    </w:rPr>
                    <w:t>°</w:t>
                  </w:r>
                  <w:r>
                    <w:rPr>
                      <w:rFonts w:hint="eastAsia" w:cs="Times New Roman"/>
                      <w:b/>
                      <w:bCs/>
                      <w:color w:val="auto"/>
                      <w:kern w:val="0"/>
                      <w:sz w:val="21"/>
                      <w:szCs w:val="21"/>
                      <w:highlight w:val="none"/>
                      <w:lang w:eastAsia="zh-CN"/>
                    </w:rPr>
                    <w:t>）</w:t>
                  </w:r>
                </w:p>
              </w:tc>
              <w:tc>
                <w:tcPr>
                  <w:tcW w:w="1109" w:type="dxa"/>
                  <w:tcBorders>
                    <w:tl2br w:val="nil"/>
                    <w:tr2bl w:val="nil"/>
                  </w:tcBorders>
                  <w:vAlign w:val="center"/>
                </w:tcPr>
                <w:p w14:paraId="35F7609E">
                  <w:pPr>
                    <w:jc w:val="center"/>
                    <w:rPr>
                      <w:rFonts w:hint="eastAsia"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cs="Times New Roman"/>
                      <w:b/>
                      <w:bCs/>
                      <w:color w:val="auto"/>
                      <w:kern w:val="0"/>
                      <w:sz w:val="21"/>
                      <w:szCs w:val="21"/>
                      <w:highlight w:val="none"/>
                    </w:rPr>
                    <w:t>北纬</w:t>
                  </w:r>
                  <w:r>
                    <w:rPr>
                      <w:rFonts w:hint="eastAsia" w:cs="Times New Roman"/>
                      <w:b/>
                      <w:bCs/>
                      <w:color w:val="auto"/>
                      <w:kern w:val="0"/>
                      <w:sz w:val="21"/>
                      <w:szCs w:val="21"/>
                      <w:highlight w:val="none"/>
                      <w:lang w:eastAsia="zh-CN"/>
                    </w:rPr>
                    <w:t>（</w:t>
                  </w:r>
                  <w:r>
                    <w:rPr>
                      <w:rFonts w:hint="eastAsia" w:ascii="Times New Roman" w:hAnsi="Times New Roman" w:eastAsia="宋体" w:cs="Times New Roman"/>
                      <w:b/>
                      <w:bCs/>
                      <w:color w:val="auto"/>
                      <w:kern w:val="2"/>
                      <w:sz w:val="21"/>
                      <w:szCs w:val="21"/>
                      <w:highlight w:val="none"/>
                      <w:vertAlign w:val="baseline"/>
                      <w:lang w:val="en-US" w:eastAsia="zh-CN" w:bidi="ar-SA"/>
                    </w:rPr>
                    <w:t>°</w:t>
                  </w:r>
                  <w:r>
                    <w:rPr>
                      <w:rFonts w:hint="eastAsia" w:cs="Times New Roman"/>
                      <w:b/>
                      <w:bCs/>
                      <w:color w:val="auto"/>
                      <w:kern w:val="0"/>
                      <w:sz w:val="21"/>
                      <w:szCs w:val="21"/>
                      <w:highlight w:val="none"/>
                      <w:lang w:eastAsia="zh-CN"/>
                    </w:rPr>
                    <w:t>）</w:t>
                  </w:r>
                </w:p>
              </w:tc>
              <w:tc>
                <w:tcPr>
                  <w:tcW w:w="791" w:type="dxa"/>
                  <w:vMerge w:val="continue"/>
                  <w:tcBorders>
                    <w:tl2br w:val="nil"/>
                    <w:tr2bl w:val="nil"/>
                  </w:tcBorders>
                  <w:vAlign w:val="center"/>
                </w:tcPr>
                <w:p w14:paraId="46B7F65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bCs/>
                      <w:color w:val="auto"/>
                      <w:sz w:val="21"/>
                      <w:szCs w:val="21"/>
                      <w:highlight w:val="none"/>
                      <w:vertAlign w:val="baseline"/>
                      <w:lang w:val="en-US" w:eastAsia="zh-CN"/>
                    </w:rPr>
                  </w:pPr>
                </w:p>
              </w:tc>
              <w:tc>
                <w:tcPr>
                  <w:tcW w:w="774" w:type="dxa"/>
                  <w:vMerge w:val="continue"/>
                  <w:tcBorders>
                    <w:tl2br w:val="nil"/>
                    <w:tr2bl w:val="nil"/>
                  </w:tcBorders>
                  <w:vAlign w:val="center"/>
                </w:tcPr>
                <w:p w14:paraId="68F40E1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bCs/>
                      <w:color w:val="auto"/>
                      <w:sz w:val="21"/>
                      <w:szCs w:val="21"/>
                      <w:highlight w:val="none"/>
                      <w:vertAlign w:val="baseline"/>
                      <w:lang w:val="en-US" w:eastAsia="zh-CN"/>
                    </w:rPr>
                  </w:pPr>
                </w:p>
              </w:tc>
              <w:tc>
                <w:tcPr>
                  <w:tcW w:w="715" w:type="dxa"/>
                  <w:vMerge w:val="continue"/>
                  <w:tcBorders>
                    <w:tl2br w:val="nil"/>
                    <w:tr2bl w:val="nil"/>
                  </w:tcBorders>
                  <w:vAlign w:val="center"/>
                </w:tcPr>
                <w:p w14:paraId="2910438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bCs/>
                      <w:color w:val="auto"/>
                      <w:sz w:val="21"/>
                      <w:szCs w:val="21"/>
                      <w:highlight w:val="none"/>
                      <w:vertAlign w:val="baseline"/>
                      <w:lang w:val="en-US" w:eastAsia="zh-CN"/>
                    </w:rPr>
                  </w:pPr>
                </w:p>
              </w:tc>
              <w:tc>
                <w:tcPr>
                  <w:tcW w:w="685" w:type="dxa"/>
                  <w:vMerge w:val="continue"/>
                  <w:tcBorders>
                    <w:tl2br w:val="nil"/>
                    <w:tr2bl w:val="nil"/>
                  </w:tcBorders>
                  <w:vAlign w:val="center"/>
                </w:tcPr>
                <w:p w14:paraId="1DF484D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bCs/>
                      <w:color w:val="auto"/>
                      <w:sz w:val="21"/>
                      <w:szCs w:val="21"/>
                      <w:highlight w:val="none"/>
                      <w:vertAlign w:val="baseline"/>
                      <w:lang w:val="en-US" w:eastAsia="zh-CN"/>
                    </w:rPr>
                  </w:pPr>
                </w:p>
              </w:tc>
              <w:tc>
                <w:tcPr>
                  <w:tcW w:w="814" w:type="dxa"/>
                  <w:vMerge w:val="continue"/>
                  <w:tcBorders>
                    <w:tl2br w:val="nil"/>
                    <w:tr2bl w:val="nil"/>
                  </w:tcBorders>
                  <w:vAlign w:val="center"/>
                </w:tcPr>
                <w:p w14:paraId="48A0501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bCs/>
                      <w:color w:val="auto"/>
                      <w:sz w:val="21"/>
                      <w:szCs w:val="21"/>
                      <w:highlight w:val="none"/>
                      <w:vertAlign w:val="baseline"/>
                      <w:lang w:val="en-US" w:eastAsia="zh-CN"/>
                    </w:rPr>
                  </w:pPr>
                </w:p>
              </w:tc>
              <w:tc>
                <w:tcPr>
                  <w:tcW w:w="861" w:type="dxa"/>
                  <w:vMerge w:val="continue"/>
                  <w:tcBorders>
                    <w:tl2br w:val="nil"/>
                    <w:tr2bl w:val="nil"/>
                  </w:tcBorders>
                  <w:vAlign w:val="center"/>
                </w:tcPr>
                <w:p w14:paraId="09312A8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bCs/>
                      <w:color w:val="auto"/>
                      <w:sz w:val="21"/>
                      <w:szCs w:val="21"/>
                      <w:highlight w:val="none"/>
                      <w:vertAlign w:val="baseline"/>
                      <w:lang w:val="en-US" w:eastAsia="zh-CN"/>
                    </w:rPr>
                  </w:pPr>
                </w:p>
              </w:tc>
            </w:tr>
            <w:tr w14:paraId="5F77828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0" w:type="dxa"/>
                  <w:tcBorders>
                    <w:tl2br w:val="nil"/>
                    <w:tr2bl w:val="nil"/>
                  </w:tcBorders>
                  <w:vAlign w:val="center"/>
                </w:tcPr>
                <w:p w14:paraId="1784DF3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DA001</w:t>
                  </w:r>
                </w:p>
              </w:tc>
              <w:tc>
                <w:tcPr>
                  <w:tcW w:w="1078" w:type="dxa"/>
                  <w:tcBorders>
                    <w:tl2br w:val="nil"/>
                    <w:tr2bl w:val="nil"/>
                  </w:tcBorders>
                  <w:vAlign w:val="center"/>
                </w:tcPr>
                <w:p w14:paraId="69F8B76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锅炉烟囱</w:t>
                  </w:r>
                </w:p>
              </w:tc>
              <w:tc>
                <w:tcPr>
                  <w:tcW w:w="1214" w:type="dxa"/>
                  <w:tcBorders>
                    <w:tl2br w:val="nil"/>
                    <w:tr2bl w:val="nil"/>
                  </w:tcBorders>
                  <w:vAlign w:val="center"/>
                </w:tcPr>
                <w:p w14:paraId="4A8EDAA9">
                  <w:pPr>
                    <w:keepNext w:val="0"/>
                    <w:keepLines w:val="0"/>
                    <w:widowControl/>
                    <w:suppressLineNumbers w:val="0"/>
                    <w:spacing w:before="0" w:beforeAutospacing="0" w:after="0" w:afterAutospacing="0"/>
                    <w:ind w:left="0" w:right="0" w:firstLine="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134.0454019</w:t>
                  </w:r>
                  <w:r>
                    <w:rPr>
                      <w:rFonts w:hint="eastAsia" w:cs="Times New Roman"/>
                      <w:b w:val="0"/>
                      <w:bCs w:val="0"/>
                      <w:color w:val="auto"/>
                      <w:kern w:val="2"/>
                      <w:sz w:val="21"/>
                      <w:szCs w:val="21"/>
                      <w:highlight w:val="none"/>
                      <w:vertAlign w:val="baseline"/>
                      <w:lang w:val="en-US" w:eastAsia="zh-CN" w:bidi="ar-SA"/>
                    </w:rPr>
                    <w:t>1</w:t>
                  </w:r>
                </w:p>
              </w:tc>
              <w:tc>
                <w:tcPr>
                  <w:tcW w:w="1109" w:type="dxa"/>
                  <w:tcBorders>
                    <w:tl2br w:val="nil"/>
                    <w:tr2bl w:val="nil"/>
                  </w:tcBorders>
                  <w:vAlign w:val="center"/>
                </w:tcPr>
                <w:p w14:paraId="23410247">
                  <w:pPr>
                    <w:keepNext w:val="0"/>
                    <w:keepLines w:val="0"/>
                    <w:widowControl/>
                    <w:suppressLineNumbers w:val="0"/>
                    <w:spacing w:before="0" w:beforeAutospacing="0" w:after="0" w:afterAutospacing="0"/>
                    <w:ind w:left="0" w:right="0" w:firstLine="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kern w:val="2"/>
                      <w:sz w:val="21"/>
                      <w:szCs w:val="21"/>
                      <w:highlight w:val="none"/>
                      <w:vertAlign w:val="baseline"/>
                      <w:lang w:val="en-US" w:eastAsia="zh-CN" w:bidi="ar-SA"/>
                    </w:rPr>
                    <w:t>46.96503685</w:t>
                  </w:r>
                </w:p>
              </w:tc>
              <w:tc>
                <w:tcPr>
                  <w:tcW w:w="791" w:type="dxa"/>
                  <w:tcBorders>
                    <w:tl2br w:val="nil"/>
                    <w:tr2bl w:val="nil"/>
                  </w:tcBorders>
                  <w:vAlign w:val="center"/>
                </w:tcPr>
                <w:p w14:paraId="4ABF648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35</w:t>
                  </w:r>
                </w:p>
              </w:tc>
              <w:tc>
                <w:tcPr>
                  <w:tcW w:w="774" w:type="dxa"/>
                  <w:tcBorders>
                    <w:tl2br w:val="nil"/>
                    <w:tr2bl w:val="nil"/>
                  </w:tcBorders>
                  <w:vAlign w:val="center"/>
                </w:tcPr>
                <w:p w14:paraId="45982B4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0.6</w:t>
                  </w:r>
                </w:p>
              </w:tc>
              <w:tc>
                <w:tcPr>
                  <w:tcW w:w="715" w:type="dxa"/>
                  <w:tcBorders>
                    <w:tl2br w:val="nil"/>
                    <w:tr2bl w:val="nil"/>
                  </w:tcBorders>
                  <w:vAlign w:val="center"/>
                </w:tcPr>
                <w:p w14:paraId="6B74157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15</w:t>
                  </w:r>
                </w:p>
              </w:tc>
              <w:tc>
                <w:tcPr>
                  <w:tcW w:w="685" w:type="dxa"/>
                  <w:tcBorders>
                    <w:tl2br w:val="nil"/>
                    <w:tr2bl w:val="nil"/>
                  </w:tcBorders>
                  <w:vAlign w:val="center"/>
                </w:tcPr>
                <w:p w14:paraId="2805BF8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100</w:t>
                  </w:r>
                </w:p>
              </w:tc>
              <w:tc>
                <w:tcPr>
                  <w:tcW w:w="814" w:type="dxa"/>
                  <w:tcBorders>
                    <w:tl2br w:val="nil"/>
                    <w:tr2bl w:val="nil"/>
                  </w:tcBorders>
                  <w:vAlign w:val="center"/>
                </w:tcPr>
                <w:p w14:paraId="789680F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3834</w:t>
                  </w:r>
                </w:p>
              </w:tc>
              <w:tc>
                <w:tcPr>
                  <w:tcW w:w="861" w:type="dxa"/>
                  <w:tcBorders>
                    <w:tl2br w:val="nil"/>
                    <w:tr2bl w:val="nil"/>
                  </w:tcBorders>
                  <w:vAlign w:val="center"/>
                </w:tcPr>
                <w:p w14:paraId="5DA9936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一般排放口</w:t>
                  </w:r>
                </w:p>
              </w:tc>
            </w:tr>
          </w:tbl>
          <w:p w14:paraId="1E3163BE">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（四）</w:t>
            </w:r>
            <w:r>
              <w:rPr>
                <w:rFonts w:hint="default" w:ascii="Times New Roman" w:hAnsi="Times New Roman" w:eastAsia="宋体" w:cs="Times New Roman"/>
                <w:b/>
                <w:bCs/>
                <w:color w:val="auto"/>
                <w:sz w:val="24"/>
                <w:szCs w:val="24"/>
                <w:highlight w:val="none"/>
                <w:lang w:val="en-US" w:eastAsia="zh-CN"/>
              </w:rPr>
              <w:t>监测要求信息汇总</w:t>
            </w:r>
          </w:p>
          <w:p w14:paraId="679E39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根据《排污单位自行监测技术指南 总则》（HJ819-2017）</w:t>
            </w:r>
            <w:r>
              <w:rPr>
                <w:rFonts w:hint="eastAsia" w:cs="Times New Roman"/>
                <w:b w:val="0"/>
                <w:bCs w:val="0"/>
                <w:color w:val="auto"/>
                <w:sz w:val="24"/>
                <w:szCs w:val="24"/>
                <w:highlight w:val="none"/>
                <w:vertAlign w:val="baseline"/>
                <w:lang w:val="en-US" w:eastAsia="zh-CN"/>
              </w:rPr>
              <w:t>、</w:t>
            </w:r>
            <w:r>
              <w:rPr>
                <w:color w:val="auto"/>
                <w:sz w:val="24"/>
                <w:highlight w:val="none"/>
              </w:rPr>
              <w:t>《</w:t>
            </w:r>
            <w:r>
              <w:rPr>
                <w:rFonts w:hint="default" w:ascii="Times New Roman" w:hAnsi="Times New Roman" w:eastAsia="宋体" w:cs="Times New Roman"/>
                <w:b w:val="0"/>
                <w:bCs w:val="0"/>
                <w:color w:val="auto"/>
                <w:sz w:val="24"/>
                <w:szCs w:val="24"/>
                <w:highlight w:val="none"/>
                <w:vertAlign w:val="baseline"/>
                <w:lang w:val="en-US" w:eastAsia="zh-CN"/>
              </w:rPr>
              <w:t xml:space="preserve">排污单位自行监测技术指南 </w:t>
            </w:r>
            <w:r>
              <w:rPr>
                <w:rFonts w:hint="eastAsia" w:ascii="Times New Roman" w:hAnsi="Times New Roman" w:eastAsia="宋体" w:cs="Times New Roman"/>
                <w:b w:val="0"/>
                <w:bCs w:val="0"/>
                <w:color w:val="auto"/>
                <w:sz w:val="24"/>
                <w:szCs w:val="24"/>
                <w:highlight w:val="none"/>
                <w:vertAlign w:val="baseline"/>
                <w:lang w:val="en-US" w:eastAsia="zh-CN"/>
              </w:rPr>
              <w:t>火力发电及锅炉</w:t>
            </w:r>
            <w:r>
              <w:rPr>
                <w:color w:val="auto"/>
                <w:sz w:val="24"/>
                <w:highlight w:val="none"/>
              </w:rPr>
              <w:t>》（H</w:t>
            </w:r>
            <w:r>
              <w:rPr>
                <w:rFonts w:hint="eastAsia"/>
                <w:color w:val="auto"/>
                <w:sz w:val="24"/>
                <w:highlight w:val="none"/>
                <w:lang w:val="en-US" w:eastAsia="zh-CN"/>
              </w:rPr>
              <w:t>820</w:t>
            </w:r>
            <w:r>
              <w:rPr>
                <w:color w:val="auto"/>
                <w:sz w:val="24"/>
                <w:highlight w:val="none"/>
              </w:rPr>
              <w:t>-20</w:t>
            </w:r>
            <w:r>
              <w:rPr>
                <w:rFonts w:hint="eastAsia"/>
                <w:color w:val="auto"/>
                <w:sz w:val="24"/>
                <w:highlight w:val="none"/>
                <w:lang w:val="en-US" w:eastAsia="zh-CN"/>
              </w:rPr>
              <w:t>17</w:t>
            </w:r>
            <w:r>
              <w:rPr>
                <w:color w:val="auto"/>
                <w:sz w:val="24"/>
                <w:highlight w:val="none"/>
              </w:rPr>
              <w:t>）</w:t>
            </w:r>
            <w:r>
              <w:rPr>
                <w:rFonts w:hint="default" w:ascii="Times New Roman" w:hAnsi="Times New Roman" w:cs="Times New Roman"/>
                <w:color w:val="auto"/>
                <w:sz w:val="24"/>
                <w:highlight w:val="none"/>
                <w:lang w:val="en-US" w:eastAsia="zh-CN" w:bidi="ar"/>
              </w:rPr>
              <w:t>中相关要求制定大气污染源监测计划，具体内容</w:t>
            </w:r>
            <w:r>
              <w:rPr>
                <w:rFonts w:hint="eastAsia" w:cs="Times New Roman"/>
                <w:color w:val="auto"/>
                <w:sz w:val="24"/>
                <w:highlight w:val="none"/>
                <w:lang w:val="en-US" w:eastAsia="zh-CN" w:bidi="ar"/>
              </w:rPr>
              <w:t>详见下表</w:t>
            </w:r>
            <w:r>
              <w:rPr>
                <w:rFonts w:hint="default" w:ascii="Times New Roman" w:hAnsi="Times New Roman" w:cs="Times New Roman"/>
                <w:color w:val="auto"/>
                <w:sz w:val="24"/>
                <w:highlight w:val="none"/>
                <w:lang w:val="en-US" w:eastAsia="zh-CN" w:bidi="ar"/>
              </w:rPr>
              <w:t>。</w:t>
            </w:r>
          </w:p>
          <w:p w14:paraId="338A69B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0" w:afterAutospacing="0" w:line="240" w:lineRule="auto"/>
              <w:ind w:left="0" w:right="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1"/>
                <w:szCs w:val="21"/>
                <w:highlight w:val="none"/>
                <w:lang w:val="en-US" w:eastAsia="zh-CN"/>
              </w:rPr>
              <w:t>表4-</w:t>
            </w:r>
            <w:r>
              <w:rPr>
                <w:rFonts w:hint="eastAsia" w:cs="Times New Roman"/>
                <w:b/>
                <w:bCs/>
                <w:color w:val="auto"/>
                <w:sz w:val="21"/>
                <w:szCs w:val="21"/>
                <w:highlight w:val="none"/>
                <w:lang w:val="en-US" w:eastAsia="zh-CN"/>
              </w:rPr>
              <w:t xml:space="preserve">3 </w:t>
            </w:r>
            <w:r>
              <w:rPr>
                <w:rFonts w:hint="default" w:ascii="Times New Roman" w:hAnsi="Times New Roman" w:eastAsia="宋体" w:cs="Times New Roman"/>
                <w:b/>
                <w:bCs/>
                <w:color w:val="auto"/>
                <w:sz w:val="21"/>
                <w:szCs w:val="21"/>
                <w:highlight w:val="none"/>
                <w:lang w:val="en-US" w:eastAsia="zh-CN"/>
              </w:rPr>
              <w:t xml:space="preserve"> 本项目监测要求信息一览表</w:t>
            </w:r>
          </w:p>
          <w:tbl>
            <w:tblPr>
              <w:tblStyle w:val="20"/>
              <w:tblW w:w="4997"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083"/>
              <w:gridCol w:w="5774"/>
              <w:gridCol w:w="1209"/>
            </w:tblGrid>
            <w:tr w14:paraId="555658E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0" w:type="pct"/>
                  <w:tcBorders>
                    <w:tl2br w:val="nil"/>
                    <w:tr2bl w:val="nil"/>
                  </w:tcBorders>
                  <w:noWrap w:val="0"/>
                  <w:vAlign w:val="center"/>
                </w:tcPr>
                <w:p w14:paraId="77B06F65">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要素</w:t>
                  </w:r>
                </w:p>
              </w:tc>
              <w:tc>
                <w:tcPr>
                  <w:tcW w:w="609" w:type="pct"/>
                  <w:tcBorders>
                    <w:tl2br w:val="nil"/>
                    <w:tr2bl w:val="nil"/>
                  </w:tcBorders>
                  <w:noWrap w:val="0"/>
                  <w:vAlign w:val="center"/>
                </w:tcPr>
                <w:p w14:paraId="3B434F17">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监测点位</w:t>
                  </w:r>
                </w:p>
              </w:tc>
              <w:tc>
                <w:tcPr>
                  <w:tcW w:w="3249" w:type="pct"/>
                  <w:tcBorders>
                    <w:tl2br w:val="nil"/>
                    <w:tr2bl w:val="nil"/>
                  </w:tcBorders>
                  <w:noWrap w:val="0"/>
                  <w:vAlign w:val="center"/>
                </w:tcPr>
                <w:p w14:paraId="2662DD70">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监测指标</w:t>
                  </w:r>
                </w:p>
              </w:tc>
              <w:tc>
                <w:tcPr>
                  <w:tcW w:w="680" w:type="pct"/>
                  <w:tcBorders>
                    <w:tl2br w:val="nil"/>
                    <w:tr2bl w:val="nil"/>
                  </w:tcBorders>
                  <w:noWrap w:val="0"/>
                  <w:vAlign w:val="center"/>
                </w:tcPr>
                <w:p w14:paraId="7ABD384F">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监测频次</w:t>
                  </w:r>
                </w:p>
              </w:tc>
            </w:tr>
            <w:tr w14:paraId="1485217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460" w:type="pct"/>
                  <w:vMerge w:val="restart"/>
                  <w:tcBorders>
                    <w:tl2br w:val="nil"/>
                    <w:tr2bl w:val="nil"/>
                  </w:tcBorders>
                  <w:noWrap w:val="0"/>
                  <w:vAlign w:val="center"/>
                </w:tcPr>
                <w:p w14:paraId="7276FED8">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废气</w:t>
                  </w:r>
                </w:p>
              </w:tc>
              <w:tc>
                <w:tcPr>
                  <w:tcW w:w="609" w:type="pct"/>
                  <w:tcBorders>
                    <w:tl2br w:val="nil"/>
                    <w:tr2bl w:val="nil"/>
                  </w:tcBorders>
                  <w:noWrap w:val="0"/>
                  <w:vAlign w:val="center"/>
                </w:tcPr>
                <w:p w14:paraId="13E04977">
                  <w:pPr>
                    <w:jc w:val="center"/>
                    <w:rPr>
                      <w:rFonts w:hint="default" w:ascii="Times New Roman" w:hAnsi="Times New Roman" w:eastAsia="宋体" w:cs="Times New Roman"/>
                      <w:b w:val="0"/>
                      <w:bCs w:val="0"/>
                      <w:i w:val="0"/>
                      <w:iCs w:val="0"/>
                      <w:color w:val="auto"/>
                      <w:sz w:val="21"/>
                      <w:szCs w:val="21"/>
                      <w:highlight w:val="none"/>
                      <w:lang w:val="en-US" w:eastAsia="zh-CN"/>
                    </w:rPr>
                  </w:pPr>
                  <w:r>
                    <w:rPr>
                      <w:rFonts w:hint="eastAsia" w:cs="Times New Roman"/>
                      <w:b w:val="0"/>
                      <w:bCs w:val="0"/>
                      <w:i w:val="0"/>
                      <w:iCs w:val="0"/>
                      <w:color w:val="auto"/>
                      <w:sz w:val="21"/>
                      <w:szCs w:val="21"/>
                      <w:highlight w:val="none"/>
                      <w:lang w:val="en-US" w:eastAsia="zh-CN"/>
                    </w:rPr>
                    <w:t>DA001</w:t>
                  </w:r>
                </w:p>
              </w:tc>
              <w:tc>
                <w:tcPr>
                  <w:tcW w:w="3249" w:type="pct"/>
                  <w:tcBorders>
                    <w:tl2br w:val="nil"/>
                    <w:tr2bl w:val="nil"/>
                  </w:tcBorders>
                  <w:noWrap w:val="0"/>
                  <w:vAlign w:val="center"/>
                </w:tcPr>
                <w:p w14:paraId="2D07FE81">
                  <w:pPr>
                    <w:jc w:val="center"/>
                    <w:rPr>
                      <w:rFonts w:hint="default" w:ascii="Times New Roman" w:hAnsi="Times New Roman" w:eastAsia="宋体" w:cs="Times New Roman"/>
                      <w:b w:val="0"/>
                      <w:bCs w:val="0"/>
                      <w:i w:val="0"/>
                      <w:iCs w:val="0"/>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颗粒物、二氧化硫、氮氧化物</w:t>
                  </w:r>
                  <w:r>
                    <w:rPr>
                      <w:rFonts w:hint="eastAsia"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林格曼黑度</w:t>
                  </w:r>
                </w:p>
              </w:tc>
              <w:tc>
                <w:tcPr>
                  <w:tcW w:w="680" w:type="pct"/>
                  <w:tcBorders>
                    <w:tl2br w:val="nil"/>
                    <w:tr2bl w:val="nil"/>
                  </w:tcBorders>
                  <w:noWrap w:val="0"/>
                  <w:vAlign w:val="center"/>
                </w:tcPr>
                <w:p w14:paraId="4753768A">
                  <w:pPr>
                    <w:jc w:val="center"/>
                    <w:rPr>
                      <w:rFonts w:hint="default" w:ascii="Times New Roman" w:hAnsi="Times New Roman" w:cs="Times New Roman"/>
                      <w:b w:val="0"/>
                      <w:bCs w:val="0"/>
                      <w:i w:val="0"/>
                      <w:iCs w:val="0"/>
                      <w:color w:val="auto"/>
                      <w:sz w:val="21"/>
                      <w:szCs w:val="21"/>
                      <w:highlight w:val="none"/>
                    </w:rPr>
                  </w:pPr>
                  <w:r>
                    <w:rPr>
                      <w:rFonts w:hint="eastAsia" w:ascii="Times New Roman" w:hAnsi="Times New Roman" w:cs="Times New Roman"/>
                      <w:b w:val="0"/>
                      <w:bCs w:val="0"/>
                      <w:i w:val="0"/>
                      <w:iCs w:val="0"/>
                      <w:color w:val="auto"/>
                      <w:sz w:val="21"/>
                      <w:szCs w:val="21"/>
                      <w:highlight w:val="none"/>
                      <w:lang w:val="en-US" w:eastAsia="zh-CN"/>
                    </w:rPr>
                    <w:t>1次/月</w:t>
                  </w:r>
                </w:p>
              </w:tc>
            </w:tr>
            <w:tr w14:paraId="13DDC60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460" w:type="pct"/>
                  <w:vMerge w:val="continue"/>
                  <w:tcBorders>
                    <w:tl2br w:val="nil"/>
                    <w:tr2bl w:val="nil"/>
                  </w:tcBorders>
                  <w:noWrap w:val="0"/>
                  <w:vAlign w:val="center"/>
                </w:tcPr>
                <w:p w14:paraId="1FA66892">
                  <w:pPr>
                    <w:jc w:val="center"/>
                    <w:rPr>
                      <w:rFonts w:hint="default" w:ascii="Times New Roman" w:hAnsi="Times New Roman" w:cs="Times New Roman"/>
                      <w:color w:val="auto"/>
                      <w:sz w:val="21"/>
                      <w:szCs w:val="21"/>
                      <w:highlight w:val="none"/>
                    </w:rPr>
                  </w:pPr>
                </w:p>
              </w:tc>
              <w:tc>
                <w:tcPr>
                  <w:tcW w:w="609" w:type="pct"/>
                  <w:tcBorders>
                    <w:tl2br w:val="nil"/>
                    <w:tr2bl w:val="nil"/>
                  </w:tcBorders>
                  <w:noWrap w:val="0"/>
                  <w:vAlign w:val="center"/>
                </w:tcPr>
                <w:p w14:paraId="666E957D">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厂界</w:t>
                  </w:r>
                </w:p>
              </w:tc>
              <w:tc>
                <w:tcPr>
                  <w:tcW w:w="3249" w:type="pct"/>
                  <w:tcBorders>
                    <w:tl2br w:val="nil"/>
                    <w:tr2bl w:val="nil"/>
                  </w:tcBorders>
                  <w:noWrap w:val="0"/>
                  <w:vAlign w:val="center"/>
                </w:tcPr>
                <w:p w14:paraId="40087874">
                  <w:pPr>
                    <w:widowControl/>
                    <w:jc w:val="center"/>
                    <w:rPr>
                      <w:rFonts w:hint="default" w:eastAsia="宋体" w:cs="Times New Roman"/>
                      <w:b w:val="0"/>
                      <w:bCs w:val="0"/>
                      <w:i w:val="0"/>
                      <w:iCs w:val="0"/>
                      <w:color w:val="auto"/>
                      <w:sz w:val="21"/>
                      <w:szCs w:val="21"/>
                      <w:highlight w:val="none"/>
                      <w:lang w:val="en-US" w:eastAsia="zh-CN"/>
                    </w:rPr>
                  </w:pPr>
                  <w:r>
                    <w:rPr>
                      <w:rFonts w:hint="eastAsia" w:cs="Times New Roman"/>
                      <w:b w:val="0"/>
                      <w:bCs w:val="0"/>
                      <w:i w:val="0"/>
                      <w:iCs w:val="0"/>
                      <w:color w:val="auto"/>
                      <w:sz w:val="21"/>
                      <w:szCs w:val="21"/>
                      <w:highlight w:val="none"/>
                      <w:lang w:val="en-US" w:eastAsia="zh-CN"/>
                    </w:rPr>
                    <w:t>颗粒物</w:t>
                  </w:r>
                </w:p>
              </w:tc>
              <w:tc>
                <w:tcPr>
                  <w:tcW w:w="680" w:type="pct"/>
                  <w:tcBorders>
                    <w:tl2br w:val="nil"/>
                    <w:tr2bl w:val="nil"/>
                  </w:tcBorders>
                  <w:noWrap w:val="0"/>
                  <w:vAlign w:val="center"/>
                </w:tcPr>
                <w:p w14:paraId="3BF022E9">
                  <w:pPr>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1次/季</w:t>
                  </w:r>
                </w:p>
              </w:tc>
            </w:tr>
          </w:tbl>
          <w:p w14:paraId="49F03888">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eastAsia" w:cs="Times New Roman"/>
                <w:b/>
                <w:bCs/>
                <w:color w:val="auto"/>
                <w:sz w:val="24"/>
                <w:szCs w:val="24"/>
                <w:highlight w:val="none"/>
                <w:lang w:val="en-US" w:eastAsia="zh-CN"/>
              </w:rPr>
            </w:pPr>
          </w:p>
          <w:p w14:paraId="5CA009FD">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（五</w:t>
            </w:r>
            <w:r>
              <w:rPr>
                <w:rFonts w:hint="default" w:ascii="Times New Roman" w:hAnsi="Times New Roman"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大气污染物排放量核算汇总情况</w:t>
            </w:r>
          </w:p>
          <w:p w14:paraId="565CB6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本项目大气污染物排放量核算汇总情况</w:t>
            </w:r>
            <w:r>
              <w:rPr>
                <w:rFonts w:hint="eastAsia" w:cs="Times New Roman"/>
                <w:color w:val="auto"/>
                <w:sz w:val="24"/>
                <w:szCs w:val="24"/>
                <w:highlight w:val="none"/>
                <w:lang w:val="en-US" w:eastAsia="zh-CN"/>
              </w:rPr>
              <w:t>详见下表。</w:t>
            </w:r>
          </w:p>
          <w:p w14:paraId="50FDC61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表4-</w:t>
            </w:r>
            <w:r>
              <w:rPr>
                <w:rFonts w:hint="eastAsia" w:cs="Times New Roman"/>
                <w:b/>
                <w:bCs/>
                <w:color w:val="auto"/>
                <w:sz w:val="21"/>
                <w:szCs w:val="21"/>
                <w:highlight w:val="none"/>
                <w:lang w:val="en-US" w:eastAsia="zh-CN"/>
              </w:rPr>
              <w:t>4</w:t>
            </w:r>
            <w:r>
              <w:rPr>
                <w:rFonts w:hint="eastAsia" w:ascii="Times New Roman" w:hAnsi="Times New Roman" w:eastAsia="宋体" w:cs="Times New Roman"/>
                <w:b/>
                <w:bCs/>
                <w:color w:val="auto"/>
                <w:sz w:val="21"/>
                <w:szCs w:val="21"/>
                <w:highlight w:val="none"/>
                <w:lang w:val="en-US" w:eastAsia="zh-CN"/>
              </w:rPr>
              <w:t xml:space="preserve"> </w:t>
            </w:r>
            <w:r>
              <w:rPr>
                <w:rFonts w:hint="eastAsia" w:cs="Times New Roman"/>
                <w:b/>
                <w:bCs/>
                <w:color w:val="auto"/>
                <w:sz w:val="21"/>
                <w:szCs w:val="21"/>
                <w:highlight w:val="none"/>
                <w:lang w:val="en-US" w:eastAsia="zh-CN"/>
              </w:rPr>
              <w:t xml:space="preserve"> </w:t>
            </w:r>
            <w:r>
              <w:rPr>
                <w:rFonts w:hint="eastAsia" w:ascii="Times New Roman" w:hAnsi="Times New Roman" w:eastAsia="宋体" w:cs="Times New Roman"/>
                <w:b/>
                <w:bCs/>
                <w:color w:val="auto"/>
                <w:sz w:val="21"/>
                <w:szCs w:val="21"/>
                <w:highlight w:val="none"/>
                <w:lang w:val="en-US" w:eastAsia="zh-CN"/>
              </w:rPr>
              <w:t>大气污染物有组织排放量核算表</w:t>
            </w:r>
          </w:p>
          <w:tbl>
            <w:tblPr>
              <w:tblStyle w:val="20"/>
              <w:tblW w:w="8646"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532"/>
              <w:gridCol w:w="1495"/>
              <w:gridCol w:w="1599"/>
              <w:gridCol w:w="1556"/>
              <w:gridCol w:w="1739"/>
            </w:tblGrid>
            <w:tr w14:paraId="71D1FA2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25" w:type="dxa"/>
                  <w:tcBorders>
                    <w:tl2br w:val="nil"/>
                    <w:tr2bl w:val="nil"/>
                  </w:tcBorders>
                  <w:noWrap w:val="0"/>
                  <w:vAlign w:val="center"/>
                </w:tcPr>
                <w:p w14:paraId="285BC68E">
                  <w:pPr>
                    <w:tabs>
                      <w:tab w:val="right" w:leader="dot" w:pos="8495"/>
                    </w:tabs>
                    <w:ind w:left="0" w:leftChars="0"/>
                    <w:jc w:val="center"/>
                    <w:rPr>
                      <w:b/>
                      <w:bCs/>
                      <w:snapToGrid w:val="0"/>
                      <w:color w:val="auto"/>
                      <w:kern w:val="0"/>
                      <w:sz w:val="21"/>
                      <w:szCs w:val="21"/>
                      <w:highlight w:val="none"/>
                    </w:rPr>
                  </w:pPr>
                  <w:r>
                    <w:rPr>
                      <w:b/>
                      <w:bCs/>
                      <w:snapToGrid w:val="0"/>
                      <w:color w:val="auto"/>
                      <w:kern w:val="0"/>
                      <w:sz w:val="21"/>
                      <w:szCs w:val="21"/>
                      <w:highlight w:val="none"/>
                    </w:rPr>
                    <w:t>序号</w:t>
                  </w:r>
                </w:p>
              </w:tc>
              <w:tc>
                <w:tcPr>
                  <w:tcW w:w="1532" w:type="dxa"/>
                  <w:tcBorders>
                    <w:tl2br w:val="nil"/>
                    <w:tr2bl w:val="nil"/>
                  </w:tcBorders>
                  <w:noWrap w:val="0"/>
                  <w:vAlign w:val="center"/>
                </w:tcPr>
                <w:p w14:paraId="16D95929">
                  <w:pPr>
                    <w:tabs>
                      <w:tab w:val="right" w:leader="dot" w:pos="8495"/>
                    </w:tabs>
                    <w:ind w:left="0" w:leftChars="0"/>
                    <w:jc w:val="center"/>
                    <w:rPr>
                      <w:b/>
                      <w:bCs/>
                      <w:snapToGrid w:val="0"/>
                      <w:color w:val="auto"/>
                      <w:kern w:val="0"/>
                      <w:sz w:val="21"/>
                      <w:szCs w:val="21"/>
                      <w:highlight w:val="none"/>
                    </w:rPr>
                  </w:pPr>
                  <w:r>
                    <w:rPr>
                      <w:b/>
                      <w:bCs/>
                      <w:snapToGrid w:val="0"/>
                      <w:color w:val="auto"/>
                      <w:kern w:val="0"/>
                      <w:sz w:val="21"/>
                      <w:szCs w:val="21"/>
                      <w:highlight w:val="none"/>
                    </w:rPr>
                    <w:t>排放口编号</w:t>
                  </w:r>
                </w:p>
              </w:tc>
              <w:tc>
                <w:tcPr>
                  <w:tcW w:w="1495" w:type="dxa"/>
                  <w:tcBorders>
                    <w:tl2br w:val="nil"/>
                    <w:tr2bl w:val="nil"/>
                  </w:tcBorders>
                  <w:noWrap w:val="0"/>
                  <w:vAlign w:val="center"/>
                </w:tcPr>
                <w:p w14:paraId="780037C4">
                  <w:pPr>
                    <w:tabs>
                      <w:tab w:val="right" w:leader="dot" w:pos="8495"/>
                    </w:tabs>
                    <w:ind w:left="0" w:leftChars="0"/>
                    <w:jc w:val="center"/>
                    <w:rPr>
                      <w:b/>
                      <w:bCs/>
                      <w:snapToGrid w:val="0"/>
                      <w:color w:val="auto"/>
                      <w:kern w:val="0"/>
                      <w:sz w:val="21"/>
                      <w:szCs w:val="21"/>
                      <w:highlight w:val="none"/>
                    </w:rPr>
                  </w:pPr>
                  <w:r>
                    <w:rPr>
                      <w:b/>
                      <w:bCs/>
                      <w:snapToGrid w:val="0"/>
                      <w:color w:val="auto"/>
                      <w:kern w:val="0"/>
                      <w:sz w:val="21"/>
                      <w:szCs w:val="21"/>
                      <w:highlight w:val="none"/>
                    </w:rPr>
                    <w:t>污染物</w:t>
                  </w:r>
                </w:p>
              </w:tc>
              <w:tc>
                <w:tcPr>
                  <w:tcW w:w="1599" w:type="dxa"/>
                  <w:tcBorders>
                    <w:tl2br w:val="nil"/>
                    <w:tr2bl w:val="nil"/>
                  </w:tcBorders>
                  <w:noWrap w:val="0"/>
                  <w:vAlign w:val="center"/>
                </w:tcPr>
                <w:p w14:paraId="0A29127E">
                  <w:pPr>
                    <w:tabs>
                      <w:tab w:val="right" w:leader="dot" w:pos="8495"/>
                    </w:tabs>
                    <w:ind w:left="0" w:leftChars="0"/>
                    <w:jc w:val="center"/>
                    <w:rPr>
                      <w:b/>
                      <w:bCs/>
                      <w:snapToGrid w:val="0"/>
                      <w:color w:val="auto"/>
                      <w:kern w:val="0"/>
                      <w:sz w:val="21"/>
                      <w:szCs w:val="21"/>
                      <w:highlight w:val="none"/>
                    </w:rPr>
                  </w:pPr>
                  <w:r>
                    <w:rPr>
                      <w:b/>
                      <w:bCs/>
                      <w:snapToGrid w:val="0"/>
                      <w:color w:val="auto"/>
                      <w:kern w:val="0"/>
                      <w:sz w:val="21"/>
                      <w:szCs w:val="21"/>
                      <w:highlight w:val="none"/>
                    </w:rPr>
                    <w:t>核算排放浓度</w:t>
                  </w:r>
                </w:p>
                <w:p w14:paraId="52C433BA">
                  <w:pPr>
                    <w:jc w:val="center"/>
                    <w:rPr>
                      <w:b/>
                      <w:bCs/>
                      <w:snapToGrid w:val="0"/>
                      <w:color w:val="auto"/>
                      <w:kern w:val="0"/>
                      <w:sz w:val="21"/>
                      <w:szCs w:val="21"/>
                      <w:highlight w:val="none"/>
                    </w:rPr>
                  </w:pPr>
                  <w:r>
                    <w:rPr>
                      <w:b/>
                      <w:bCs/>
                      <w:snapToGrid w:val="0"/>
                      <w:color w:val="auto"/>
                      <w:kern w:val="0"/>
                      <w:sz w:val="21"/>
                      <w:szCs w:val="21"/>
                      <w:highlight w:val="none"/>
                    </w:rPr>
                    <w:t>（</w:t>
                  </w:r>
                  <w:r>
                    <w:rPr>
                      <w:rFonts w:hint="eastAsia"/>
                      <w:b/>
                      <w:bCs/>
                      <w:snapToGrid w:val="0"/>
                      <w:color w:val="auto"/>
                      <w:kern w:val="0"/>
                      <w:sz w:val="21"/>
                      <w:szCs w:val="21"/>
                      <w:highlight w:val="none"/>
                      <w:lang w:val="en-US" w:eastAsia="zh-CN"/>
                    </w:rPr>
                    <w:t>m</w:t>
                  </w:r>
                  <w:r>
                    <w:rPr>
                      <w:b/>
                      <w:bCs/>
                      <w:snapToGrid w:val="0"/>
                      <w:color w:val="auto"/>
                      <w:kern w:val="0"/>
                      <w:sz w:val="21"/>
                      <w:szCs w:val="21"/>
                      <w:highlight w:val="none"/>
                    </w:rPr>
                    <w:t>g/m</w:t>
                  </w:r>
                  <w:r>
                    <w:rPr>
                      <w:b/>
                      <w:bCs/>
                      <w:snapToGrid w:val="0"/>
                      <w:color w:val="auto"/>
                      <w:kern w:val="0"/>
                      <w:sz w:val="21"/>
                      <w:szCs w:val="21"/>
                      <w:highlight w:val="none"/>
                      <w:vertAlign w:val="superscript"/>
                    </w:rPr>
                    <w:t>3</w:t>
                  </w:r>
                  <w:r>
                    <w:rPr>
                      <w:b/>
                      <w:bCs/>
                      <w:snapToGrid w:val="0"/>
                      <w:color w:val="auto"/>
                      <w:kern w:val="0"/>
                      <w:sz w:val="21"/>
                      <w:szCs w:val="21"/>
                      <w:highlight w:val="none"/>
                    </w:rPr>
                    <w:t>）</w:t>
                  </w:r>
                </w:p>
              </w:tc>
              <w:tc>
                <w:tcPr>
                  <w:tcW w:w="1556" w:type="dxa"/>
                  <w:tcBorders>
                    <w:tl2br w:val="nil"/>
                    <w:tr2bl w:val="nil"/>
                  </w:tcBorders>
                  <w:noWrap w:val="0"/>
                  <w:vAlign w:val="center"/>
                </w:tcPr>
                <w:p w14:paraId="68064565">
                  <w:pPr>
                    <w:tabs>
                      <w:tab w:val="right" w:leader="dot" w:pos="8495"/>
                    </w:tabs>
                    <w:ind w:left="0" w:leftChars="0"/>
                    <w:jc w:val="center"/>
                    <w:rPr>
                      <w:b/>
                      <w:bCs/>
                      <w:snapToGrid w:val="0"/>
                      <w:color w:val="auto"/>
                      <w:kern w:val="0"/>
                      <w:sz w:val="21"/>
                      <w:szCs w:val="21"/>
                      <w:highlight w:val="none"/>
                    </w:rPr>
                  </w:pPr>
                  <w:r>
                    <w:rPr>
                      <w:b/>
                      <w:bCs/>
                      <w:snapToGrid w:val="0"/>
                      <w:color w:val="auto"/>
                      <w:kern w:val="0"/>
                      <w:sz w:val="21"/>
                      <w:szCs w:val="21"/>
                      <w:highlight w:val="none"/>
                    </w:rPr>
                    <w:t>核算排放速率（</w:t>
                  </w:r>
                  <w:r>
                    <w:rPr>
                      <w:rFonts w:hint="eastAsia"/>
                      <w:b/>
                      <w:bCs/>
                      <w:snapToGrid w:val="0"/>
                      <w:color w:val="auto"/>
                      <w:kern w:val="0"/>
                      <w:sz w:val="21"/>
                      <w:szCs w:val="21"/>
                      <w:highlight w:val="none"/>
                    </w:rPr>
                    <w:t>kg/h</w:t>
                  </w:r>
                  <w:r>
                    <w:rPr>
                      <w:b/>
                      <w:bCs/>
                      <w:snapToGrid w:val="0"/>
                      <w:color w:val="auto"/>
                      <w:kern w:val="0"/>
                      <w:sz w:val="21"/>
                      <w:szCs w:val="21"/>
                      <w:highlight w:val="none"/>
                    </w:rPr>
                    <w:t>）</w:t>
                  </w:r>
                </w:p>
              </w:tc>
              <w:tc>
                <w:tcPr>
                  <w:tcW w:w="1739" w:type="dxa"/>
                  <w:tcBorders>
                    <w:tl2br w:val="nil"/>
                    <w:tr2bl w:val="nil"/>
                  </w:tcBorders>
                  <w:noWrap w:val="0"/>
                  <w:vAlign w:val="center"/>
                </w:tcPr>
                <w:p w14:paraId="34917A04">
                  <w:pPr>
                    <w:tabs>
                      <w:tab w:val="right" w:leader="dot" w:pos="8495"/>
                    </w:tabs>
                    <w:ind w:left="0" w:leftChars="0"/>
                    <w:jc w:val="center"/>
                    <w:rPr>
                      <w:b/>
                      <w:bCs/>
                      <w:snapToGrid w:val="0"/>
                      <w:color w:val="auto"/>
                      <w:kern w:val="0"/>
                      <w:sz w:val="21"/>
                      <w:szCs w:val="21"/>
                      <w:highlight w:val="none"/>
                    </w:rPr>
                  </w:pPr>
                  <w:r>
                    <w:rPr>
                      <w:b/>
                      <w:bCs/>
                      <w:snapToGrid w:val="0"/>
                      <w:color w:val="auto"/>
                      <w:kern w:val="0"/>
                      <w:sz w:val="21"/>
                      <w:szCs w:val="21"/>
                      <w:highlight w:val="none"/>
                    </w:rPr>
                    <w:t>核算年排放</w:t>
                  </w:r>
                </w:p>
                <w:p w14:paraId="1DF57170">
                  <w:pPr>
                    <w:tabs>
                      <w:tab w:val="right" w:leader="dot" w:pos="8495"/>
                    </w:tabs>
                    <w:ind w:left="0" w:leftChars="0"/>
                    <w:jc w:val="center"/>
                    <w:rPr>
                      <w:b/>
                      <w:bCs/>
                      <w:snapToGrid w:val="0"/>
                      <w:color w:val="auto"/>
                      <w:kern w:val="0"/>
                      <w:sz w:val="21"/>
                      <w:szCs w:val="21"/>
                      <w:highlight w:val="none"/>
                    </w:rPr>
                  </w:pPr>
                  <w:r>
                    <w:rPr>
                      <w:rFonts w:hint="eastAsia"/>
                      <w:b/>
                      <w:bCs/>
                      <w:snapToGrid w:val="0"/>
                      <w:color w:val="auto"/>
                      <w:kern w:val="0"/>
                      <w:sz w:val="21"/>
                      <w:szCs w:val="21"/>
                      <w:highlight w:val="none"/>
                    </w:rPr>
                    <w:t>（</w:t>
                  </w:r>
                  <w:r>
                    <w:rPr>
                      <w:rFonts w:hint="eastAsia"/>
                      <w:b/>
                      <w:bCs/>
                      <w:snapToGrid w:val="0"/>
                      <w:color w:val="auto"/>
                      <w:kern w:val="0"/>
                      <w:sz w:val="21"/>
                      <w:szCs w:val="21"/>
                      <w:highlight w:val="none"/>
                      <w:lang w:val="en-US" w:eastAsia="zh-CN"/>
                    </w:rPr>
                    <w:t>t</w:t>
                  </w:r>
                  <w:r>
                    <w:rPr>
                      <w:rFonts w:hint="eastAsia"/>
                      <w:b/>
                      <w:bCs/>
                      <w:snapToGrid w:val="0"/>
                      <w:color w:val="auto"/>
                      <w:kern w:val="0"/>
                      <w:sz w:val="21"/>
                      <w:szCs w:val="21"/>
                      <w:highlight w:val="none"/>
                    </w:rPr>
                    <w:t>/a）</w:t>
                  </w:r>
                </w:p>
              </w:tc>
            </w:tr>
            <w:tr w14:paraId="01A5BE0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46" w:type="dxa"/>
                  <w:gridSpan w:val="6"/>
                  <w:tcBorders>
                    <w:tl2br w:val="nil"/>
                    <w:tr2bl w:val="nil"/>
                  </w:tcBorders>
                  <w:noWrap w:val="0"/>
                  <w:vAlign w:val="center"/>
                </w:tcPr>
                <w:p w14:paraId="17A0B2ED">
                  <w:pPr>
                    <w:tabs>
                      <w:tab w:val="right" w:leader="dot" w:pos="8495"/>
                    </w:tabs>
                    <w:ind w:left="0" w:leftChars="0"/>
                    <w:jc w:val="center"/>
                    <w:rPr>
                      <w:b w:val="0"/>
                      <w:bCs w:val="0"/>
                      <w:snapToGrid w:val="0"/>
                      <w:color w:val="auto"/>
                      <w:kern w:val="0"/>
                      <w:sz w:val="21"/>
                      <w:szCs w:val="21"/>
                      <w:highlight w:val="none"/>
                    </w:rPr>
                  </w:pPr>
                  <w:r>
                    <w:rPr>
                      <w:rFonts w:hint="eastAsia"/>
                      <w:b w:val="0"/>
                      <w:bCs w:val="0"/>
                      <w:snapToGrid w:val="0"/>
                      <w:color w:val="auto"/>
                      <w:kern w:val="0"/>
                      <w:sz w:val="21"/>
                      <w:szCs w:val="21"/>
                      <w:highlight w:val="none"/>
                    </w:rPr>
                    <w:t>一般</w:t>
                  </w:r>
                  <w:r>
                    <w:rPr>
                      <w:b w:val="0"/>
                      <w:bCs w:val="0"/>
                      <w:snapToGrid w:val="0"/>
                      <w:color w:val="auto"/>
                      <w:kern w:val="0"/>
                      <w:sz w:val="21"/>
                      <w:szCs w:val="21"/>
                      <w:highlight w:val="none"/>
                    </w:rPr>
                    <w:t>排放口</w:t>
                  </w:r>
                </w:p>
              </w:tc>
            </w:tr>
            <w:tr w14:paraId="081BE79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5" w:type="dxa"/>
                  <w:vMerge w:val="restart"/>
                  <w:tcBorders>
                    <w:tl2br w:val="nil"/>
                    <w:tr2bl w:val="nil"/>
                  </w:tcBorders>
                  <w:noWrap w:val="0"/>
                  <w:vAlign w:val="center"/>
                </w:tcPr>
                <w:p w14:paraId="002DF508">
                  <w:pPr>
                    <w:jc w:val="center"/>
                    <w:rPr>
                      <w:rFonts w:hint="eastAsia"/>
                      <w:b w:val="0"/>
                      <w:bCs w:val="0"/>
                      <w:color w:val="auto"/>
                      <w:sz w:val="21"/>
                      <w:szCs w:val="21"/>
                      <w:highlight w:val="none"/>
                    </w:rPr>
                  </w:pPr>
                  <w:r>
                    <w:rPr>
                      <w:rFonts w:hint="eastAsia"/>
                      <w:b w:val="0"/>
                      <w:bCs w:val="0"/>
                      <w:color w:val="auto"/>
                      <w:sz w:val="21"/>
                      <w:szCs w:val="21"/>
                      <w:highlight w:val="none"/>
                    </w:rPr>
                    <w:t>1</w:t>
                  </w:r>
                </w:p>
              </w:tc>
              <w:tc>
                <w:tcPr>
                  <w:tcW w:w="1532" w:type="dxa"/>
                  <w:vMerge w:val="restart"/>
                  <w:tcBorders>
                    <w:tl2br w:val="nil"/>
                    <w:tr2bl w:val="nil"/>
                  </w:tcBorders>
                  <w:noWrap w:val="0"/>
                  <w:vAlign w:val="center"/>
                </w:tcPr>
                <w:p w14:paraId="62B005A0">
                  <w:pPr>
                    <w:jc w:val="center"/>
                    <w:rPr>
                      <w:rFonts w:hint="default" w:eastAsia="宋体"/>
                      <w:b w:val="0"/>
                      <w:bCs w:val="0"/>
                      <w:color w:val="auto"/>
                      <w:sz w:val="21"/>
                      <w:szCs w:val="21"/>
                      <w:highlight w:val="none"/>
                      <w:lang w:val="en-US" w:eastAsia="zh-CN"/>
                    </w:rPr>
                  </w:pPr>
                  <w:r>
                    <w:rPr>
                      <w:rFonts w:hint="eastAsia"/>
                      <w:b w:val="0"/>
                      <w:bCs w:val="0"/>
                      <w:color w:val="auto"/>
                      <w:sz w:val="21"/>
                      <w:szCs w:val="21"/>
                      <w:highlight w:val="none"/>
                      <w:lang w:val="en-US" w:eastAsia="zh-CN"/>
                    </w:rPr>
                    <w:t>DA001</w:t>
                  </w:r>
                </w:p>
              </w:tc>
              <w:tc>
                <w:tcPr>
                  <w:tcW w:w="1495" w:type="dxa"/>
                  <w:tcBorders>
                    <w:tl2br w:val="nil"/>
                    <w:tr2bl w:val="nil"/>
                  </w:tcBorders>
                  <w:noWrap w:val="0"/>
                  <w:vAlign w:val="center"/>
                </w:tcPr>
                <w:p w14:paraId="36DBC3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val="0"/>
                      <w:bCs w:val="0"/>
                      <w:snapToGrid w:val="0"/>
                      <w:color w:val="auto"/>
                      <w:kern w:val="0"/>
                      <w:sz w:val="21"/>
                      <w:szCs w:val="21"/>
                      <w:highlight w:val="none"/>
                      <w:lang w:val="en-US" w:eastAsia="zh-CN"/>
                    </w:rPr>
                  </w:pPr>
                  <w:r>
                    <w:rPr>
                      <w:rFonts w:hint="eastAsia" w:cs="Times New Roman"/>
                      <w:b w:val="0"/>
                      <w:bCs w:val="0"/>
                      <w:color w:val="auto"/>
                      <w:sz w:val="21"/>
                      <w:szCs w:val="21"/>
                      <w:highlight w:val="none"/>
                      <w:lang w:val="en-US" w:eastAsia="zh-CN"/>
                    </w:rPr>
                    <w:t>颗粒物</w:t>
                  </w:r>
                </w:p>
              </w:tc>
              <w:tc>
                <w:tcPr>
                  <w:tcW w:w="1599" w:type="dxa"/>
                  <w:tcBorders>
                    <w:tl2br w:val="nil"/>
                    <w:tr2bl w:val="nil"/>
                  </w:tcBorders>
                  <w:noWrap w:val="0"/>
                  <w:vAlign w:val="center"/>
                </w:tcPr>
                <w:p w14:paraId="035172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Cs/>
                      <w:color w:val="auto"/>
                      <w:sz w:val="18"/>
                      <w:szCs w:val="18"/>
                      <w:highlight w:val="none"/>
                      <w:shd w:val="clear"/>
                      <w:vertAlign w:val="baseline"/>
                      <w:lang w:val="en-US" w:eastAsia="zh-CN"/>
                    </w:rPr>
                    <w:t>14.13</w:t>
                  </w:r>
                </w:p>
              </w:tc>
              <w:tc>
                <w:tcPr>
                  <w:tcW w:w="1556" w:type="dxa"/>
                  <w:tcBorders>
                    <w:tl2br w:val="nil"/>
                    <w:tr2bl w:val="nil"/>
                  </w:tcBorders>
                  <w:noWrap w:val="0"/>
                  <w:vAlign w:val="center"/>
                </w:tcPr>
                <w:p w14:paraId="68AB95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0.16</w:t>
                  </w:r>
                </w:p>
              </w:tc>
              <w:tc>
                <w:tcPr>
                  <w:tcW w:w="1739" w:type="dxa"/>
                  <w:tcBorders>
                    <w:tl2br w:val="nil"/>
                    <w:tr2bl w:val="nil"/>
                  </w:tcBorders>
                  <w:noWrap w:val="0"/>
                  <w:vAlign w:val="center"/>
                </w:tcPr>
                <w:p w14:paraId="38F488EF">
                  <w:pPr>
                    <w:jc w:val="center"/>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eastAsia="宋体" w:cs="Times New Roman"/>
                      <w:b w:val="0"/>
                      <w:bCs w:val="0"/>
                      <w:snapToGrid w:val="0"/>
                      <w:color w:val="auto"/>
                      <w:kern w:val="0"/>
                      <w:sz w:val="21"/>
                      <w:szCs w:val="21"/>
                      <w:highlight w:val="none"/>
                      <w:lang w:val="en-US" w:eastAsia="zh-CN" w:bidi="ar-SA"/>
                    </w:rPr>
                    <w:t>0.60</w:t>
                  </w:r>
                </w:p>
              </w:tc>
            </w:tr>
            <w:tr w14:paraId="1830E43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5" w:type="dxa"/>
                  <w:vMerge w:val="continue"/>
                  <w:tcBorders>
                    <w:tl2br w:val="nil"/>
                    <w:tr2bl w:val="nil"/>
                  </w:tcBorders>
                  <w:noWrap w:val="0"/>
                  <w:vAlign w:val="center"/>
                </w:tcPr>
                <w:p w14:paraId="5EC2D42B">
                  <w:pPr>
                    <w:jc w:val="center"/>
                    <w:rPr>
                      <w:rFonts w:hint="eastAsia"/>
                      <w:b w:val="0"/>
                      <w:bCs w:val="0"/>
                      <w:color w:val="auto"/>
                      <w:sz w:val="21"/>
                      <w:szCs w:val="21"/>
                      <w:highlight w:val="none"/>
                    </w:rPr>
                  </w:pPr>
                </w:p>
              </w:tc>
              <w:tc>
                <w:tcPr>
                  <w:tcW w:w="1532" w:type="dxa"/>
                  <w:vMerge w:val="continue"/>
                  <w:tcBorders>
                    <w:tl2br w:val="nil"/>
                    <w:tr2bl w:val="nil"/>
                  </w:tcBorders>
                  <w:noWrap w:val="0"/>
                  <w:vAlign w:val="center"/>
                </w:tcPr>
                <w:p w14:paraId="7E6DAD59">
                  <w:pPr>
                    <w:jc w:val="center"/>
                    <w:rPr>
                      <w:rFonts w:hint="eastAsia"/>
                      <w:b w:val="0"/>
                      <w:bCs w:val="0"/>
                      <w:color w:val="auto"/>
                      <w:sz w:val="21"/>
                      <w:szCs w:val="21"/>
                      <w:highlight w:val="none"/>
                      <w:lang w:val="en-US" w:eastAsia="zh-CN"/>
                    </w:rPr>
                  </w:pPr>
                </w:p>
              </w:tc>
              <w:tc>
                <w:tcPr>
                  <w:tcW w:w="1495" w:type="dxa"/>
                  <w:tcBorders>
                    <w:tl2br w:val="nil"/>
                    <w:tr2bl w:val="nil"/>
                  </w:tcBorders>
                  <w:noWrap w:val="0"/>
                  <w:vAlign w:val="center"/>
                </w:tcPr>
                <w:p w14:paraId="5952FE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val="0"/>
                      <w:bCs w:val="0"/>
                      <w:snapToGrid w:val="0"/>
                      <w:color w:val="auto"/>
                      <w:kern w:val="0"/>
                      <w:sz w:val="21"/>
                      <w:szCs w:val="21"/>
                      <w:highlight w:val="none"/>
                      <w:lang w:val="en-US" w:eastAsia="zh-CN"/>
                    </w:rPr>
                  </w:pPr>
                  <w:r>
                    <w:rPr>
                      <w:rFonts w:hint="eastAsia" w:cs="Times New Roman"/>
                      <w:b w:val="0"/>
                      <w:bCs w:val="0"/>
                      <w:color w:val="auto"/>
                      <w:sz w:val="21"/>
                      <w:szCs w:val="21"/>
                      <w:highlight w:val="none"/>
                      <w:lang w:val="en-US" w:eastAsia="zh-CN"/>
                    </w:rPr>
                    <w:t>二氧化硫</w:t>
                  </w:r>
                </w:p>
              </w:tc>
              <w:tc>
                <w:tcPr>
                  <w:tcW w:w="1599" w:type="dxa"/>
                  <w:tcBorders>
                    <w:tl2br w:val="nil"/>
                    <w:tr2bl w:val="nil"/>
                  </w:tcBorders>
                  <w:noWrap w:val="0"/>
                  <w:vAlign w:val="center"/>
                </w:tcPr>
                <w:p w14:paraId="3A494A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1"/>
                      <w:szCs w:val="21"/>
                      <w:highlight w:val="no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90.82</w:t>
                  </w:r>
                </w:p>
              </w:tc>
              <w:tc>
                <w:tcPr>
                  <w:tcW w:w="1556" w:type="dxa"/>
                  <w:tcBorders>
                    <w:tl2br w:val="nil"/>
                    <w:tr2bl w:val="nil"/>
                  </w:tcBorders>
                  <w:noWrap w:val="0"/>
                  <w:vAlign w:val="center"/>
                </w:tcPr>
                <w:p w14:paraId="38F447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1.00</w:t>
                  </w:r>
                </w:p>
              </w:tc>
              <w:tc>
                <w:tcPr>
                  <w:tcW w:w="1739" w:type="dxa"/>
                  <w:tcBorders>
                    <w:tl2br w:val="nil"/>
                    <w:tr2bl w:val="nil"/>
                  </w:tcBorders>
                  <w:noWrap w:val="0"/>
                  <w:vAlign w:val="center"/>
                </w:tcPr>
                <w:p w14:paraId="28D34102">
                  <w:pPr>
                    <w:jc w:val="center"/>
                    <w:rPr>
                      <w:rFonts w:hint="default" w:ascii="Times New Roman" w:hAnsi="Times New Roman" w:eastAsia="宋体" w:cs="Times New Roman"/>
                      <w:b w:val="0"/>
                      <w:bCs w:val="0"/>
                      <w:snapToGrid w:val="0"/>
                      <w:color w:val="auto"/>
                      <w:kern w:val="0"/>
                      <w:sz w:val="21"/>
                      <w:szCs w:val="21"/>
                      <w:highlight w:val="none"/>
                      <w:lang w:val="en-US" w:eastAsia="zh-CN" w:bidi="ar-SA"/>
                    </w:rPr>
                  </w:pPr>
                  <w:r>
                    <w:rPr>
                      <w:rFonts w:hint="eastAsia" w:eastAsia="宋体" w:cs="Times New Roman"/>
                      <w:b w:val="0"/>
                      <w:bCs w:val="0"/>
                      <w:snapToGrid w:val="0"/>
                      <w:color w:val="auto"/>
                      <w:kern w:val="0"/>
                      <w:sz w:val="21"/>
                      <w:szCs w:val="21"/>
                      <w:highlight w:val="none"/>
                      <w:lang w:val="en-US" w:eastAsia="zh-CN" w:bidi="ar-SA"/>
                    </w:rPr>
                    <w:t>3.83</w:t>
                  </w:r>
                </w:p>
              </w:tc>
            </w:tr>
            <w:tr w14:paraId="767C292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5" w:type="dxa"/>
                  <w:vMerge w:val="continue"/>
                  <w:tcBorders>
                    <w:tl2br w:val="nil"/>
                    <w:tr2bl w:val="nil"/>
                  </w:tcBorders>
                  <w:noWrap w:val="0"/>
                  <w:vAlign w:val="center"/>
                </w:tcPr>
                <w:p w14:paraId="0444F976">
                  <w:pPr>
                    <w:jc w:val="center"/>
                    <w:rPr>
                      <w:rFonts w:hint="eastAsia"/>
                      <w:b w:val="0"/>
                      <w:bCs w:val="0"/>
                      <w:color w:val="auto"/>
                      <w:sz w:val="21"/>
                      <w:szCs w:val="21"/>
                      <w:highlight w:val="none"/>
                    </w:rPr>
                  </w:pPr>
                </w:p>
              </w:tc>
              <w:tc>
                <w:tcPr>
                  <w:tcW w:w="1532" w:type="dxa"/>
                  <w:vMerge w:val="continue"/>
                  <w:tcBorders>
                    <w:tl2br w:val="nil"/>
                    <w:tr2bl w:val="nil"/>
                  </w:tcBorders>
                  <w:noWrap w:val="0"/>
                  <w:vAlign w:val="center"/>
                </w:tcPr>
                <w:p w14:paraId="0151EC7E">
                  <w:pPr>
                    <w:jc w:val="center"/>
                    <w:rPr>
                      <w:rFonts w:hint="eastAsia"/>
                      <w:b w:val="0"/>
                      <w:bCs w:val="0"/>
                      <w:color w:val="auto"/>
                      <w:sz w:val="21"/>
                      <w:szCs w:val="21"/>
                      <w:highlight w:val="none"/>
                      <w:lang w:val="en-US" w:eastAsia="zh-CN"/>
                    </w:rPr>
                  </w:pPr>
                </w:p>
              </w:tc>
              <w:tc>
                <w:tcPr>
                  <w:tcW w:w="1495" w:type="dxa"/>
                  <w:tcBorders>
                    <w:tl2br w:val="nil"/>
                    <w:tr2bl w:val="nil"/>
                  </w:tcBorders>
                  <w:noWrap w:val="0"/>
                  <w:vAlign w:val="center"/>
                </w:tcPr>
                <w:p w14:paraId="376322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snapToGrid w:val="0"/>
                      <w:color w:val="auto"/>
                      <w:kern w:val="0"/>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氮氧化物</w:t>
                  </w:r>
                </w:p>
              </w:tc>
              <w:tc>
                <w:tcPr>
                  <w:tcW w:w="1599" w:type="dxa"/>
                  <w:tcBorders>
                    <w:tl2br w:val="nil"/>
                    <w:tr2bl w:val="nil"/>
                  </w:tcBorders>
                  <w:noWrap w:val="0"/>
                  <w:vAlign w:val="center"/>
                </w:tcPr>
                <w:p w14:paraId="7336CB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21"/>
                      <w:szCs w:val="21"/>
                      <w:highlight w:val="none"/>
                      <w:lang w:val="en-US" w:eastAsia="zh-CN"/>
                    </w:rPr>
                  </w:pPr>
                  <w:r>
                    <w:rPr>
                      <w:rFonts w:hint="default" w:ascii="Times New Roman" w:hAnsi="Times New Roman" w:eastAsia="宋体" w:cs="Times New Roman"/>
                      <w:iCs/>
                      <w:color w:val="auto"/>
                      <w:sz w:val="18"/>
                      <w:szCs w:val="18"/>
                      <w:highlight w:val="none"/>
                      <w:shd w:val="clear"/>
                      <w:vertAlign w:val="baseline"/>
                      <w:lang w:val="en-US" w:eastAsia="zh-CN"/>
                    </w:rPr>
                    <w:t>15</w:t>
                  </w:r>
                  <w:r>
                    <w:rPr>
                      <w:rFonts w:hint="eastAsia" w:ascii="Times New Roman" w:hAnsi="Times New Roman" w:eastAsia="宋体" w:cs="Times New Roman"/>
                      <w:iCs/>
                      <w:color w:val="auto"/>
                      <w:sz w:val="18"/>
                      <w:szCs w:val="18"/>
                      <w:highlight w:val="none"/>
                      <w:shd w:val="clear"/>
                      <w:vertAlign w:val="baseline"/>
                      <w:lang w:val="en-US" w:eastAsia="zh-CN"/>
                    </w:rPr>
                    <w:t>0</w:t>
                  </w:r>
                  <w:r>
                    <w:rPr>
                      <w:rFonts w:hint="default" w:ascii="Times New Roman" w:hAnsi="Times New Roman" w:eastAsia="宋体" w:cs="Times New Roman"/>
                      <w:iCs/>
                      <w:color w:val="auto"/>
                      <w:sz w:val="18"/>
                      <w:szCs w:val="18"/>
                      <w:highlight w:val="none"/>
                      <w:shd w:val="clear"/>
                      <w:vertAlign w:val="baseline"/>
                      <w:lang w:val="en-US" w:eastAsia="zh-CN"/>
                    </w:rPr>
                    <w:t>.</w:t>
                  </w:r>
                  <w:r>
                    <w:rPr>
                      <w:rFonts w:hint="eastAsia" w:ascii="Times New Roman" w:hAnsi="Times New Roman" w:eastAsia="宋体" w:cs="Times New Roman"/>
                      <w:iCs/>
                      <w:color w:val="auto"/>
                      <w:sz w:val="18"/>
                      <w:szCs w:val="18"/>
                      <w:highlight w:val="none"/>
                      <w:shd w:val="clear"/>
                      <w:vertAlign w:val="baseline"/>
                      <w:lang w:val="en-US" w:eastAsia="zh-CN"/>
                    </w:rPr>
                    <w:t>38</w:t>
                  </w:r>
                </w:p>
              </w:tc>
              <w:tc>
                <w:tcPr>
                  <w:tcW w:w="1556" w:type="dxa"/>
                  <w:tcBorders>
                    <w:tl2br w:val="nil"/>
                    <w:tr2bl w:val="nil"/>
                  </w:tcBorders>
                  <w:noWrap w:val="0"/>
                  <w:vAlign w:val="center"/>
                </w:tcPr>
                <w:p w14:paraId="4255D6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21"/>
                      <w:szCs w:val="21"/>
                      <w:highlight w:val="none"/>
                      <w:lang w:val="en-US" w:eastAsia="zh-CN"/>
                    </w:rPr>
                  </w:pPr>
                  <w:r>
                    <w:rPr>
                      <w:rFonts w:hint="eastAsia" w:ascii="Times New Roman" w:hAnsi="Times New Roman" w:eastAsia="宋体" w:cs="Times New Roman"/>
                      <w:iCs/>
                      <w:color w:val="auto"/>
                      <w:sz w:val="18"/>
                      <w:szCs w:val="18"/>
                      <w:highlight w:val="none"/>
                      <w:shd w:val="clear"/>
                      <w:vertAlign w:val="baseline"/>
                      <w:lang w:val="en-US" w:eastAsia="zh-CN"/>
                    </w:rPr>
                    <w:t>1.65</w:t>
                  </w:r>
                </w:p>
              </w:tc>
              <w:tc>
                <w:tcPr>
                  <w:tcW w:w="1739" w:type="dxa"/>
                  <w:tcBorders>
                    <w:tl2br w:val="nil"/>
                    <w:tr2bl w:val="nil"/>
                  </w:tcBorders>
                  <w:noWrap w:val="0"/>
                  <w:vAlign w:val="center"/>
                </w:tcPr>
                <w:p w14:paraId="7E877DDE">
                  <w:pPr>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6.34</w:t>
                  </w:r>
                </w:p>
              </w:tc>
            </w:tr>
            <w:tr w14:paraId="7675434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5" w:type="dxa"/>
                  <w:vMerge w:val="continue"/>
                  <w:tcBorders>
                    <w:tl2br w:val="nil"/>
                    <w:tr2bl w:val="nil"/>
                  </w:tcBorders>
                  <w:noWrap w:val="0"/>
                  <w:vAlign w:val="center"/>
                </w:tcPr>
                <w:p w14:paraId="35FBFFDD">
                  <w:pPr>
                    <w:jc w:val="center"/>
                    <w:rPr>
                      <w:rFonts w:hint="eastAsia"/>
                      <w:b w:val="0"/>
                      <w:bCs w:val="0"/>
                      <w:color w:val="auto"/>
                      <w:sz w:val="21"/>
                      <w:szCs w:val="21"/>
                      <w:highlight w:val="none"/>
                    </w:rPr>
                  </w:pPr>
                </w:p>
              </w:tc>
              <w:tc>
                <w:tcPr>
                  <w:tcW w:w="1532" w:type="dxa"/>
                  <w:vMerge w:val="continue"/>
                  <w:tcBorders>
                    <w:tl2br w:val="nil"/>
                    <w:tr2bl w:val="nil"/>
                  </w:tcBorders>
                  <w:noWrap w:val="0"/>
                  <w:vAlign w:val="center"/>
                </w:tcPr>
                <w:p w14:paraId="2DC2ED28">
                  <w:pPr>
                    <w:jc w:val="center"/>
                    <w:rPr>
                      <w:rFonts w:hint="eastAsia"/>
                      <w:b w:val="0"/>
                      <w:bCs w:val="0"/>
                      <w:color w:val="auto"/>
                      <w:sz w:val="21"/>
                      <w:szCs w:val="21"/>
                      <w:highlight w:val="none"/>
                      <w:lang w:val="en-US" w:eastAsia="zh-CN"/>
                    </w:rPr>
                  </w:pPr>
                </w:p>
              </w:tc>
              <w:tc>
                <w:tcPr>
                  <w:tcW w:w="1495" w:type="dxa"/>
                  <w:tcBorders>
                    <w:tl2br w:val="nil"/>
                    <w:tr2bl w:val="nil"/>
                  </w:tcBorders>
                  <w:noWrap w:val="0"/>
                  <w:vAlign w:val="center"/>
                </w:tcPr>
                <w:p w14:paraId="15E21B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snapToGrid w:val="0"/>
                      <w:color w:val="auto"/>
                      <w:kern w:val="0"/>
                      <w:sz w:val="21"/>
                      <w:szCs w:val="21"/>
                      <w:highlight w:val="none"/>
                      <w:lang w:val="en-US" w:eastAsia="zh-CN"/>
                    </w:rPr>
                  </w:pPr>
                  <w:r>
                    <w:rPr>
                      <w:rFonts w:hint="eastAsia" w:cs="Times New Roman"/>
                      <w:b w:val="0"/>
                      <w:bCs w:val="0"/>
                      <w:color w:val="auto"/>
                      <w:sz w:val="21"/>
                      <w:szCs w:val="21"/>
                      <w:highlight w:val="none"/>
                      <w:lang w:val="en-US" w:eastAsia="zh-CN"/>
                    </w:rPr>
                    <w:t>林格曼黑度</w:t>
                  </w:r>
                </w:p>
              </w:tc>
              <w:tc>
                <w:tcPr>
                  <w:tcW w:w="1599" w:type="dxa"/>
                  <w:tcBorders>
                    <w:tl2br w:val="nil"/>
                    <w:tr2bl w:val="nil"/>
                  </w:tcBorders>
                  <w:noWrap w:val="0"/>
                  <w:vAlign w:val="center"/>
                </w:tcPr>
                <w:p w14:paraId="211D010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highlight w:val="none"/>
                      <w:lang w:val="en-US" w:eastAsia="zh-CN"/>
                    </w:rPr>
                  </w:pPr>
                  <w:r>
                    <w:rPr>
                      <w:rFonts w:hint="default" w:ascii="Times New Roman" w:hAnsi="Times New Roman" w:cs="Times New Roman"/>
                      <w:b w:val="0"/>
                      <w:bCs w:val="0"/>
                      <w:color w:val="auto"/>
                      <w:kern w:val="2"/>
                      <w:sz w:val="18"/>
                      <w:szCs w:val="18"/>
                      <w:highlight w:val="none"/>
                      <w:lang w:val="en-US" w:eastAsia="zh-CN" w:bidi="ar-SA"/>
                    </w:rPr>
                    <w:t>＜1</w:t>
                  </w:r>
                </w:p>
              </w:tc>
              <w:tc>
                <w:tcPr>
                  <w:tcW w:w="1556" w:type="dxa"/>
                  <w:tcBorders>
                    <w:tl2br w:val="nil"/>
                    <w:tr2bl w:val="nil"/>
                  </w:tcBorders>
                  <w:noWrap w:val="0"/>
                  <w:vAlign w:val="center"/>
                </w:tcPr>
                <w:p w14:paraId="591AF99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739" w:type="dxa"/>
                  <w:tcBorders>
                    <w:tl2br w:val="nil"/>
                    <w:tr2bl w:val="nil"/>
                  </w:tcBorders>
                  <w:noWrap w:val="0"/>
                  <w:vAlign w:val="center"/>
                </w:tcPr>
                <w:p w14:paraId="158A885E">
                  <w:pPr>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66FFC2A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5" w:type="dxa"/>
                  <w:vMerge w:val="continue"/>
                  <w:tcBorders>
                    <w:tl2br w:val="nil"/>
                    <w:tr2bl w:val="nil"/>
                  </w:tcBorders>
                  <w:noWrap w:val="0"/>
                  <w:vAlign w:val="center"/>
                </w:tcPr>
                <w:p w14:paraId="55F965F8">
                  <w:pPr>
                    <w:jc w:val="center"/>
                    <w:rPr>
                      <w:rFonts w:hint="eastAsia"/>
                      <w:b w:val="0"/>
                      <w:bCs w:val="0"/>
                      <w:color w:val="auto"/>
                      <w:sz w:val="21"/>
                      <w:szCs w:val="21"/>
                      <w:highlight w:val="none"/>
                    </w:rPr>
                  </w:pPr>
                </w:p>
              </w:tc>
              <w:tc>
                <w:tcPr>
                  <w:tcW w:w="1532" w:type="dxa"/>
                  <w:vMerge w:val="continue"/>
                  <w:tcBorders>
                    <w:tl2br w:val="nil"/>
                    <w:tr2bl w:val="nil"/>
                  </w:tcBorders>
                  <w:noWrap w:val="0"/>
                  <w:vAlign w:val="center"/>
                </w:tcPr>
                <w:p w14:paraId="3791F788">
                  <w:pPr>
                    <w:jc w:val="center"/>
                    <w:rPr>
                      <w:rFonts w:hint="eastAsia"/>
                      <w:b w:val="0"/>
                      <w:bCs w:val="0"/>
                      <w:color w:val="auto"/>
                      <w:sz w:val="21"/>
                      <w:szCs w:val="21"/>
                      <w:highlight w:val="none"/>
                      <w:lang w:val="en-US" w:eastAsia="zh-CN"/>
                    </w:rPr>
                  </w:pPr>
                </w:p>
              </w:tc>
              <w:tc>
                <w:tcPr>
                  <w:tcW w:w="1495" w:type="dxa"/>
                  <w:tcBorders>
                    <w:tl2br w:val="nil"/>
                    <w:tr2bl w:val="nil"/>
                  </w:tcBorders>
                  <w:noWrap w:val="0"/>
                  <w:vAlign w:val="center"/>
                </w:tcPr>
                <w:p w14:paraId="44C569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21"/>
                      <w:szCs w:val="21"/>
                      <w:highlight w:val="none"/>
                      <w:lang w:val="en-US" w:eastAsia="zh-CN"/>
                    </w:rPr>
                  </w:pPr>
                  <w:r>
                    <w:rPr>
                      <w:rFonts w:hint="eastAsia" w:ascii="宋体" w:hAnsi="宋体" w:eastAsia="宋体" w:cs="宋体"/>
                      <w:snapToGrid w:val="0"/>
                      <w:color w:val="auto"/>
                      <w:kern w:val="21"/>
                      <w:sz w:val="21"/>
                      <w:szCs w:val="21"/>
                      <w:highlight w:val="none"/>
                      <w:lang w:val="en-US" w:eastAsia="zh-CN" w:bidi="ar-SA"/>
                    </w:rPr>
                    <w:t>汞及其化合物</w:t>
                  </w:r>
                </w:p>
              </w:tc>
              <w:tc>
                <w:tcPr>
                  <w:tcW w:w="1599" w:type="dxa"/>
                  <w:tcBorders>
                    <w:tl2br w:val="nil"/>
                    <w:tr2bl w:val="nil"/>
                  </w:tcBorders>
                  <w:noWrap w:val="0"/>
                  <w:vAlign w:val="center"/>
                </w:tcPr>
                <w:p w14:paraId="4423EDB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556" w:type="dxa"/>
                  <w:tcBorders>
                    <w:tl2br w:val="nil"/>
                    <w:tr2bl w:val="nil"/>
                  </w:tcBorders>
                  <w:noWrap w:val="0"/>
                  <w:vAlign w:val="center"/>
                </w:tcPr>
                <w:p w14:paraId="15D4E4D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739" w:type="dxa"/>
                  <w:tcBorders>
                    <w:tl2br w:val="nil"/>
                    <w:tr2bl w:val="nil"/>
                  </w:tcBorders>
                  <w:noWrap w:val="0"/>
                  <w:vAlign w:val="center"/>
                </w:tcPr>
                <w:p w14:paraId="354EE4C4">
                  <w:pPr>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7F65209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57" w:type="dxa"/>
                  <w:gridSpan w:val="2"/>
                  <w:vMerge w:val="restart"/>
                  <w:tcBorders>
                    <w:tl2br w:val="nil"/>
                    <w:tr2bl w:val="nil"/>
                  </w:tcBorders>
                  <w:noWrap w:val="0"/>
                  <w:vAlign w:val="center"/>
                </w:tcPr>
                <w:p w14:paraId="361CD7A4">
                  <w:pPr>
                    <w:tabs>
                      <w:tab w:val="right" w:leader="dot" w:pos="8495"/>
                    </w:tabs>
                    <w:ind w:left="0" w:leftChars="0"/>
                    <w:jc w:val="center"/>
                    <w:rPr>
                      <w:b w:val="0"/>
                      <w:bCs w:val="0"/>
                      <w:snapToGrid w:val="0"/>
                      <w:color w:val="auto"/>
                      <w:kern w:val="0"/>
                      <w:sz w:val="21"/>
                      <w:szCs w:val="21"/>
                      <w:highlight w:val="none"/>
                    </w:rPr>
                  </w:pPr>
                  <w:r>
                    <w:rPr>
                      <w:rFonts w:hint="eastAsia"/>
                      <w:b w:val="0"/>
                      <w:bCs w:val="0"/>
                      <w:snapToGrid w:val="0"/>
                      <w:color w:val="auto"/>
                      <w:kern w:val="0"/>
                      <w:sz w:val="21"/>
                      <w:szCs w:val="21"/>
                      <w:highlight w:val="none"/>
                    </w:rPr>
                    <w:t>一般</w:t>
                  </w:r>
                  <w:r>
                    <w:rPr>
                      <w:b w:val="0"/>
                      <w:bCs w:val="0"/>
                      <w:snapToGrid w:val="0"/>
                      <w:color w:val="auto"/>
                      <w:kern w:val="0"/>
                      <w:sz w:val="21"/>
                      <w:szCs w:val="21"/>
                      <w:highlight w:val="none"/>
                    </w:rPr>
                    <w:t>排放口合计</w:t>
                  </w:r>
                </w:p>
              </w:tc>
              <w:tc>
                <w:tcPr>
                  <w:tcW w:w="4650" w:type="dxa"/>
                  <w:gridSpan w:val="3"/>
                  <w:tcBorders>
                    <w:tl2br w:val="nil"/>
                    <w:tr2bl w:val="nil"/>
                  </w:tcBorders>
                  <w:noWrap w:val="0"/>
                  <w:vAlign w:val="center"/>
                </w:tcPr>
                <w:p w14:paraId="62BAEE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val="0"/>
                      <w:bCs w:val="0"/>
                      <w:snapToGrid w:val="0"/>
                      <w:color w:val="auto"/>
                      <w:kern w:val="0"/>
                      <w:sz w:val="21"/>
                      <w:szCs w:val="21"/>
                      <w:highlight w:val="none"/>
                    </w:rPr>
                  </w:pPr>
                  <w:r>
                    <w:rPr>
                      <w:rFonts w:hint="eastAsia" w:cs="Times New Roman"/>
                      <w:b w:val="0"/>
                      <w:bCs w:val="0"/>
                      <w:color w:val="auto"/>
                      <w:sz w:val="21"/>
                      <w:szCs w:val="21"/>
                      <w:highlight w:val="none"/>
                      <w:lang w:val="en-US" w:eastAsia="zh-CN"/>
                    </w:rPr>
                    <w:t>颗粒物</w:t>
                  </w:r>
                </w:p>
              </w:tc>
              <w:tc>
                <w:tcPr>
                  <w:tcW w:w="1739" w:type="dxa"/>
                  <w:tcBorders>
                    <w:tl2br w:val="nil"/>
                    <w:tr2bl w:val="nil"/>
                  </w:tcBorders>
                  <w:noWrap w:val="0"/>
                  <w:vAlign w:val="center"/>
                </w:tcPr>
                <w:p w14:paraId="056DAFCC">
                  <w:pPr>
                    <w:jc w:val="center"/>
                    <w:rPr>
                      <w:rFonts w:hint="default" w:eastAsia="宋体"/>
                      <w:b w:val="0"/>
                      <w:bCs w:val="0"/>
                      <w:snapToGrid w:val="0"/>
                      <w:color w:val="auto"/>
                      <w:kern w:val="0"/>
                      <w:sz w:val="21"/>
                      <w:szCs w:val="21"/>
                      <w:highlight w:val="none"/>
                      <w:lang w:val="en-US" w:eastAsia="zh-CN"/>
                    </w:rPr>
                  </w:pPr>
                  <w:r>
                    <w:rPr>
                      <w:rFonts w:hint="eastAsia" w:eastAsia="宋体" w:cs="Times New Roman"/>
                      <w:b w:val="0"/>
                      <w:bCs w:val="0"/>
                      <w:snapToGrid w:val="0"/>
                      <w:color w:val="auto"/>
                      <w:kern w:val="0"/>
                      <w:sz w:val="21"/>
                      <w:szCs w:val="21"/>
                      <w:highlight w:val="none"/>
                      <w:lang w:val="en-US" w:eastAsia="zh-CN" w:bidi="ar-SA"/>
                    </w:rPr>
                    <w:t>0.60</w:t>
                  </w:r>
                </w:p>
              </w:tc>
            </w:tr>
            <w:tr w14:paraId="28EA921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57" w:type="dxa"/>
                  <w:gridSpan w:val="2"/>
                  <w:vMerge w:val="continue"/>
                  <w:tcBorders>
                    <w:tl2br w:val="nil"/>
                    <w:tr2bl w:val="nil"/>
                  </w:tcBorders>
                  <w:noWrap w:val="0"/>
                  <w:vAlign w:val="center"/>
                </w:tcPr>
                <w:p w14:paraId="292964B5">
                  <w:pPr>
                    <w:tabs>
                      <w:tab w:val="right" w:leader="dot" w:pos="8495"/>
                    </w:tabs>
                    <w:ind w:left="0" w:leftChars="0"/>
                    <w:jc w:val="center"/>
                    <w:rPr>
                      <w:rFonts w:hint="eastAsia"/>
                      <w:b w:val="0"/>
                      <w:bCs w:val="0"/>
                      <w:snapToGrid w:val="0"/>
                      <w:color w:val="auto"/>
                      <w:kern w:val="0"/>
                      <w:sz w:val="21"/>
                      <w:szCs w:val="21"/>
                      <w:highlight w:val="none"/>
                    </w:rPr>
                  </w:pPr>
                </w:p>
              </w:tc>
              <w:tc>
                <w:tcPr>
                  <w:tcW w:w="4650" w:type="dxa"/>
                  <w:gridSpan w:val="3"/>
                  <w:tcBorders>
                    <w:tl2br w:val="nil"/>
                    <w:tr2bl w:val="nil"/>
                  </w:tcBorders>
                  <w:noWrap w:val="0"/>
                  <w:vAlign w:val="center"/>
                </w:tcPr>
                <w:p w14:paraId="30E8E0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b w:val="0"/>
                      <w:bCs w:val="0"/>
                      <w:snapToGrid w:val="0"/>
                      <w:color w:val="auto"/>
                      <w:kern w:val="0"/>
                      <w:sz w:val="21"/>
                      <w:szCs w:val="21"/>
                      <w:highlight w:val="none"/>
                      <w:lang w:val="en-US" w:eastAsia="zh-CN"/>
                    </w:rPr>
                  </w:pPr>
                  <w:r>
                    <w:rPr>
                      <w:rFonts w:hint="eastAsia" w:cs="Times New Roman"/>
                      <w:b w:val="0"/>
                      <w:bCs w:val="0"/>
                      <w:color w:val="auto"/>
                      <w:sz w:val="21"/>
                      <w:szCs w:val="21"/>
                      <w:highlight w:val="none"/>
                      <w:lang w:val="en-US" w:eastAsia="zh-CN"/>
                    </w:rPr>
                    <w:t>二氧化硫</w:t>
                  </w:r>
                </w:p>
              </w:tc>
              <w:tc>
                <w:tcPr>
                  <w:tcW w:w="1739" w:type="dxa"/>
                  <w:tcBorders>
                    <w:tl2br w:val="nil"/>
                    <w:tr2bl w:val="nil"/>
                  </w:tcBorders>
                  <w:noWrap w:val="0"/>
                  <w:vAlign w:val="center"/>
                </w:tcPr>
                <w:p w14:paraId="157922AE">
                  <w:pPr>
                    <w:jc w:val="center"/>
                    <w:rPr>
                      <w:rFonts w:hint="eastAsia" w:ascii="Times New Roman" w:hAnsi="Times New Roman" w:eastAsia="宋体" w:cs="Times New Roman"/>
                      <w:b w:val="0"/>
                      <w:bCs w:val="0"/>
                      <w:snapToGrid w:val="0"/>
                      <w:color w:val="auto"/>
                      <w:kern w:val="0"/>
                      <w:sz w:val="21"/>
                      <w:szCs w:val="21"/>
                      <w:highlight w:val="none"/>
                      <w:lang w:val="en-US" w:eastAsia="zh-CN" w:bidi="ar-SA"/>
                    </w:rPr>
                  </w:pPr>
                  <w:r>
                    <w:rPr>
                      <w:rFonts w:hint="eastAsia" w:eastAsia="宋体" w:cs="Times New Roman"/>
                      <w:b w:val="0"/>
                      <w:bCs w:val="0"/>
                      <w:snapToGrid w:val="0"/>
                      <w:color w:val="auto"/>
                      <w:kern w:val="0"/>
                      <w:sz w:val="21"/>
                      <w:szCs w:val="21"/>
                      <w:highlight w:val="none"/>
                      <w:lang w:val="en-US" w:eastAsia="zh-CN" w:bidi="ar-SA"/>
                    </w:rPr>
                    <w:t>3.83</w:t>
                  </w:r>
                </w:p>
              </w:tc>
            </w:tr>
            <w:tr w14:paraId="7D20F08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57" w:type="dxa"/>
                  <w:gridSpan w:val="2"/>
                  <w:vMerge w:val="continue"/>
                  <w:tcBorders>
                    <w:tl2br w:val="nil"/>
                    <w:tr2bl w:val="nil"/>
                  </w:tcBorders>
                  <w:noWrap w:val="0"/>
                  <w:vAlign w:val="center"/>
                </w:tcPr>
                <w:p w14:paraId="2D8125CA">
                  <w:pPr>
                    <w:tabs>
                      <w:tab w:val="right" w:leader="dot" w:pos="8495"/>
                    </w:tabs>
                    <w:ind w:left="0" w:leftChars="0"/>
                    <w:jc w:val="center"/>
                    <w:rPr>
                      <w:rFonts w:hint="eastAsia"/>
                      <w:b w:val="0"/>
                      <w:bCs w:val="0"/>
                      <w:snapToGrid w:val="0"/>
                      <w:color w:val="auto"/>
                      <w:kern w:val="0"/>
                      <w:sz w:val="21"/>
                      <w:szCs w:val="21"/>
                      <w:highlight w:val="none"/>
                    </w:rPr>
                  </w:pPr>
                </w:p>
              </w:tc>
              <w:tc>
                <w:tcPr>
                  <w:tcW w:w="4650" w:type="dxa"/>
                  <w:gridSpan w:val="3"/>
                  <w:tcBorders>
                    <w:tl2br w:val="nil"/>
                    <w:tr2bl w:val="nil"/>
                  </w:tcBorders>
                  <w:noWrap w:val="0"/>
                  <w:vAlign w:val="center"/>
                </w:tcPr>
                <w:p w14:paraId="30032E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b w:val="0"/>
                      <w:bCs w:val="0"/>
                      <w:snapToGrid w:val="0"/>
                      <w:color w:val="auto"/>
                      <w:kern w:val="0"/>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氮氧化物</w:t>
                  </w:r>
                </w:p>
              </w:tc>
              <w:tc>
                <w:tcPr>
                  <w:tcW w:w="1739" w:type="dxa"/>
                  <w:tcBorders>
                    <w:tl2br w:val="nil"/>
                    <w:tr2bl w:val="nil"/>
                  </w:tcBorders>
                  <w:noWrap w:val="0"/>
                  <w:vAlign w:val="center"/>
                </w:tcPr>
                <w:p w14:paraId="516E907A">
                  <w:pPr>
                    <w:jc w:val="center"/>
                    <w:rPr>
                      <w:rFonts w:hint="eastAsia" w:ascii="Times New Roman" w:hAnsi="Times New Roman" w:eastAsia="宋体" w:cs="Times New Roman"/>
                      <w:b w:val="0"/>
                      <w:bCs w:val="0"/>
                      <w:snapToGrid w:val="0"/>
                      <w:color w:val="auto"/>
                      <w:kern w:val="0"/>
                      <w:sz w:val="21"/>
                      <w:szCs w:val="21"/>
                      <w:highlight w:val="none"/>
                      <w:lang w:val="en-US" w:eastAsia="zh-CN" w:bidi="ar-SA"/>
                    </w:rPr>
                  </w:pPr>
                  <w:r>
                    <w:rPr>
                      <w:rFonts w:hint="eastAsia" w:cs="Times New Roman"/>
                      <w:b w:val="0"/>
                      <w:bCs w:val="0"/>
                      <w:color w:val="auto"/>
                      <w:sz w:val="21"/>
                      <w:szCs w:val="21"/>
                      <w:highlight w:val="none"/>
                      <w:lang w:val="en-US" w:eastAsia="zh-CN"/>
                    </w:rPr>
                    <w:t>6.34</w:t>
                  </w:r>
                </w:p>
              </w:tc>
            </w:tr>
            <w:tr w14:paraId="72E02A5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57" w:type="dxa"/>
                  <w:gridSpan w:val="2"/>
                  <w:vMerge w:val="continue"/>
                  <w:tcBorders>
                    <w:tl2br w:val="nil"/>
                    <w:tr2bl w:val="nil"/>
                  </w:tcBorders>
                  <w:noWrap w:val="0"/>
                  <w:vAlign w:val="center"/>
                </w:tcPr>
                <w:p w14:paraId="05202966">
                  <w:pPr>
                    <w:tabs>
                      <w:tab w:val="right" w:leader="dot" w:pos="8495"/>
                    </w:tabs>
                    <w:ind w:left="0" w:leftChars="0"/>
                    <w:jc w:val="center"/>
                    <w:rPr>
                      <w:rFonts w:hint="eastAsia"/>
                      <w:b w:val="0"/>
                      <w:bCs w:val="0"/>
                      <w:snapToGrid w:val="0"/>
                      <w:color w:val="auto"/>
                      <w:kern w:val="0"/>
                      <w:sz w:val="21"/>
                      <w:szCs w:val="21"/>
                      <w:highlight w:val="none"/>
                    </w:rPr>
                  </w:pPr>
                </w:p>
              </w:tc>
              <w:tc>
                <w:tcPr>
                  <w:tcW w:w="4650" w:type="dxa"/>
                  <w:gridSpan w:val="3"/>
                  <w:tcBorders>
                    <w:tl2br w:val="nil"/>
                    <w:tr2bl w:val="nil"/>
                  </w:tcBorders>
                  <w:noWrap w:val="0"/>
                  <w:vAlign w:val="center"/>
                </w:tcPr>
                <w:p w14:paraId="391DD4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林格曼黑度</w:t>
                  </w:r>
                </w:p>
              </w:tc>
              <w:tc>
                <w:tcPr>
                  <w:tcW w:w="1739" w:type="dxa"/>
                  <w:tcBorders>
                    <w:tl2br w:val="nil"/>
                    <w:tr2bl w:val="nil"/>
                  </w:tcBorders>
                  <w:noWrap w:val="0"/>
                  <w:vAlign w:val="center"/>
                </w:tcPr>
                <w:p w14:paraId="4D00C6AF">
                  <w:pPr>
                    <w:jc w:val="center"/>
                    <w:rPr>
                      <w:rFonts w:hint="default" w:cs="Times New Roman"/>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0B07A97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57" w:type="dxa"/>
                  <w:gridSpan w:val="2"/>
                  <w:vMerge w:val="continue"/>
                  <w:tcBorders>
                    <w:tl2br w:val="nil"/>
                    <w:tr2bl w:val="nil"/>
                  </w:tcBorders>
                  <w:noWrap w:val="0"/>
                  <w:vAlign w:val="center"/>
                </w:tcPr>
                <w:p w14:paraId="45AEEBCC">
                  <w:pPr>
                    <w:tabs>
                      <w:tab w:val="right" w:leader="dot" w:pos="8495"/>
                    </w:tabs>
                    <w:ind w:left="0" w:leftChars="0"/>
                    <w:jc w:val="center"/>
                    <w:rPr>
                      <w:rFonts w:hint="eastAsia"/>
                      <w:b w:val="0"/>
                      <w:bCs w:val="0"/>
                      <w:snapToGrid w:val="0"/>
                      <w:color w:val="auto"/>
                      <w:kern w:val="0"/>
                      <w:sz w:val="21"/>
                      <w:szCs w:val="21"/>
                      <w:highlight w:val="none"/>
                    </w:rPr>
                  </w:pPr>
                </w:p>
              </w:tc>
              <w:tc>
                <w:tcPr>
                  <w:tcW w:w="4650" w:type="dxa"/>
                  <w:gridSpan w:val="3"/>
                  <w:tcBorders>
                    <w:tl2br w:val="nil"/>
                    <w:tr2bl w:val="nil"/>
                  </w:tcBorders>
                  <w:noWrap w:val="0"/>
                  <w:vAlign w:val="center"/>
                </w:tcPr>
                <w:p w14:paraId="150F43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21"/>
                      <w:szCs w:val="21"/>
                      <w:highlight w:val="none"/>
                      <w:lang w:val="en-US" w:eastAsia="zh-CN"/>
                    </w:rPr>
                  </w:pPr>
                  <w:r>
                    <w:rPr>
                      <w:rFonts w:hint="eastAsia" w:ascii="宋体" w:hAnsi="宋体" w:eastAsia="宋体" w:cs="宋体"/>
                      <w:snapToGrid w:val="0"/>
                      <w:color w:val="auto"/>
                      <w:kern w:val="21"/>
                      <w:sz w:val="21"/>
                      <w:szCs w:val="21"/>
                      <w:highlight w:val="none"/>
                      <w:lang w:val="en-US" w:eastAsia="zh-CN" w:bidi="ar-SA"/>
                    </w:rPr>
                    <w:t>汞及其化合物</w:t>
                  </w:r>
                </w:p>
              </w:tc>
              <w:tc>
                <w:tcPr>
                  <w:tcW w:w="1739" w:type="dxa"/>
                  <w:tcBorders>
                    <w:tl2br w:val="nil"/>
                    <w:tr2bl w:val="nil"/>
                  </w:tcBorders>
                  <w:noWrap w:val="0"/>
                  <w:vAlign w:val="center"/>
                </w:tcPr>
                <w:p w14:paraId="57893217">
                  <w:pPr>
                    <w:jc w:val="center"/>
                    <w:rPr>
                      <w:rFonts w:hint="default" w:cs="Times New Roman"/>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bl>
          <w:p w14:paraId="4574106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表4-</w:t>
            </w:r>
            <w:r>
              <w:rPr>
                <w:rFonts w:hint="eastAsia" w:cs="Times New Roman"/>
                <w:b/>
                <w:bCs/>
                <w:color w:val="auto"/>
                <w:sz w:val="21"/>
                <w:szCs w:val="21"/>
                <w:highlight w:val="none"/>
                <w:lang w:val="en-US" w:eastAsia="zh-CN"/>
              </w:rPr>
              <w:t>5</w:t>
            </w:r>
            <w:r>
              <w:rPr>
                <w:rFonts w:hint="default" w:ascii="Times New Roman" w:hAnsi="Times New Roman" w:eastAsia="宋体" w:cs="Times New Roman"/>
                <w:b/>
                <w:bCs/>
                <w:color w:val="auto"/>
                <w:sz w:val="21"/>
                <w:szCs w:val="21"/>
                <w:highlight w:val="none"/>
                <w:lang w:val="en-US" w:eastAsia="zh-CN"/>
              </w:rPr>
              <w:t xml:space="preserve">  大气污染物无组织排放量核算表</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855"/>
              <w:gridCol w:w="1401"/>
              <w:gridCol w:w="2866"/>
              <w:gridCol w:w="2065"/>
            </w:tblGrid>
            <w:tr w14:paraId="3131C5C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703" w:type="dxa"/>
                  <w:tcBorders>
                    <w:tl2br w:val="nil"/>
                    <w:tr2bl w:val="nil"/>
                  </w:tcBorders>
                  <w:noWrap w:val="0"/>
                  <w:vAlign w:val="center"/>
                </w:tcPr>
                <w:p w14:paraId="26739969">
                  <w:pPr>
                    <w:tabs>
                      <w:tab w:val="right" w:leader="dot" w:pos="8495"/>
                    </w:tabs>
                    <w:ind w:left="0" w:leftChars="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snapToGrid w:val="0"/>
                      <w:color w:val="auto"/>
                      <w:kern w:val="0"/>
                      <w:sz w:val="21"/>
                      <w:szCs w:val="21"/>
                      <w:highlight w:val="none"/>
                    </w:rPr>
                    <w:t>序号</w:t>
                  </w:r>
                </w:p>
              </w:tc>
              <w:tc>
                <w:tcPr>
                  <w:tcW w:w="1855" w:type="dxa"/>
                  <w:tcBorders>
                    <w:tl2br w:val="nil"/>
                    <w:tr2bl w:val="nil"/>
                  </w:tcBorders>
                  <w:noWrap w:val="0"/>
                  <w:vAlign w:val="center"/>
                </w:tcPr>
                <w:p w14:paraId="5A46F460">
                  <w:pPr>
                    <w:tabs>
                      <w:tab w:val="right" w:leader="dot" w:pos="8495"/>
                    </w:tabs>
                    <w:ind w:left="0" w:leftChars="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snapToGrid w:val="0"/>
                      <w:color w:val="auto"/>
                      <w:kern w:val="0"/>
                      <w:sz w:val="21"/>
                      <w:szCs w:val="21"/>
                      <w:highlight w:val="none"/>
                    </w:rPr>
                    <w:t>产污环节</w:t>
                  </w:r>
                </w:p>
              </w:tc>
              <w:tc>
                <w:tcPr>
                  <w:tcW w:w="1401" w:type="dxa"/>
                  <w:tcBorders>
                    <w:tl2br w:val="nil"/>
                    <w:tr2bl w:val="nil"/>
                  </w:tcBorders>
                  <w:noWrap w:val="0"/>
                  <w:vAlign w:val="center"/>
                </w:tcPr>
                <w:p w14:paraId="2A585E3D">
                  <w:pPr>
                    <w:tabs>
                      <w:tab w:val="right" w:leader="dot" w:pos="8495"/>
                    </w:tabs>
                    <w:ind w:left="0" w:leftChars="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snapToGrid w:val="0"/>
                      <w:color w:val="auto"/>
                      <w:kern w:val="0"/>
                      <w:sz w:val="21"/>
                      <w:szCs w:val="21"/>
                      <w:highlight w:val="none"/>
                    </w:rPr>
                    <w:t>污染物</w:t>
                  </w:r>
                </w:p>
              </w:tc>
              <w:tc>
                <w:tcPr>
                  <w:tcW w:w="2866" w:type="dxa"/>
                  <w:tcBorders>
                    <w:tl2br w:val="nil"/>
                    <w:tr2bl w:val="nil"/>
                  </w:tcBorders>
                  <w:noWrap w:val="0"/>
                  <w:vAlign w:val="center"/>
                </w:tcPr>
                <w:p w14:paraId="50679190">
                  <w:pPr>
                    <w:tabs>
                      <w:tab w:val="right" w:leader="dot" w:pos="8495"/>
                    </w:tabs>
                    <w:ind w:left="0" w:leftChars="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snapToGrid w:val="0"/>
                      <w:color w:val="auto"/>
                      <w:kern w:val="0"/>
                      <w:sz w:val="21"/>
                      <w:szCs w:val="21"/>
                      <w:highlight w:val="none"/>
                    </w:rPr>
                    <w:t>主要污染防治措施</w:t>
                  </w:r>
                </w:p>
              </w:tc>
              <w:tc>
                <w:tcPr>
                  <w:tcW w:w="2065" w:type="dxa"/>
                  <w:tcBorders>
                    <w:tl2br w:val="nil"/>
                    <w:tr2bl w:val="nil"/>
                  </w:tcBorders>
                  <w:noWrap w:val="0"/>
                  <w:vAlign w:val="center"/>
                </w:tcPr>
                <w:p w14:paraId="74F3142E">
                  <w:pPr>
                    <w:tabs>
                      <w:tab w:val="right" w:leader="dot" w:pos="8495"/>
                    </w:tabs>
                    <w:ind w:left="0" w:leftChars="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snapToGrid w:val="0"/>
                      <w:color w:val="auto"/>
                      <w:kern w:val="0"/>
                      <w:sz w:val="21"/>
                      <w:szCs w:val="21"/>
                      <w:highlight w:val="none"/>
                    </w:rPr>
                    <w:t>年排放量（</w:t>
                  </w:r>
                  <w:r>
                    <w:rPr>
                      <w:rFonts w:hint="eastAsia" w:cs="Times New Roman"/>
                      <w:b/>
                      <w:bCs/>
                      <w:snapToGrid w:val="0"/>
                      <w:color w:val="auto"/>
                      <w:kern w:val="0"/>
                      <w:sz w:val="21"/>
                      <w:szCs w:val="21"/>
                      <w:highlight w:val="none"/>
                      <w:lang w:val="en-US" w:eastAsia="zh-CN"/>
                    </w:rPr>
                    <w:t>t</w:t>
                  </w:r>
                  <w:r>
                    <w:rPr>
                      <w:rFonts w:hint="default" w:ascii="Times New Roman" w:hAnsi="Times New Roman" w:cs="Times New Roman"/>
                      <w:b/>
                      <w:bCs/>
                      <w:snapToGrid w:val="0"/>
                      <w:color w:val="auto"/>
                      <w:kern w:val="0"/>
                      <w:sz w:val="21"/>
                      <w:szCs w:val="21"/>
                      <w:highlight w:val="none"/>
                    </w:rPr>
                    <w:t>/a）</w:t>
                  </w:r>
                </w:p>
              </w:tc>
            </w:tr>
            <w:tr w14:paraId="7B30863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3" w:type="dxa"/>
                  <w:tcBorders>
                    <w:tl2br w:val="nil"/>
                    <w:tr2bl w:val="nil"/>
                  </w:tcBorders>
                  <w:noWrap w:val="0"/>
                  <w:vAlign w:val="center"/>
                </w:tcPr>
                <w:p w14:paraId="5ED8325C">
                  <w:pPr>
                    <w:tabs>
                      <w:tab w:val="right" w:leader="dot" w:pos="8495"/>
                    </w:tabs>
                    <w:ind w:left="0" w:leftChars="0"/>
                    <w:jc w:val="center"/>
                    <w:rPr>
                      <w:rFonts w:hint="eastAsia" w:cs="Times New Roman"/>
                      <w:snapToGrid w:val="0"/>
                      <w:color w:val="auto"/>
                      <w:kern w:val="0"/>
                      <w:sz w:val="21"/>
                      <w:szCs w:val="21"/>
                      <w:highlight w:val="none"/>
                      <w:lang w:val="en-US" w:eastAsia="zh-CN"/>
                    </w:rPr>
                  </w:pPr>
                  <w:r>
                    <w:rPr>
                      <w:rFonts w:hint="eastAsia" w:cs="Times New Roman"/>
                      <w:snapToGrid w:val="0"/>
                      <w:color w:val="auto"/>
                      <w:kern w:val="0"/>
                      <w:sz w:val="21"/>
                      <w:szCs w:val="21"/>
                      <w:highlight w:val="none"/>
                      <w:lang w:val="en-US" w:eastAsia="zh-CN"/>
                    </w:rPr>
                    <w:t>1</w:t>
                  </w:r>
                </w:p>
              </w:tc>
              <w:tc>
                <w:tcPr>
                  <w:tcW w:w="1855" w:type="dxa"/>
                  <w:tcBorders>
                    <w:tl2br w:val="nil"/>
                    <w:tr2bl w:val="nil"/>
                  </w:tcBorders>
                  <w:noWrap w:val="0"/>
                  <w:vAlign w:val="center"/>
                </w:tcPr>
                <w:p w14:paraId="0C167C53">
                  <w:pPr>
                    <w:spacing w:line="240" w:lineRule="auto"/>
                    <w:ind w:firstLine="0" w:firstLineChars="0"/>
                    <w:jc w:val="center"/>
                    <w:rPr>
                      <w:rFonts w:hint="default" w:cs="Times New Roman"/>
                      <w:b w:val="0"/>
                      <w:color w:val="auto"/>
                      <w:sz w:val="21"/>
                      <w:szCs w:val="21"/>
                      <w:highlight w:val="none"/>
                      <w:lang w:val="en-US" w:eastAsia="zh-CN"/>
                    </w:rPr>
                  </w:pPr>
                  <w:r>
                    <w:rPr>
                      <w:rFonts w:hint="eastAsia" w:cs="Times New Roman"/>
                      <w:b w:val="0"/>
                      <w:color w:val="auto"/>
                      <w:sz w:val="21"/>
                      <w:szCs w:val="21"/>
                      <w:highlight w:val="none"/>
                      <w:lang w:val="en-US" w:eastAsia="zh-CN"/>
                    </w:rPr>
                    <w:t>灰渣贮存间</w:t>
                  </w:r>
                </w:p>
              </w:tc>
              <w:tc>
                <w:tcPr>
                  <w:tcW w:w="1401" w:type="dxa"/>
                  <w:tcBorders>
                    <w:tl2br w:val="nil"/>
                    <w:tr2bl w:val="nil"/>
                  </w:tcBorders>
                  <w:noWrap w:val="0"/>
                  <w:vAlign w:val="center"/>
                </w:tcPr>
                <w:p w14:paraId="3F58C3E9">
                  <w:pPr>
                    <w:spacing w:line="240" w:lineRule="auto"/>
                    <w:ind w:firstLine="0" w:firstLineChars="0"/>
                    <w:jc w:val="center"/>
                    <w:rPr>
                      <w:rFonts w:hint="eastAsia" w:eastAsia="宋体"/>
                      <w:b w:val="0"/>
                      <w:bCs w:val="0"/>
                      <w:snapToGrid w:val="0"/>
                      <w:color w:val="auto"/>
                      <w:kern w:val="0"/>
                      <w:sz w:val="21"/>
                      <w:szCs w:val="21"/>
                      <w:highlight w:val="none"/>
                      <w:lang w:val="en-US" w:eastAsia="zh-CN"/>
                    </w:rPr>
                  </w:pPr>
                  <w:r>
                    <w:rPr>
                      <w:rFonts w:hint="eastAsia" w:eastAsia="宋体"/>
                      <w:b w:val="0"/>
                      <w:bCs w:val="0"/>
                      <w:snapToGrid w:val="0"/>
                      <w:color w:val="auto"/>
                      <w:kern w:val="0"/>
                      <w:sz w:val="21"/>
                      <w:szCs w:val="21"/>
                      <w:highlight w:val="none"/>
                      <w:lang w:val="en-US" w:eastAsia="zh-CN"/>
                    </w:rPr>
                    <w:t>颗粒物</w:t>
                  </w:r>
                </w:p>
              </w:tc>
              <w:tc>
                <w:tcPr>
                  <w:tcW w:w="2866" w:type="dxa"/>
                  <w:tcBorders>
                    <w:tl2br w:val="nil"/>
                    <w:tr2bl w:val="nil"/>
                  </w:tcBorders>
                  <w:noWrap w:val="0"/>
                  <w:vAlign w:val="center"/>
                </w:tcPr>
                <w:p w14:paraId="09CF1D48">
                  <w:pPr>
                    <w:spacing w:line="240" w:lineRule="auto"/>
                    <w:ind w:firstLine="0" w:firstLineChars="0"/>
                    <w:jc w:val="center"/>
                    <w:rPr>
                      <w:rFonts w:hint="default" w:cs="Times New Roman"/>
                      <w:b w:val="0"/>
                      <w:bCs w:val="0"/>
                      <w:color w:val="auto"/>
                      <w:sz w:val="21"/>
                      <w:szCs w:val="21"/>
                      <w:highlight w:val="none"/>
                      <w:lang w:val="en-US" w:eastAsia="zh-CN"/>
                    </w:rPr>
                  </w:pPr>
                  <w:r>
                    <w:rPr>
                      <w:rFonts w:hint="eastAsia" w:cs="Times New Roman"/>
                      <w:b w:val="0"/>
                      <w:bCs w:val="0"/>
                      <w:color w:val="auto"/>
                      <w:sz w:val="18"/>
                      <w:szCs w:val="18"/>
                      <w:highlight w:val="none"/>
                      <w:lang w:val="en-US" w:eastAsia="zh-CN"/>
                    </w:rPr>
                    <w:t>灰渣暂存间密闭、洒水降尘</w:t>
                  </w:r>
                </w:p>
              </w:tc>
              <w:tc>
                <w:tcPr>
                  <w:tcW w:w="2065" w:type="dxa"/>
                  <w:tcBorders>
                    <w:tl2br w:val="nil"/>
                    <w:tr2bl w:val="nil"/>
                  </w:tcBorders>
                  <w:noWrap w:val="0"/>
                  <w:vAlign w:val="center"/>
                </w:tcPr>
                <w:p w14:paraId="14240443">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w:t>
                  </w:r>
                  <w:r>
                    <w:rPr>
                      <w:rFonts w:hint="eastAsia" w:cs="Times New Roman"/>
                      <w:b w:val="0"/>
                      <w:bCs w:val="0"/>
                      <w:color w:val="auto"/>
                      <w:sz w:val="21"/>
                      <w:szCs w:val="21"/>
                      <w:highlight w:val="none"/>
                      <w:lang w:val="en-US" w:eastAsia="zh-CN"/>
                    </w:rPr>
                    <w:t>05</w:t>
                  </w:r>
                </w:p>
              </w:tc>
            </w:tr>
          </w:tbl>
          <w:p w14:paraId="791415C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表4-</w:t>
            </w:r>
            <w:r>
              <w:rPr>
                <w:rFonts w:hint="eastAsia" w:cs="Times New Roman"/>
                <w:b/>
                <w:bCs/>
                <w:color w:val="auto"/>
                <w:sz w:val="21"/>
                <w:szCs w:val="21"/>
                <w:highlight w:val="none"/>
                <w:lang w:val="en-US" w:eastAsia="zh-CN"/>
              </w:rPr>
              <w:t>6</w:t>
            </w:r>
            <w:r>
              <w:rPr>
                <w:rFonts w:hint="default" w:ascii="Times New Roman" w:hAnsi="Times New Roman" w:eastAsia="宋体" w:cs="Times New Roman"/>
                <w:b/>
                <w:bCs/>
                <w:color w:val="auto"/>
                <w:sz w:val="21"/>
                <w:szCs w:val="21"/>
                <w:highlight w:val="none"/>
                <w:lang w:val="en-US" w:eastAsia="zh-CN"/>
              </w:rPr>
              <w:t xml:space="preserve">  大气污染物年排放量核算表</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806"/>
              <w:gridCol w:w="3041"/>
              <w:gridCol w:w="3043"/>
            </w:tblGrid>
            <w:tr w14:paraId="6835F10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29" w:type="dxa"/>
                  <w:tcBorders>
                    <w:tl2br w:val="nil"/>
                    <w:tr2bl w:val="nil"/>
                  </w:tcBorders>
                  <w:noWrap w:val="0"/>
                  <w:vAlign w:val="center"/>
                </w:tcPr>
                <w:p w14:paraId="64BB72CD">
                  <w:pPr>
                    <w:jc w:val="center"/>
                    <w:rPr>
                      <w:rFonts w:hint="default" w:ascii="Times New Roman" w:hAnsi="Times New Roman" w:cs="Times New Roman"/>
                      <w:b/>
                      <w:bCs w:val="0"/>
                      <w:snapToGrid w:val="0"/>
                      <w:color w:val="auto"/>
                      <w:kern w:val="0"/>
                      <w:szCs w:val="21"/>
                      <w:highlight w:val="none"/>
                    </w:rPr>
                  </w:pPr>
                  <w:r>
                    <w:rPr>
                      <w:rFonts w:hint="default" w:ascii="Times New Roman" w:hAnsi="Times New Roman" w:cs="Times New Roman"/>
                      <w:b/>
                      <w:bCs w:val="0"/>
                      <w:snapToGrid w:val="0"/>
                      <w:color w:val="auto"/>
                      <w:kern w:val="0"/>
                      <w:szCs w:val="21"/>
                      <w:highlight w:val="none"/>
                    </w:rPr>
                    <w:t>序号</w:t>
                  </w:r>
                </w:p>
              </w:tc>
              <w:tc>
                <w:tcPr>
                  <w:tcW w:w="2957" w:type="dxa"/>
                  <w:tcBorders>
                    <w:tl2br w:val="nil"/>
                    <w:tr2bl w:val="nil"/>
                  </w:tcBorders>
                  <w:noWrap w:val="0"/>
                  <w:vAlign w:val="center"/>
                </w:tcPr>
                <w:p w14:paraId="63F069D6">
                  <w:pPr>
                    <w:jc w:val="center"/>
                    <w:rPr>
                      <w:rFonts w:hint="default" w:ascii="Times New Roman" w:hAnsi="Times New Roman" w:cs="Times New Roman"/>
                      <w:b/>
                      <w:bCs w:val="0"/>
                      <w:snapToGrid w:val="0"/>
                      <w:color w:val="auto"/>
                      <w:kern w:val="0"/>
                      <w:szCs w:val="21"/>
                      <w:highlight w:val="none"/>
                    </w:rPr>
                  </w:pPr>
                  <w:r>
                    <w:rPr>
                      <w:rFonts w:hint="default" w:ascii="Times New Roman" w:hAnsi="Times New Roman" w:cs="Times New Roman"/>
                      <w:b/>
                      <w:bCs w:val="0"/>
                      <w:snapToGrid w:val="0"/>
                      <w:color w:val="auto"/>
                      <w:kern w:val="0"/>
                      <w:szCs w:val="21"/>
                      <w:highlight w:val="none"/>
                    </w:rPr>
                    <w:t>污染物</w:t>
                  </w:r>
                </w:p>
              </w:tc>
              <w:tc>
                <w:tcPr>
                  <w:tcW w:w="2959" w:type="dxa"/>
                  <w:tcBorders>
                    <w:tl2br w:val="nil"/>
                    <w:tr2bl w:val="nil"/>
                  </w:tcBorders>
                  <w:noWrap w:val="0"/>
                  <w:vAlign w:val="center"/>
                </w:tcPr>
                <w:p w14:paraId="428C468C">
                  <w:pPr>
                    <w:jc w:val="center"/>
                    <w:rPr>
                      <w:rFonts w:hint="default" w:ascii="Times New Roman" w:hAnsi="Times New Roman" w:cs="Times New Roman"/>
                      <w:b/>
                      <w:bCs w:val="0"/>
                      <w:snapToGrid w:val="0"/>
                      <w:color w:val="auto"/>
                      <w:kern w:val="0"/>
                      <w:szCs w:val="21"/>
                      <w:highlight w:val="none"/>
                    </w:rPr>
                  </w:pPr>
                  <w:r>
                    <w:rPr>
                      <w:rFonts w:hint="default" w:ascii="Times New Roman" w:hAnsi="Times New Roman" w:cs="Times New Roman"/>
                      <w:b/>
                      <w:bCs w:val="0"/>
                      <w:snapToGrid w:val="0"/>
                      <w:color w:val="auto"/>
                      <w:kern w:val="0"/>
                      <w:szCs w:val="21"/>
                      <w:highlight w:val="none"/>
                    </w:rPr>
                    <w:t>年排放量（t/a）</w:t>
                  </w:r>
                </w:p>
              </w:tc>
            </w:tr>
            <w:tr w14:paraId="3292BA5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29" w:type="dxa"/>
                  <w:tcBorders>
                    <w:tl2br w:val="nil"/>
                    <w:tr2bl w:val="nil"/>
                  </w:tcBorders>
                  <w:noWrap w:val="0"/>
                  <w:vAlign w:val="center"/>
                </w:tcPr>
                <w:p w14:paraId="7536539C">
                  <w:pPr>
                    <w:jc w:val="center"/>
                    <w:rPr>
                      <w:rFonts w:hint="eastAsia" w:ascii="Times New Roman" w:hAnsi="Times New Roman" w:eastAsia="宋体" w:cs="Times New Roman"/>
                      <w:b w:val="0"/>
                      <w:bCs/>
                      <w:snapToGrid w:val="0"/>
                      <w:color w:val="auto"/>
                      <w:kern w:val="0"/>
                      <w:szCs w:val="21"/>
                      <w:highlight w:val="none"/>
                      <w:lang w:val="en-US" w:eastAsia="zh-CN"/>
                    </w:rPr>
                  </w:pPr>
                  <w:r>
                    <w:rPr>
                      <w:rFonts w:hint="eastAsia" w:cs="Times New Roman"/>
                      <w:b w:val="0"/>
                      <w:bCs/>
                      <w:snapToGrid w:val="0"/>
                      <w:color w:val="auto"/>
                      <w:kern w:val="0"/>
                      <w:szCs w:val="21"/>
                      <w:highlight w:val="none"/>
                      <w:lang w:val="en-US" w:eastAsia="zh-CN"/>
                    </w:rPr>
                    <w:t>1</w:t>
                  </w:r>
                </w:p>
              </w:tc>
              <w:tc>
                <w:tcPr>
                  <w:tcW w:w="2957" w:type="dxa"/>
                  <w:tcBorders>
                    <w:tl2br w:val="nil"/>
                    <w:tr2bl w:val="nil"/>
                  </w:tcBorders>
                  <w:noWrap w:val="0"/>
                  <w:vAlign w:val="center"/>
                </w:tcPr>
                <w:p w14:paraId="714F1E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val="0"/>
                      <w:snapToGrid w:val="0"/>
                      <w:color w:val="auto"/>
                      <w:kern w:val="0"/>
                      <w:szCs w:val="21"/>
                      <w:highlight w:val="none"/>
                    </w:rPr>
                  </w:pPr>
                  <w:r>
                    <w:rPr>
                      <w:rFonts w:hint="eastAsia" w:cs="Times New Roman"/>
                      <w:b w:val="0"/>
                      <w:bCs w:val="0"/>
                      <w:color w:val="auto"/>
                      <w:sz w:val="21"/>
                      <w:szCs w:val="21"/>
                      <w:highlight w:val="none"/>
                      <w:lang w:val="en-US" w:eastAsia="zh-CN"/>
                    </w:rPr>
                    <w:t>颗粒物</w:t>
                  </w:r>
                </w:p>
              </w:tc>
              <w:tc>
                <w:tcPr>
                  <w:tcW w:w="2959" w:type="dxa"/>
                  <w:tcBorders>
                    <w:tl2br w:val="nil"/>
                    <w:tr2bl w:val="nil"/>
                  </w:tcBorders>
                  <w:noWrap w:val="0"/>
                  <w:vAlign w:val="center"/>
                </w:tcPr>
                <w:p w14:paraId="1DCB705A">
                  <w:pPr>
                    <w:keepNext w:val="0"/>
                    <w:keepLines w:val="0"/>
                    <w:widowControl/>
                    <w:suppressLineNumbers w:val="0"/>
                    <w:jc w:val="center"/>
                    <w:textAlignment w:val="center"/>
                    <w:rPr>
                      <w:rFonts w:hint="default" w:eastAsia="宋体" w:cs="Times New Roman"/>
                      <w:color w:val="auto"/>
                      <w:sz w:val="21"/>
                      <w:szCs w:val="21"/>
                      <w:highlight w:val="none"/>
                      <w:vertAlign w:val="baseline"/>
                      <w:lang w:val="en-US" w:eastAsia="zh-CN"/>
                    </w:rPr>
                  </w:pPr>
                  <w:r>
                    <w:rPr>
                      <w:rFonts w:hint="eastAsia" w:eastAsia="宋体" w:cs="Times New Roman"/>
                      <w:b w:val="0"/>
                      <w:bCs w:val="0"/>
                      <w:snapToGrid w:val="0"/>
                      <w:color w:val="auto"/>
                      <w:kern w:val="0"/>
                      <w:sz w:val="21"/>
                      <w:szCs w:val="21"/>
                      <w:highlight w:val="none"/>
                      <w:lang w:val="en-US" w:eastAsia="zh-CN" w:bidi="ar-SA"/>
                    </w:rPr>
                    <w:t>0.65</w:t>
                  </w:r>
                </w:p>
              </w:tc>
            </w:tr>
            <w:tr w14:paraId="1500DE4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29" w:type="dxa"/>
                  <w:tcBorders>
                    <w:tl2br w:val="nil"/>
                    <w:tr2bl w:val="nil"/>
                  </w:tcBorders>
                  <w:noWrap w:val="0"/>
                  <w:vAlign w:val="center"/>
                </w:tcPr>
                <w:p w14:paraId="3EB9ECB0">
                  <w:pPr>
                    <w:jc w:val="center"/>
                    <w:rPr>
                      <w:rFonts w:hint="default" w:cs="Times New Roman"/>
                      <w:b w:val="0"/>
                      <w:bCs/>
                      <w:snapToGrid w:val="0"/>
                      <w:color w:val="auto"/>
                      <w:kern w:val="0"/>
                      <w:szCs w:val="21"/>
                      <w:highlight w:val="none"/>
                      <w:lang w:val="en-US" w:eastAsia="zh-CN"/>
                    </w:rPr>
                  </w:pPr>
                  <w:r>
                    <w:rPr>
                      <w:rFonts w:hint="eastAsia" w:cs="Times New Roman"/>
                      <w:b w:val="0"/>
                      <w:bCs/>
                      <w:snapToGrid w:val="0"/>
                      <w:color w:val="auto"/>
                      <w:kern w:val="0"/>
                      <w:szCs w:val="21"/>
                      <w:highlight w:val="none"/>
                      <w:lang w:val="en-US" w:eastAsia="zh-CN"/>
                    </w:rPr>
                    <w:t>2</w:t>
                  </w:r>
                </w:p>
              </w:tc>
              <w:tc>
                <w:tcPr>
                  <w:tcW w:w="2957" w:type="dxa"/>
                  <w:tcBorders>
                    <w:tl2br w:val="nil"/>
                    <w:tr2bl w:val="nil"/>
                  </w:tcBorders>
                  <w:noWrap w:val="0"/>
                  <w:vAlign w:val="center"/>
                </w:tcPr>
                <w:p w14:paraId="70795D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二氧化硫</w:t>
                  </w:r>
                </w:p>
              </w:tc>
              <w:tc>
                <w:tcPr>
                  <w:tcW w:w="2959" w:type="dxa"/>
                  <w:tcBorders>
                    <w:tl2br w:val="nil"/>
                    <w:tr2bl w:val="nil"/>
                  </w:tcBorders>
                  <w:noWrap w:val="0"/>
                  <w:vAlign w:val="center"/>
                </w:tcPr>
                <w:p w14:paraId="343D8924">
                  <w:pPr>
                    <w:jc w:val="center"/>
                    <w:rPr>
                      <w:rFonts w:hint="eastAsia" w:eastAsia="宋体" w:cs="Times New Roman"/>
                      <w:color w:val="auto"/>
                      <w:sz w:val="21"/>
                      <w:szCs w:val="21"/>
                      <w:highlight w:val="none"/>
                      <w:vertAlign w:val="baseline"/>
                      <w:lang w:val="en-US" w:eastAsia="zh-CN"/>
                    </w:rPr>
                  </w:pPr>
                  <w:r>
                    <w:rPr>
                      <w:rFonts w:hint="eastAsia" w:eastAsia="宋体" w:cs="Times New Roman"/>
                      <w:b w:val="0"/>
                      <w:bCs w:val="0"/>
                      <w:snapToGrid w:val="0"/>
                      <w:color w:val="auto"/>
                      <w:kern w:val="0"/>
                      <w:sz w:val="21"/>
                      <w:szCs w:val="21"/>
                      <w:highlight w:val="none"/>
                      <w:lang w:val="en-US" w:eastAsia="zh-CN" w:bidi="ar-SA"/>
                    </w:rPr>
                    <w:t>3.83</w:t>
                  </w:r>
                </w:p>
              </w:tc>
            </w:tr>
            <w:tr w14:paraId="40252AF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29" w:type="dxa"/>
                  <w:tcBorders>
                    <w:tl2br w:val="nil"/>
                    <w:tr2bl w:val="nil"/>
                  </w:tcBorders>
                  <w:noWrap w:val="0"/>
                  <w:vAlign w:val="center"/>
                </w:tcPr>
                <w:p w14:paraId="38FF7754">
                  <w:pPr>
                    <w:jc w:val="center"/>
                    <w:rPr>
                      <w:rFonts w:hint="default" w:cs="Times New Roman"/>
                      <w:b w:val="0"/>
                      <w:bCs/>
                      <w:snapToGrid w:val="0"/>
                      <w:color w:val="auto"/>
                      <w:kern w:val="0"/>
                      <w:szCs w:val="21"/>
                      <w:highlight w:val="none"/>
                      <w:lang w:val="en-US" w:eastAsia="zh-CN"/>
                    </w:rPr>
                  </w:pPr>
                  <w:r>
                    <w:rPr>
                      <w:rFonts w:hint="eastAsia" w:cs="Times New Roman"/>
                      <w:b w:val="0"/>
                      <w:bCs/>
                      <w:snapToGrid w:val="0"/>
                      <w:color w:val="auto"/>
                      <w:kern w:val="0"/>
                      <w:szCs w:val="21"/>
                      <w:highlight w:val="none"/>
                      <w:lang w:val="en-US" w:eastAsia="zh-CN"/>
                    </w:rPr>
                    <w:t>3</w:t>
                  </w:r>
                </w:p>
              </w:tc>
              <w:tc>
                <w:tcPr>
                  <w:tcW w:w="2957" w:type="dxa"/>
                  <w:tcBorders>
                    <w:tl2br w:val="nil"/>
                    <w:tr2bl w:val="nil"/>
                  </w:tcBorders>
                  <w:noWrap w:val="0"/>
                  <w:vAlign w:val="center"/>
                </w:tcPr>
                <w:p w14:paraId="10767F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氮氧化物</w:t>
                  </w:r>
                </w:p>
              </w:tc>
              <w:tc>
                <w:tcPr>
                  <w:tcW w:w="2959" w:type="dxa"/>
                  <w:tcBorders>
                    <w:tl2br w:val="nil"/>
                    <w:tr2bl w:val="nil"/>
                  </w:tcBorders>
                  <w:noWrap w:val="0"/>
                  <w:vAlign w:val="center"/>
                </w:tcPr>
                <w:p w14:paraId="4D633A01">
                  <w:pPr>
                    <w:jc w:val="center"/>
                    <w:rPr>
                      <w:rFonts w:hint="default" w:eastAsia="宋体" w:cs="Times New Roman"/>
                      <w:color w:val="auto"/>
                      <w:sz w:val="21"/>
                      <w:szCs w:val="21"/>
                      <w:highlight w:val="none"/>
                      <w:vertAlign w:val="baseline"/>
                      <w:lang w:val="en-US" w:eastAsia="zh-CN"/>
                    </w:rPr>
                  </w:pPr>
                  <w:r>
                    <w:rPr>
                      <w:rFonts w:hint="eastAsia" w:cs="Times New Roman"/>
                      <w:b w:val="0"/>
                      <w:bCs w:val="0"/>
                      <w:color w:val="auto"/>
                      <w:sz w:val="21"/>
                      <w:szCs w:val="21"/>
                      <w:highlight w:val="none"/>
                      <w:lang w:val="en-US" w:eastAsia="zh-CN"/>
                    </w:rPr>
                    <w:t>6.34</w:t>
                  </w:r>
                </w:p>
              </w:tc>
            </w:tr>
            <w:tr w14:paraId="33F6095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29" w:type="dxa"/>
                  <w:tcBorders>
                    <w:tl2br w:val="nil"/>
                    <w:tr2bl w:val="nil"/>
                  </w:tcBorders>
                  <w:noWrap w:val="0"/>
                  <w:vAlign w:val="center"/>
                </w:tcPr>
                <w:p w14:paraId="183A1FED">
                  <w:pPr>
                    <w:jc w:val="center"/>
                    <w:rPr>
                      <w:rFonts w:hint="default" w:cs="Times New Roman"/>
                      <w:b w:val="0"/>
                      <w:bCs/>
                      <w:snapToGrid w:val="0"/>
                      <w:color w:val="auto"/>
                      <w:kern w:val="0"/>
                      <w:szCs w:val="21"/>
                      <w:highlight w:val="none"/>
                      <w:lang w:val="en-US" w:eastAsia="zh-CN"/>
                    </w:rPr>
                  </w:pPr>
                  <w:r>
                    <w:rPr>
                      <w:rFonts w:hint="eastAsia" w:cs="Times New Roman"/>
                      <w:b w:val="0"/>
                      <w:bCs/>
                      <w:snapToGrid w:val="0"/>
                      <w:color w:val="auto"/>
                      <w:kern w:val="0"/>
                      <w:szCs w:val="21"/>
                      <w:highlight w:val="none"/>
                      <w:lang w:val="en-US" w:eastAsia="zh-CN"/>
                    </w:rPr>
                    <w:t>4</w:t>
                  </w:r>
                </w:p>
              </w:tc>
              <w:tc>
                <w:tcPr>
                  <w:tcW w:w="2957" w:type="dxa"/>
                  <w:tcBorders>
                    <w:tl2br w:val="nil"/>
                    <w:tr2bl w:val="nil"/>
                  </w:tcBorders>
                  <w:noWrap w:val="0"/>
                  <w:vAlign w:val="center"/>
                </w:tcPr>
                <w:p w14:paraId="17731B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林格曼黑度</w:t>
                  </w:r>
                </w:p>
              </w:tc>
              <w:tc>
                <w:tcPr>
                  <w:tcW w:w="2959" w:type="dxa"/>
                  <w:tcBorders>
                    <w:tl2br w:val="nil"/>
                    <w:tr2bl w:val="nil"/>
                  </w:tcBorders>
                  <w:noWrap w:val="0"/>
                  <w:vAlign w:val="center"/>
                </w:tcPr>
                <w:p w14:paraId="631A07E7">
                  <w:pPr>
                    <w:jc w:val="center"/>
                    <w:rPr>
                      <w:rFonts w:hint="eastAsia" w:ascii="Times New Roman" w:hAnsi="Times New Roman" w:cs="Times New Roman"/>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08D0B56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29" w:type="dxa"/>
                  <w:tcBorders>
                    <w:tl2br w:val="nil"/>
                    <w:tr2bl w:val="nil"/>
                  </w:tcBorders>
                  <w:noWrap w:val="0"/>
                  <w:vAlign w:val="center"/>
                </w:tcPr>
                <w:p w14:paraId="04F2E2F9">
                  <w:pPr>
                    <w:jc w:val="center"/>
                    <w:rPr>
                      <w:rFonts w:hint="default" w:cs="Times New Roman"/>
                      <w:b w:val="0"/>
                      <w:bCs/>
                      <w:snapToGrid w:val="0"/>
                      <w:color w:val="auto"/>
                      <w:kern w:val="0"/>
                      <w:szCs w:val="21"/>
                      <w:highlight w:val="none"/>
                      <w:lang w:val="en-US" w:eastAsia="zh-CN"/>
                    </w:rPr>
                  </w:pPr>
                  <w:r>
                    <w:rPr>
                      <w:rFonts w:hint="eastAsia" w:cs="Times New Roman"/>
                      <w:b w:val="0"/>
                      <w:bCs/>
                      <w:snapToGrid w:val="0"/>
                      <w:color w:val="auto"/>
                      <w:kern w:val="0"/>
                      <w:szCs w:val="21"/>
                      <w:highlight w:val="none"/>
                      <w:lang w:val="en-US" w:eastAsia="zh-CN"/>
                    </w:rPr>
                    <w:t>5</w:t>
                  </w:r>
                </w:p>
              </w:tc>
              <w:tc>
                <w:tcPr>
                  <w:tcW w:w="2957" w:type="dxa"/>
                  <w:tcBorders>
                    <w:tl2br w:val="nil"/>
                    <w:tr2bl w:val="nil"/>
                  </w:tcBorders>
                  <w:noWrap w:val="0"/>
                  <w:vAlign w:val="center"/>
                </w:tcPr>
                <w:p w14:paraId="6A17F0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sz w:val="21"/>
                      <w:szCs w:val="21"/>
                      <w:highlight w:val="none"/>
                      <w:lang w:val="en-US" w:eastAsia="zh-CN"/>
                    </w:rPr>
                  </w:pPr>
                  <w:r>
                    <w:rPr>
                      <w:rFonts w:hint="eastAsia" w:ascii="宋体" w:hAnsi="宋体" w:eastAsia="宋体" w:cs="宋体"/>
                      <w:snapToGrid w:val="0"/>
                      <w:color w:val="auto"/>
                      <w:kern w:val="21"/>
                      <w:sz w:val="21"/>
                      <w:szCs w:val="21"/>
                      <w:highlight w:val="none"/>
                      <w:lang w:val="en-US" w:eastAsia="zh-CN" w:bidi="ar-SA"/>
                    </w:rPr>
                    <w:t>汞及其化合物</w:t>
                  </w:r>
                </w:p>
              </w:tc>
              <w:tc>
                <w:tcPr>
                  <w:tcW w:w="2959" w:type="dxa"/>
                  <w:tcBorders>
                    <w:tl2br w:val="nil"/>
                    <w:tr2bl w:val="nil"/>
                  </w:tcBorders>
                  <w:noWrap w:val="0"/>
                  <w:vAlign w:val="center"/>
                </w:tcPr>
                <w:p w14:paraId="692A35BD">
                  <w:pPr>
                    <w:jc w:val="center"/>
                    <w:rPr>
                      <w:rFonts w:hint="eastAsia" w:ascii="Times New Roman" w:hAnsi="Times New Roman" w:cs="Times New Roman"/>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bl>
          <w:p w14:paraId="0C2F2237">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（六）非正常排放</w:t>
            </w:r>
          </w:p>
          <w:p w14:paraId="2EDCF93E">
            <w:pPr>
              <w:pStyle w:val="43"/>
              <w:keepNext w:val="0"/>
              <w:keepLines w:val="0"/>
              <w:pageBreakBefore w:val="0"/>
              <w:widowControl w:val="0"/>
              <w:kinsoku/>
              <w:wordWrap/>
              <w:overflowPunct/>
              <w:topLinePunct w:val="0"/>
              <w:autoSpaceDE/>
              <w:autoSpaceDN/>
              <w:bidi w:val="0"/>
              <w:adjustRightInd/>
              <w:snapToGrid/>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项目非正常工况：设备检修、环保设施异常（锅炉除尘措施处理效率降至90％），非正常工况下废气污染物产生及排放情况详见下表。</w:t>
            </w:r>
          </w:p>
          <w:p w14:paraId="357A4A7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表4-</w:t>
            </w:r>
            <w:r>
              <w:rPr>
                <w:rFonts w:hint="eastAsia" w:cs="Times New Roman"/>
                <w:b/>
                <w:bCs/>
                <w:color w:val="auto"/>
                <w:sz w:val="21"/>
                <w:szCs w:val="21"/>
                <w:highlight w:val="none"/>
                <w:lang w:val="en-US" w:eastAsia="zh-CN"/>
              </w:rPr>
              <w:t>7</w:t>
            </w:r>
            <w:r>
              <w:rPr>
                <w:rFonts w:hint="default" w:ascii="Times New Roman" w:hAnsi="Times New Roman" w:eastAsia="宋体" w:cs="Times New Roman"/>
                <w:b/>
                <w:bCs/>
                <w:color w:val="auto"/>
                <w:sz w:val="21"/>
                <w:szCs w:val="21"/>
                <w:highlight w:val="none"/>
                <w:lang w:val="en-US" w:eastAsia="zh-CN"/>
              </w:rPr>
              <w:t xml:space="preserve">  </w:t>
            </w:r>
            <w:r>
              <w:rPr>
                <w:rFonts w:hint="eastAsia" w:cs="Times New Roman"/>
                <w:b/>
                <w:bCs/>
                <w:color w:val="auto"/>
                <w:sz w:val="21"/>
                <w:szCs w:val="21"/>
                <w:highlight w:val="none"/>
                <w:lang w:val="en-US" w:eastAsia="zh-CN"/>
              </w:rPr>
              <w:t>废气非正常工况产生及排放情况一览表</w:t>
            </w:r>
          </w:p>
          <w:tbl>
            <w:tblPr>
              <w:tblStyle w:val="21"/>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82"/>
              <w:gridCol w:w="918"/>
              <w:gridCol w:w="882"/>
              <w:gridCol w:w="968"/>
              <w:gridCol w:w="881"/>
              <w:gridCol w:w="909"/>
              <w:gridCol w:w="1115"/>
              <w:gridCol w:w="1115"/>
              <w:gridCol w:w="675"/>
              <w:gridCol w:w="645"/>
            </w:tblGrid>
            <w:tr w14:paraId="6B4C4E4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2" w:type="dxa"/>
                  <w:tcBorders>
                    <w:tl2br w:val="nil"/>
                    <w:tr2bl w:val="nil"/>
                  </w:tcBorders>
                  <w:vAlign w:val="center"/>
                </w:tcPr>
                <w:p w14:paraId="467CD8A5">
                  <w:pPr>
                    <w:spacing w:line="240" w:lineRule="auto"/>
                    <w:ind w:firstLine="0" w:firstLineChars="0"/>
                    <w:jc w:val="center"/>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产污环节</w:t>
                  </w:r>
                </w:p>
              </w:tc>
              <w:tc>
                <w:tcPr>
                  <w:tcW w:w="918" w:type="dxa"/>
                  <w:tcBorders>
                    <w:tl2br w:val="nil"/>
                    <w:tr2bl w:val="nil"/>
                  </w:tcBorders>
                  <w:vAlign w:val="center"/>
                </w:tcPr>
                <w:p w14:paraId="5952E9D0">
                  <w:pPr>
                    <w:spacing w:line="240" w:lineRule="auto"/>
                    <w:ind w:firstLine="0" w:firstLineChars="0"/>
                    <w:jc w:val="center"/>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污染物种类</w:t>
                  </w:r>
                </w:p>
              </w:tc>
              <w:tc>
                <w:tcPr>
                  <w:tcW w:w="882" w:type="dxa"/>
                  <w:tcBorders>
                    <w:tl2br w:val="nil"/>
                    <w:tr2bl w:val="nil"/>
                  </w:tcBorders>
                  <w:vAlign w:val="center"/>
                </w:tcPr>
                <w:p w14:paraId="4A0B37A7">
                  <w:pPr>
                    <w:spacing w:line="240" w:lineRule="auto"/>
                    <w:ind w:firstLine="0" w:firstLineChars="0"/>
                    <w:jc w:val="center"/>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非正常工况污染物产生量kg/h</w:t>
                  </w:r>
                </w:p>
              </w:tc>
              <w:tc>
                <w:tcPr>
                  <w:tcW w:w="968" w:type="dxa"/>
                  <w:tcBorders>
                    <w:tl2br w:val="nil"/>
                    <w:tr2bl w:val="nil"/>
                  </w:tcBorders>
                  <w:vAlign w:val="center"/>
                </w:tcPr>
                <w:p w14:paraId="796FE0CC">
                  <w:pPr>
                    <w:spacing w:line="240" w:lineRule="auto"/>
                    <w:ind w:firstLine="0" w:firstLineChars="0"/>
                    <w:jc w:val="center"/>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非正常工况污染物产生浓度mg/m</w:t>
                  </w:r>
                  <w:r>
                    <w:rPr>
                      <w:rFonts w:hint="eastAsia" w:cs="Times New Roman"/>
                      <w:b/>
                      <w:bCs/>
                      <w:color w:val="auto"/>
                      <w:sz w:val="21"/>
                      <w:szCs w:val="21"/>
                      <w:highlight w:val="none"/>
                      <w:vertAlign w:val="superscript"/>
                      <w:lang w:val="en-US" w:eastAsia="zh-CN"/>
                    </w:rPr>
                    <w:t>3</w:t>
                  </w:r>
                </w:p>
              </w:tc>
              <w:tc>
                <w:tcPr>
                  <w:tcW w:w="881" w:type="dxa"/>
                  <w:tcBorders>
                    <w:tl2br w:val="nil"/>
                    <w:tr2bl w:val="nil"/>
                  </w:tcBorders>
                  <w:vAlign w:val="center"/>
                </w:tcPr>
                <w:p w14:paraId="1677745B">
                  <w:pPr>
                    <w:spacing w:line="240" w:lineRule="auto"/>
                    <w:ind w:firstLine="0" w:firstLineChars="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排放形式</w:t>
                  </w:r>
                </w:p>
              </w:tc>
              <w:tc>
                <w:tcPr>
                  <w:tcW w:w="909" w:type="dxa"/>
                  <w:tcBorders>
                    <w:tl2br w:val="nil"/>
                    <w:tr2bl w:val="nil"/>
                  </w:tcBorders>
                  <w:vAlign w:val="center"/>
                </w:tcPr>
                <w:p w14:paraId="4D494F1A">
                  <w:pPr>
                    <w:spacing w:line="240" w:lineRule="auto"/>
                    <w:ind w:firstLine="0" w:firstLineChars="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频次</w:t>
                  </w:r>
                </w:p>
              </w:tc>
              <w:tc>
                <w:tcPr>
                  <w:tcW w:w="1115" w:type="dxa"/>
                  <w:tcBorders>
                    <w:tl2br w:val="nil"/>
                    <w:tr2bl w:val="nil"/>
                  </w:tcBorders>
                  <w:vAlign w:val="center"/>
                </w:tcPr>
                <w:p w14:paraId="6FCA9974">
                  <w:pPr>
                    <w:spacing w:line="240" w:lineRule="auto"/>
                    <w:ind w:firstLine="0" w:firstLineChars="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非正常工况污染物排放量kg/h</w:t>
                  </w:r>
                </w:p>
              </w:tc>
              <w:tc>
                <w:tcPr>
                  <w:tcW w:w="1115" w:type="dxa"/>
                  <w:tcBorders>
                    <w:tl2br w:val="nil"/>
                    <w:tr2bl w:val="nil"/>
                  </w:tcBorders>
                  <w:vAlign w:val="center"/>
                </w:tcPr>
                <w:p w14:paraId="7E859277">
                  <w:pPr>
                    <w:spacing w:line="240" w:lineRule="auto"/>
                    <w:ind w:firstLine="0" w:firstLineChars="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非正常工况污染物排放浓度mg/m</w:t>
                  </w:r>
                  <w:r>
                    <w:rPr>
                      <w:rFonts w:hint="default" w:ascii="Times New Roman" w:hAnsi="Times New Roman" w:cs="Times New Roman"/>
                      <w:b/>
                      <w:bCs/>
                      <w:color w:val="auto"/>
                      <w:sz w:val="21"/>
                      <w:szCs w:val="21"/>
                      <w:highlight w:val="none"/>
                      <w:vertAlign w:val="superscript"/>
                      <w:lang w:val="en-US" w:eastAsia="zh-CN"/>
                    </w:rPr>
                    <w:t>3</w:t>
                  </w:r>
                </w:p>
              </w:tc>
              <w:tc>
                <w:tcPr>
                  <w:tcW w:w="675" w:type="dxa"/>
                  <w:tcBorders>
                    <w:tl2br w:val="nil"/>
                    <w:tr2bl w:val="nil"/>
                  </w:tcBorders>
                  <w:vAlign w:val="center"/>
                </w:tcPr>
                <w:p w14:paraId="6F99D956">
                  <w:pPr>
                    <w:spacing w:line="240" w:lineRule="auto"/>
                    <w:ind w:firstLine="0" w:firstLineChars="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持续时间（h）</w:t>
                  </w:r>
                </w:p>
              </w:tc>
              <w:tc>
                <w:tcPr>
                  <w:tcW w:w="645" w:type="dxa"/>
                  <w:tcBorders>
                    <w:tl2br w:val="nil"/>
                    <w:tr2bl w:val="nil"/>
                  </w:tcBorders>
                  <w:vAlign w:val="center"/>
                </w:tcPr>
                <w:p w14:paraId="0D145F53">
                  <w:pPr>
                    <w:spacing w:line="240" w:lineRule="auto"/>
                    <w:ind w:firstLine="0" w:firstLineChars="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措施</w:t>
                  </w:r>
                </w:p>
              </w:tc>
            </w:tr>
            <w:tr w14:paraId="7036C8E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2" w:type="dxa"/>
                  <w:tcBorders>
                    <w:tl2br w:val="nil"/>
                    <w:tr2bl w:val="nil"/>
                  </w:tcBorders>
                  <w:vAlign w:val="center"/>
                </w:tcPr>
                <w:p w14:paraId="449B6A24">
                  <w:pPr>
                    <w:spacing w:line="240" w:lineRule="auto"/>
                    <w:ind w:firstLine="0" w:firstLine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锅炉供热</w:t>
                  </w:r>
                </w:p>
              </w:tc>
              <w:tc>
                <w:tcPr>
                  <w:tcW w:w="918" w:type="dxa"/>
                  <w:tcBorders>
                    <w:tl2br w:val="nil"/>
                    <w:tr2bl w:val="nil"/>
                  </w:tcBorders>
                  <w:vAlign w:val="center"/>
                </w:tcPr>
                <w:p w14:paraId="44D89ED8">
                  <w:pPr>
                    <w:spacing w:line="240" w:lineRule="auto"/>
                    <w:ind w:firstLine="0" w:firstLineChars="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颗粒物</w:t>
                  </w:r>
                </w:p>
              </w:tc>
              <w:tc>
                <w:tcPr>
                  <w:tcW w:w="882" w:type="dxa"/>
                  <w:tcBorders>
                    <w:tl2br w:val="nil"/>
                    <w:tr2bl w:val="nil"/>
                  </w:tcBorders>
                  <w:vAlign w:val="center"/>
                </w:tcPr>
                <w:p w14:paraId="24006D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Cs/>
                      <w:color w:val="auto"/>
                      <w:sz w:val="21"/>
                      <w:szCs w:val="21"/>
                      <w:highlight w:val="none"/>
                      <w:shd w:val="clear"/>
                      <w:vertAlign w:val="baseline"/>
                      <w:lang w:val="en-US" w:eastAsia="zh-CN"/>
                    </w:rPr>
                  </w:pPr>
                  <w:r>
                    <w:rPr>
                      <w:rFonts w:hint="default" w:ascii="Times New Roman" w:hAnsi="Times New Roman" w:eastAsia="宋体" w:cs="Times New Roman"/>
                      <w:iCs/>
                      <w:color w:val="auto"/>
                      <w:sz w:val="21"/>
                      <w:szCs w:val="21"/>
                      <w:highlight w:val="none"/>
                      <w:shd w:val="clear"/>
                      <w:vertAlign w:val="baseline"/>
                      <w:lang w:val="en-US" w:eastAsia="zh-CN"/>
                    </w:rPr>
                    <w:t>78.25</w:t>
                  </w:r>
                </w:p>
              </w:tc>
              <w:tc>
                <w:tcPr>
                  <w:tcW w:w="968" w:type="dxa"/>
                  <w:tcBorders>
                    <w:tl2br w:val="nil"/>
                    <w:tr2bl w:val="nil"/>
                  </w:tcBorders>
                  <w:vAlign w:val="center"/>
                </w:tcPr>
                <w:p w14:paraId="1B3558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Cs/>
                      <w:color w:val="auto"/>
                      <w:sz w:val="21"/>
                      <w:szCs w:val="21"/>
                      <w:highlight w:val="none"/>
                      <w:shd w:val="clear"/>
                      <w:vertAlign w:val="baseline"/>
                      <w:lang w:val="en-US" w:eastAsia="zh-CN"/>
                    </w:rPr>
                  </w:pPr>
                  <w:r>
                    <w:rPr>
                      <w:rFonts w:hint="eastAsia" w:ascii="Times New Roman" w:hAnsi="Times New Roman" w:eastAsia="宋体" w:cs="Times New Roman"/>
                      <w:iCs/>
                      <w:color w:val="auto"/>
                      <w:sz w:val="21"/>
                      <w:szCs w:val="21"/>
                      <w:highlight w:val="none"/>
                      <w:shd w:val="clear"/>
                      <w:vertAlign w:val="baseline"/>
                      <w:lang w:val="en-US" w:eastAsia="zh-CN"/>
                    </w:rPr>
                    <w:t>71</w:t>
                  </w:r>
                  <w:r>
                    <w:rPr>
                      <w:rFonts w:hint="eastAsia" w:cs="Times New Roman"/>
                      <w:iCs/>
                      <w:color w:val="auto"/>
                      <w:sz w:val="21"/>
                      <w:szCs w:val="21"/>
                      <w:highlight w:val="none"/>
                      <w:shd w:val="clear"/>
                      <w:vertAlign w:val="baseline"/>
                      <w:lang w:val="en-US" w:eastAsia="zh-CN"/>
                    </w:rPr>
                    <w:t>11</w:t>
                  </w:r>
                  <w:r>
                    <w:rPr>
                      <w:rFonts w:hint="eastAsia" w:ascii="Times New Roman" w:hAnsi="Times New Roman" w:eastAsia="宋体" w:cs="Times New Roman"/>
                      <w:iCs/>
                      <w:color w:val="auto"/>
                      <w:sz w:val="21"/>
                      <w:szCs w:val="21"/>
                      <w:highlight w:val="none"/>
                      <w:shd w:val="clear"/>
                      <w:vertAlign w:val="baseline"/>
                      <w:lang w:val="en-US" w:eastAsia="zh-CN"/>
                    </w:rPr>
                    <w:t>.</w:t>
                  </w:r>
                  <w:r>
                    <w:rPr>
                      <w:rFonts w:hint="eastAsia" w:cs="Times New Roman"/>
                      <w:iCs/>
                      <w:color w:val="auto"/>
                      <w:sz w:val="21"/>
                      <w:szCs w:val="21"/>
                      <w:highlight w:val="none"/>
                      <w:shd w:val="clear"/>
                      <w:vertAlign w:val="baseline"/>
                      <w:lang w:val="en-US" w:eastAsia="zh-CN"/>
                    </w:rPr>
                    <w:t>81</w:t>
                  </w:r>
                </w:p>
              </w:tc>
              <w:tc>
                <w:tcPr>
                  <w:tcW w:w="881" w:type="dxa"/>
                  <w:tcBorders>
                    <w:tl2br w:val="nil"/>
                    <w:tr2bl w:val="nil"/>
                  </w:tcBorders>
                  <w:vAlign w:val="center"/>
                </w:tcPr>
                <w:p w14:paraId="37F59725">
                  <w:pPr>
                    <w:spacing w:line="240" w:lineRule="auto"/>
                    <w:ind w:firstLine="0" w:firstLineChars="0"/>
                    <w:jc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有组织</w:t>
                  </w:r>
                </w:p>
              </w:tc>
              <w:tc>
                <w:tcPr>
                  <w:tcW w:w="909" w:type="dxa"/>
                  <w:tcBorders>
                    <w:tl2br w:val="nil"/>
                    <w:tr2bl w:val="nil"/>
                  </w:tcBorders>
                  <w:vAlign w:val="center"/>
                </w:tcPr>
                <w:p w14:paraId="7B66FA10">
                  <w:pPr>
                    <w:spacing w:line="240" w:lineRule="auto"/>
                    <w:ind w:firstLine="0" w:firstLineChars="0"/>
                    <w:jc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1次/年</w:t>
                  </w:r>
                </w:p>
              </w:tc>
              <w:tc>
                <w:tcPr>
                  <w:tcW w:w="1115" w:type="dxa"/>
                  <w:tcBorders>
                    <w:tl2br w:val="nil"/>
                    <w:tr2bl w:val="nil"/>
                  </w:tcBorders>
                  <w:vAlign w:val="center"/>
                </w:tcPr>
                <w:p w14:paraId="5C913E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lang w:val="en-US" w:eastAsia="zh-CN"/>
                    </w:rPr>
                  </w:pPr>
                  <w:r>
                    <w:rPr>
                      <w:rFonts w:hint="eastAsia" w:cs="Times New Roman"/>
                      <w:iCs/>
                      <w:color w:val="auto"/>
                      <w:sz w:val="21"/>
                      <w:szCs w:val="21"/>
                      <w:highlight w:val="none"/>
                      <w:shd w:val="clear"/>
                      <w:vertAlign w:val="baseline"/>
                      <w:lang w:val="en-US" w:eastAsia="zh-CN"/>
                    </w:rPr>
                    <w:t>7.83</w:t>
                  </w:r>
                </w:p>
              </w:tc>
              <w:tc>
                <w:tcPr>
                  <w:tcW w:w="1115" w:type="dxa"/>
                  <w:tcBorders>
                    <w:tl2br w:val="nil"/>
                    <w:tr2bl w:val="nil"/>
                  </w:tcBorders>
                  <w:vAlign w:val="center"/>
                </w:tcPr>
                <w:p w14:paraId="07407C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 w:val="21"/>
                      <w:szCs w:val="21"/>
                      <w:highlight w:val="none"/>
                      <w:lang w:val="en-US" w:eastAsia="zh-CN"/>
                    </w:rPr>
                  </w:pPr>
                  <w:r>
                    <w:rPr>
                      <w:rFonts w:hint="eastAsia" w:ascii="Times New Roman" w:hAnsi="Times New Roman" w:eastAsia="宋体" w:cs="Times New Roman"/>
                      <w:iCs/>
                      <w:color w:val="auto"/>
                      <w:sz w:val="21"/>
                      <w:szCs w:val="21"/>
                      <w:highlight w:val="none"/>
                      <w:shd w:val="clear"/>
                      <w:vertAlign w:val="baseline"/>
                      <w:lang w:val="en-US" w:eastAsia="zh-CN"/>
                    </w:rPr>
                    <w:t>71</w:t>
                  </w:r>
                  <w:r>
                    <w:rPr>
                      <w:rFonts w:hint="eastAsia" w:cs="Times New Roman"/>
                      <w:iCs/>
                      <w:color w:val="auto"/>
                      <w:sz w:val="21"/>
                      <w:szCs w:val="21"/>
                      <w:highlight w:val="none"/>
                      <w:shd w:val="clear"/>
                      <w:vertAlign w:val="baseline"/>
                      <w:lang w:val="en-US" w:eastAsia="zh-CN"/>
                    </w:rPr>
                    <w:t>1.18</w:t>
                  </w:r>
                </w:p>
              </w:tc>
              <w:tc>
                <w:tcPr>
                  <w:tcW w:w="675" w:type="dxa"/>
                  <w:tcBorders>
                    <w:tl2br w:val="nil"/>
                    <w:tr2bl w:val="nil"/>
                  </w:tcBorders>
                  <w:vAlign w:val="center"/>
                </w:tcPr>
                <w:p w14:paraId="75C7080A">
                  <w:pPr>
                    <w:spacing w:line="240" w:lineRule="auto"/>
                    <w:ind w:firstLine="0" w:firstLineChars="0"/>
                    <w:jc w:val="center"/>
                    <w:rPr>
                      <w:rFonts w:hint="default" w:ascii="Times New Roman" w:hAnsi="Times New Roman" w:cs="Times New Roman"/>
                      <w:b w:val="0"/>
                      <w:bCs w:val="0"/>
                      <w:color w:val="auto"/>
                      <w:sz w:val="21"/>
                      <w:szCs w:val="21"/>
                      <w:highlight w:val="none"/>
                      <w:lang w:val="en-US" w:eastAsia="zh-CN"/>
                    </w:rPr>
                  </w:pPr>
                  <w:r>
                    <w:rPr>
                      <w:rFonts w:hint="eastAsia" w:ascii="Times New Roman" w:hAnsi="Times New Roman" w:eastAsia="宋体" w:cs="Times New Roman"/>
                      <w:iCs/>
                      <w:color w:val="auto"/>
                      <w:sz w:val="21"/>
                      <w:szCs w:val="21"/>
                      <w:highlight w:val="none"/>
                      <w:shd w:val="clear"/>
                      <w:vertAlign w:val="baseline"/>
                      <w:lang w:val="en-US" w:eastAsia="zh-CN"/>
                    </w:rPr>
                    <w:t>1</w:t>
                  </w:r>
                </w:p>
              </w:tc>
              <w:tc>
                <w:tcPr>
                  <w:tcW w:w="645" w:type="dxa"/>
                  <w:tcBorders>
                    <w:tl2br w:val="nil"/>
                    <w:tr2bl w:val="nil"/>
                  </w:tcBorders>
                  <w:vAlign w:val="center"/>
                </w:tcPr>
                <w:p w14:paraId="03F75948">
                  <w:pPr>
                    <w:spacing w:line="240" w:lineRule="auto"/>
                    <w:ind w:firstLine="0" w:firstLineChars="0"/>
                    <w:jc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停产</w:t>
                  </w:r>
                </w:p>
              </w:tc>
            </w:tr>
          </w:tbl>
          <w:p w14:paraId="6D40E993">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（七）</w:t>
            </w:r>
            <w:r>
              <w:rPr>
                <w:rFonts w:hint="default" w:ascii="Times New Roman" w:hAnsi="Times New Roman" w:eastAsia="宋体" w:cs="Times New Roman"/>
                <w:b/>
                <w:bCs/>
                <w:color w:val="auto"/>
                <w:sz w:val="24"/>
                <w:szCs w:val="24"/>
                <w:highlight w:val="none"/>
                <w:lang w:val="en-US" w:eastAsia="zh-CN"/>
              </w:rPr>
              <w:t>大气环境影响综合结论</w:t>
            </w:r>
          </w:p>
          <w:p w14:paraId="303DBAC8">
            <w:pPr>
              <w:pStyle w:val="43"/>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本项目厂</w:t>
            </w:r>
            <w:r>
              <w:rPr>
                <w:rFonts w:hint="eastAsia" w:cs="Times New Roman"/>
                <w:color w:val="auto"/>
                <w:sz w:val="24"/>
                <w:szCs w:val="24"/>
                <w:highlight w:val="none"/>
                <w:lang w:val="en-US" w:eastAsia="zh-CN"/>
              </w:rPr>
              <w:t>界颗粒物采取储存空间封闭、洒水降尘措施，厂界颗粒物排放符合</w:t>
            </w:r>
            <w:r>
              <w:rPr>
                <w:rFonts w:hint="default" w:ascii="Times New Roman" w:hAnsi="Times New Roman" w:eastAsia="宋体" w:cs="Times New Roman"/>
                <w:b w:val="0"/>
                <w:bCs w:val="0"/>
                <w:color w:val="auto"/>
                <w:highlight w:val="none"/>
                <w:lang w:val="en-US" w:eastAsia="zh-CN"/>
              </w:rPr>
              <w:t>《大气污染物综合排放标准》（GB16297-1996）表2</w:t>
            </w:r>
            <w:r>
              <w:rPr>
                <w:rFonts w:hint="eastAsia" w:ascii="Times New Roman" w:hAnsi="Times New Roman" w:eastAsia="宋体" w:cs="Times New Roman"/>
                <w:b w:val="0"/>
                <w:bCs w:val="0"/>
                <w:color w:val="auto"/>
                <w:highlight w:val="none"/>
                <w:lang w:val="en-US" w:eastAsia="zh-CN"/>
              </w:rPr>
              <w:t>无组织排放浓度限值。</w:t>
            </w:r>
            <w:r>
              <w:rPr>
                <w:rFonts w:hint="eastAsia" w:ascii="Times New Roman" w:hAnsi="Times New Roman" w:cs="Times New Roman"/>
                <w:b w:val="0"/>
                <w:bCs w:val="0"/>
                <w:color w:val="auto"/>
                <w:highlight w:val="none"/>
                <w:lang w:val="en-US" w:eastAsia="zh-CN"/>
              </w:rPr>
              <w:t>项目锅炉烟气经</w:t>
            </w:r>
            <w:r>
              <w:rPr>
                <w:rFonts w:hint="eastAsia"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旋风多管陶瓷除尘器+布袋除尘器</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cs="Times New Roman"/>
                <w:b w:val="0"/>
                <w:bCs w:val="0"/>
                <w:color w:val="auto"/>
                <w:highlight w:val="none"/>
                <w:lang w:val="en-US" w:eastAsia="zh-CN"/>
              </w:rPr>
              <w:t>处理后通过</w:t>
            </w:r>
            <w:r>
              <w:rPr>
                <w:rFonts w:hint="eastAsia" w:cs="Times New Roman"/>
                <w:b w:val="0"/>
                <w:bCs w:val="0"/>
                <w:color w:val="auto"/>
                <w:highlight w:val="none"/>
                <w:lang w:val="en-US" w:eastAsia="zh-CN"/>
              </w:rPr>
              <w:t>35m</w:t>
            </w:r>
            <w:r>
              <w:rPr>
                <w:rFonts w:hint="eastAsia" w:ascii="Times New Roman" w:hAnsi="Times New Roman" w:cs="Times New Roman"/>
                <w:b w:val="0"/>
                <w:bCs w:val="0"/>
                <w:color w:val="auto"/>
                <w:highlight w:val="none"/>
                <w:lang w:val="en-US" w:eastAsia="zh-CN"/>
              </w:rPr>
              <w:t>高烟囱（DA001）有组织排放，正常工况下，锅炉烟气污染物颗粒物、二氧化硫、氮氧化物、</w:t>
            </w:r>
            <w:r>
              <w:rPr>
                <w:rFonts w:hint="eastAsia" w:cs="Times New Roman"/>
                <w:b w:val="0"/>
                <w:bCs w:val="0"/>
                <w:color w:val="auto"/>
                <w:highlight w:val="none"/>
                <w:lang w:val="en-US" w:eastAsia="zh-CN"/>
              </w:rPr>
              <w:t>汞及其化合物、</w:t>
            </w:r>
            <w:r>
              <w:rPr>
                <w:rFonts w:hint="eastAsia" w:ascii="Times New Roman" w:hAnsi="Times New Roman" w:cs="Times New Roman"/>
                <w:b w:val="0"/>
                <w:bCs w:val="0"/>
                <w:color w:val="auto"/>
                <w:highlight w:val="none"/>
                <w:lang w:val="en-US" w:eastAsia="zh-CN"/>
              </w:rPr>
              <w:t>林格曼黑度排放浓度</w:t>
            </w:r>
            <w:r>
              <w:rPr>
                <w:rFonts w:hint="eastAsia"/>
                <w:color w:val="auto"/>
                <w:sz w:val="24"/>
                <w:highlight w:val="none"/>
                <w:lang w:val="en-US" w:eastAsia="zh-CN"/>
              </w:rPr>
              <w:t>符合</w:t>
            </w:r>
            <w:r>
              <w:rPr>
                <w:rFonts w:hint="eastAsia"/>
                <w:color w:val="auto"/>
                <w:sz w:val="24"/>
                <w:highlight w:val="none"/>
              </w:rPr>
              <w:t>《锅炉大气污染物排放标准》（GB13271-2014）表3中燃煤锅炉大气污染物特别排放限值</w:t>
            </w:r>
            <w:r>
              <w:rPr>
                <w:rFonts w:hint="eastAsia"/>
                <w:color w:val="auto"/>
                <w:sz w:val="24"/>
                <w:highlight w:val="none"/>
                <w:lang w:eastAsia="zh-CN"/>
              </w:rPr>
              <w:t>，</w:t>
            </w:r>
            <w:r>
              <w:rPr>
                <w:rFonts w:hint="eastAsia"/>
                <w:color w:val="auto"/>
                <w:sz w:val="24"/>
                <w:highlight w:val="none"/>
                <w:lang w:val="en-US" w:eastAsia="zh-CN"/>
              </w:rPr>
              <w:t>综上所述，项目</w:t>
            </w:r>
            <w:r>
              <w:rPr>
                <w:rFonts w:hint="default" w:ascii="Times New Roman" w:hAnsi="Times New Roman" w:cs="Times New Roman"/>
                <w:color w:val="auto"/>
                <w:sz w:val="24"/>
                <w:szCs w:val="24"/>
                <w:highlight w:val="none"/>
                <w:lang w:val="en-US" w:eastAsia="zh-CN"/>
              </w:rPr>
              <w:t>对大气环境影响较小。</w:t>
            </w:r>
          </w:p>
          <w:p w14:paraId="211C2D38">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cs="Times New Roman"/>
                <w:b/>
                <w:bCs/>
                <w:color w:val="auto"/>
                <w:kern w:val="0"/>
                <w:sz w:val="24"/>
                <w:szCs w:val="24"/>
                <w:highlight w:val="none"/>
                <w:lang w:val="en-US" w:eastAsia="zh-CN"/>
              </w:rPr>
              <w:t>二、地表水环境</w:t>
            </w:r>
          </w:p>
          <w:p w14:paraId="668F5110">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cs="Times New Roman"/>
                <w:b/>
                <w:bCs/>
                <w:color w:val="auto"/>
                <w:kern w:val="0"/>
                <w:sz w:val="24"/>
                <w:szCs w:val="24"/>
                <w:highlight w:val="none"/>
                <w:lang w:eastAsia="zh-CN"/>
              </w:rPr>
              <w:t>（</w:t>
            </w:r>
            <w:r>
              <w:rPr>
                <w:rFonts w:hint="default" w:ascii="Times New Roman" w:hAnsi="Times New Roman" w:cs="Times New Roman"/>
                <w:b/>
                <w:bCs/>
                <w:color w:val="auto"/>
                <w:kern w:val="0"/>
                <w:sz w:val="24"/>
                <w:szCs w:val="24"/>
                <w:highlight w:val="none"/>
                <w:lang w:val="en-US" w:eastAsia="zh-CN"/>
              </w:rPr>
              <w:t>一</w:t>
            </w:r>
            <w:r>
              <w:rPr>
                <w:rFonts w:hint="default" w:ascii="Times New Roman" w:hAnsi="Times New Roman" w:cs="Times New Roman"/>
                <w:b/>
                <w:bCs/>
                <w:color w:val="auto"/>
                <w:kern w:val="0"/>
                <w:sz w:val="24"/>
                <w:szCs w:val="24"/>
                <w:highlight w:val="none"/>
                <w:lang w:eastAsia="zh-CN"/>
              </w:rPr>
              <w:t>）</w:t>
            </w:r>
            <w:r>
              <w:rPr>
                <w:rFonts w:hint="default" w:ascii="Times New Roman" w:hAnsi="Times New Roman" w:cs="Times New Roman"/>
                <w:b/>
                <w:bCs/>
                <w:color w:val="auto"/>
                <w:kern w:val="0"/>
                <w:sz w:val="24"/>
                <w:szCs w:val="24"/>
                <w:highlight w:val="none"/>
                <w:lang w:val="en-US" w:eastAsia="zh-CN"/>
              </w:rPr>
              <w:t>废水产生情况</w:t>
            </w:r>
          </w:p>
          <w:p w14:paraId="11020563">
            <w:pPr>
              <w:pStyle w:val="43"/>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default" w:ascii="Times New Roman" w:hAnsi="Times New Roman" w:cs="Times New Roman"/>
                <w:b w:val="0"/>
                <w:bCs w:val="0"/>
                <w:color w:val="auto"/>
                <w:kern w:val="0"/>
                <w:sz w:val="24"/>
                <w:szCs w:val="24"/>
                <w:highlight w:val="none"/>
                <w:lang w:val="en-US" w:eastAsia="zh-CN"/>
              </w:rPr>
              <w:t>项目产生的废水主要</w:t>
            </w:r>
            <w:r>
              <w:rPr>
                <w:rFonts w:hint="eastAsia" w:ascii="Times New Roman" w:hAnsi="Times New Roman" w:cs="Times New Roman"/>
                <w:b w:val="0"/>
                <w:bCs w:val="0"/>
                <w:color w:val="auto"/>
                <w:kern w:val="0"/>
                <w:sz w:val="24"/>
                <w:szCs w:val="24"/>
                <w:highlight w:val="none"/>
                <w:lang w:val="en-US" w:eastAsia="zh-CN"/>
              </w:rPr>
              <w:t>为</w:t>
            </w:r>
            <w:r>
              <w:rPr>
                <w:rFonts w:hint="default" w:ascii="Times New Roman" w:hAnsi="Times New Roman" w:cs="Times New Roman"/>
                <w:b w:val="0"/>
                <w:bCs w:val="0"/>
                <w:color w:val="auto"/>
                <w:kern w:val="0"/>
                <w:sz w:val="24"/>
                <w:szCs w:val="24"/>
                <w:highlight w:val="none"/>
                <w:lang w:val="en-US" w:eastAsia="zh-CN"/>
              </w:rPr>
              <w:t>生活污水</w:t>
            </w:r>
            <w:r>
              <w:rPr>
                <w:rFonts w:hint="eastAsia" w:ascii="Times New Roman" w:hAnsi="Times New Roman" w:cs="Times New Roman"/>
                <w:b w:val="0"/>
                <w:bCs w:val="0"/>
                <w:color w:val="auto"/>
                <w:kern w:val="0"/>
                <w:sz w:val="24"/>
                <w:szCs w:val="24"/>
                <w:highlight w:val="none"/>
                <w:lang w:val="en-US" w:eastAsia="zh-CN"/>
              </w:rPr>
              <w:t>、</w:t>
            </w:r>
            <w:r>
              <w:rPr>
                <w:rFonts w:hint="eastAsia" w:cs="Times New Roman"/>
                <w:b w:val="0"/>
                <w:bCs w:val="0"/>
                <w:color w:val="auto"/>
                <w:kern w:val="0"/>
                <w:sz w:val="24"/>
                <w:szCs w:val="24"/>
                <w:highlight w:val="none"/>
                <w:lang w:val="en-US" w:eastAsia="zh-CN"/>
              </w:rPr>
              <w:t>锅炉排污水及软化处理废水</w:t>
            </w:r>
            <w:r>
              <w:rPr>
                <w:rFonts w:hint="default" w:ascii="Times New Roman" w:hAnsi="Times New Roman" w:eastAsia="宋体" w:cs="Times New Roman"/>
                <w:b w:val="0"/>
                <w:bCs w:val="0"/>
                <w:color w:val="auto"/>
                <w:kern w:val="0"/>
                <w:sz w:val="24"/>
                <w:szCs w:val="24"/>
                <w:highlight w:val="none"/>
                <w:lang w:val="en-US" w:eastAsia="zh-CN"/>
              </w:rPr>
              <w:t>，废水产生量、污染物种类、污染物产生浓度和产生量等内容分析如下：</w:t>
            </w:r>
          </w:p>
          <w:p w14:paraId="1178439C">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cs="Times New Roman"/>
                <w:b/>
                <w:bCs/>
                <w:color w:val="auto"/>
                <w:kern w:val="0"/>
                <w:sz w:val="24"/>
                <w:szCs w:val="24"/>
                <w:highlight w:val="none"/>
                <w:lang w:eastAsia="zh-CN"/>
              </w:rPr>
              <w:t>（</w:t>
            </w:r>
            <w:r>
              <w:rPr>
                <w:rFonts w:hint="default" w:ascii="Times New Roman" w:hAnsi="Times New Roman" w:cs="Times New Roman"/>
                <w:b/>
                <w:bCs/>
                <w:color w:val="auto"/>
                <w:kern w:val="0"/>
                <w:sz w:val="24"/>
                <w:szCs w:val="24"/>
                <w:highlight w:val="none"/>
                <w:lang w:val="en-US" w:eastAsia="zh-CN"/>
              </w:rPr>
              <w:t>二</w:t>
            </w:r>
            <w:r>
              <w:rPr>
                <w:rFonts w:hint="default" w:ascii="Times New Roman" w:hAnsi="Times New Roman" w:cs="Times New Roman"/>
                <w:b/>
                <w:bCs/>
                <w:color w:val="auto"/>
                <w:kern w:val="0"/>
                <w:sz w:val="24"/>
                <w:szCs w:val="24"/>
                <w:highlight w:val="none"/>
                <w:lang w:eastAsia="zh-CN"/>
              </w:rPr>
              <w:t>）</w:t>
            </w:r>
            <w:r>
              <w:rPr>
                <w:rFonts w:hint="default" w:ascii="Times New Roman" w:hAnsi="Times New Roman" w:cs="Times New Roman"/>
                <w:b/>
                <w:bCs/>
                <w:color w:val="auto"/>
                <w:kern w:val="0"/>
                <w:sz w:val="24"/>
                <w:szCs w:val="24"/>
                <w:highlight w:val="none"/>
                <w:lang w:val="en-US" w:eastAsia="zh-CN"/>
              </w:rPr>
              <w:t>各废水产生源详述</w:t>
            </w:r>
          </w:p>
          <w:p w14:paraId="5459FD5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default" w:ascii="Times New Roman" w:hAnsi="Times New Roman" w:cs="Times New Roman"/>
                <w:b w:val="0"/>
                <w:bCs w:val="0"/>
                <w:color w:val="auto"/>
                <w:kern w:val="0"/>
                <w:sz w:val="24"/>
                <w:szCs w:val="24"/>
                <w:highlight w:val="none"/>
                <w:lang w:val="en-US" w:eastAsia="zh-CN"/>
              </w:rPr>
              <w:t>1.生活污水</w:t>
            </w:r>
          </w:p>
          <w:p w14:paraId="19A4A193">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val="0"/>
                <w:color w:val="FF0000"/>
                <w:kern w:val="0"/>
                <w:sz w:val="24"/>
                <w:szCs w:val="24"/>
                <w:highlight w:val="none"/>
                <w:lang w:val="en-US" w:eastAsia="zh-CN"/>
              </w:rPr>
            </w:pPr>
            <w:r>
              <w:rPr>
                <w:rFonts w:hint="default" w:ascii="Times New Roman" w:hAnsi="Times New Roman" w:cs="Times New Roman"/>
                <w:b w:val="0"/>
                <w:bCs w:val="0"/>
                <w:color w:val="auto"/>
                <w:kern w:val="0"/>
                <w:sz w:val="24"/>
                <w:szCs w:val="24"/>
                <w:highlight w:val="none"/>
                <w:lang w:val="en-US" w:eastAsia="zh-CN"/>
              </w:rPr>
              <w:t>根据前文分析可知，</w:t>
            </w:r>
            <w:r>
              <w:rPr>
                <w:rFonts w:hint="eastAsia"/>
                <w:color w:val="auto"/>
                <w:sz w:val="24"/>
                <w:szCs w:val="24"/>
                <w:highlight w:val="none"/>
                <w:lang w:val="en-US" w:eastAsia="zh-CN"/>
              </w:rPr>
              <w:t>生活污水产生量为0.13</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rPr>
              <w:t>/d，</w:t>
            </w:r>
            <w:r>
              <w:rPr>
                <w:rFonts w:hint="eastAsia" w:cs="Times New Roman"/>
                <w:color w:val="auto"/>
                <w:kern w:val="0"/>
                <w:sz w:val="24"/>
                <w:szCs w:val="24"/>
                <w:highlight w:val="none"/>
                <w:lang w:val="en-US" w:eastAsia="zh-CN"/>
              </w:rPr>
              <w:t>27.26</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rPr>
              <w:t>/a。</w:t>
            </w:r>
            <w:r>
              <w:rPr>
                <w:rFonts w:hint="default" w:ascii="Times New Roman" w:hAnsi="Times New Roman" w:cs="Times New Roman"/>
                <w:color w:val="auto"/>
                <w:sz w:val="24"/>
                <w:szCs w:val="24"/>
                <w:highlight w:val="none"/>
                <w:lang w:val="en-US" w:eastAsia="zh-CN"/>
              </w:rPr>
              <w:t>生活污水中各项污染物浓度指标参考《生活源产排污系数手册》为</w:t>
            </w:r>
            <w:r>
              <w:rPr>
                <w:rFonts w:hint="default" w:ascii="Times New Roman" w:hAnsi="Times New Roman" w:eastAsia="宋体" w:cs="Times New Roman"/>
                <w:color w:val="auto"/>
                <w:sz w:val="24"/>
                <w:szCs w:val="24"/>
                <w:highlight w:val="none"/>
                <w:lang w:val="en-US" w:eastAsia="zh-CN"/>
              </w:rPr>
              <w:t>COD</w:t>
            </w:r>
            <w:r>
              <w:rPr>
                <w:rFonts w:hint="default" w:ascii="Times New Roman" w:hAnsi="Times New Roman" w:cs="Times New Roman"/>
                <w:color w:val="auto"/>
                <w:sz w:val="24"/>
                <w:szCs w:val="24"/>
                <w:highlight w:val="none"/>
                <w:vertAlign w:val="subscript"/>
                <w:lang w:val="en-US" w:eastAsia="zh-CN"/>
              </w:rPr>
              <w:t>Cr</w:t>
            </w:r>
            <w:r>
              <w:rPr>
                <w:rFonts w:hint="default" w:ascii="Times New Roman" w:hAnsi="Times New Roman" w:cs="Times New Roman"/>
                <w:color w:val="auto"/>
                <w:sz w:val="24"/>
                <w:szCs w:val="24"/>
                <w:highlight w:val="none"/>
                <w:lang w:val="en-US" w:eastAsia="zh-CN"/>
              </w:rPr>
              <w:t>350mg/L、NH</w:t>
            </w:r>
            <w:r>
              <w:rPr>
                <w:rFonts w:hint="default" w:ascii="Times New Roman" w:hAnsi="Times New Roman" w:cs="Times New Roman"/>
                <w:color w:val="auto"/>
                <w:sz w:val="24"/>
                <w:szCs w:val="24"/>
                <w:highlight w:val="none"/>
                <w:vertAlign w:val="subscript"/>
                <w:lang w:val="en-US" w:eastAsia="zh-CN"/>
              </w:rPr>
              <w:t>3</w:t>
            </w:r>
            <w:r>
              <w:rPr>
                <w:rFonts w:hint="default" w:ascii="Times New Roman" w:hAnsi="Times New Roman" w:cs="Times New Roman"/>
                <w:color w:val="auto"/>
                <w:sz w:val="24"/>
                <w:szCs w:val="24"/>
                <w:highlight w:val="none"/>
                <w:lang w:val="en-US" w:eastAsia="zh-CN"/>
              </w:rPr>
              <w:t>-N33.5mg/L、TN48.7mg/L、TP4.42mg/L；pH值取值6.5</w:t>
            </w:r>
            <w:r>
              <w:rPr>
                <w:rFonts w:hint="eastAsia" w:cs="Times New Roman"/>
                <w:color w:val="auto"/>
                <w:sz w:val="24"/>
                <w:szCs w:val="24"/>
                <w:highlight w:val="none"/>
                <w:lang w:val="en-US" w:eastAsia="zh-CN"/>
              </w:rPr>
              <w:t>（无量纲）</w:t>
            </w:r>
            <w:r>
              <w:rPr>
                <w:rFonts w:hint="default" w:ascii="Times New Roman" w:hAnsi="Times New Roman" w:cs="Times New Roman"/>
                <w:color w:val="auto"/>
                <w:sz w:val="24"/>
                <w:szCs w:val="24"/>
                <w:highlight w:val="none"/>
                <w:lang w:val="en-US" w:eastAsia="zh-CN"/>
              </w:rPr>
              <w:t>、BOD</w:t>
            </w:r>
            <w:r>
              <w:rPr>
                <w:rFonts w:hint="default" w:ascii="Times New Roman" w:hAnsi="Times New Roman" w:cs="Times New Roman"/>
                <w:color w:val="auto"/>
                <w:sz w:val="24"/>
                <w:szCs w:val="24"/>
                <w:highlight w:val="none"/>
                <w:vertAlign w:val="subscript"/>
                <w:lang w:val="en-US" w:eastAsia="zh-CN"/>
              </w:rPr>
              <w:t>5</w:t>
            </w:r>
            <w:r>
              <w:rPr>
                <w:rFonts w:hint="default" w:ascii="Times New Roman" w:hAnsi="Times New Roman" w:cs="Times New Roman"/>
                <w:color w:val="auto"/>
                <w:sz w:val="24"/>
                <w:szCs w:val="24"/>
                <w:highlight w:val="none"/>
                <w:lang w:val="en-US" w:eastAsia="zh-CN"/>
              </w:rPr>
              <w:t>取值250mg/L。</w:t>
            </w:r>
            <w:r>
              <w:rPr>
                <w:rFonts w:hint="eastAsia" w:ascii="Times New Roman" w:hAnsi="Times New Roman" w:cs="Times New Roman"/>
                <w:color w:val="auto"/>
                <w:sz w:val="24"/>
                <w:szCs w:val="24"/>
                <w:highlight w:val="none"/>
                <w:lang w:val="en-US" w:eastAsia="zh-CN"/>
              </w:rPr>
              <w:t>生活污水排入厂区化粪池，通过10吨</w:t>
            </w:r>
            <w:r>
              <w:rPr>
                <w:rFonts w:hint="default" w:ascii="Times New Roman" w:hAnsi="Times New Roman" w:cs="Times New Roman"/>
                <w:color w:val="auto"/>
                <w:sz w:val="24"/>
                <w:szCs w:val="24"/>
                <w:highlight w:val="none"/>
                <w:lang w:val="en-US" w:eastAsia="zh-CN"/>
              </w:rPr>
              <w:t>吸污车收集后，运至饶河县西林子乡污水处理站</w:t>
            </w:r>
            <w:r>
              <w:rPr>
                <w:rFonts w:hint="eastAsia" w:ascii="Times New Roman" w:hAnsi="Times New Roman" w:cs="Times New Roman"/>
                <w:color w:val="auto"/>
                <w:sz w:val="24"/>
                <w:szCs w:val="24"/>
                <w:highlight w:val="none"/>
                <w:lang w:val="en-US" w:eastAsia="zh-CN"/>
              </w:rPr>
              <w:t>。</w:t>
            </w:r>
          </w:p>
          <w:p w14:paraId="45386A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eastAsia" w:ascii="Times New Roman" w:hAnsi="Times New Roman" w:cs="Times New Roman"/>
                <w:b w:val="0"/>
                <w:bCs w:val="0"/>
                <w:color w:val="auto"/>
                <w:kern w:val="0"/>
                <w:sz w:val="24"/>
                <w:szCs w:val="24"/>
                <w:highlight w:val="none"/>
                <w:lang w:val="en-US" w:eastAsia="zh-CN"/>
              </w:rPr>
              <w:t>2.</w:t>
            </w:r>
            <w:r>
              <w:rPr>
                <w:rFonts w:hint="eastAsia" w:ascii="Times New Roman" w:hAnsi="Times New Roman" w:cs="Times New Roman"/>
                <w:color w:val="auto"/>
                <w:kern w:val="0"/>
                <w:sz w:val="24"/>
                <w:szCs w:val="24"/>
                <w:highlight w:val="none"/>
                <w:lang w:val="en-US" w:eastAsia="zh-CN"/>
              </w:rPr>
              <w:t>锅炉排污水</w:t>
            </w:r>
            <w:r>
              <w:rPr>
                <w:rFonts w:hint="eastAsia" w:cs="Times New Roman"/>
                <w:color w:val="auto"/>
                <w:kern w:val="0"/>
                <w:sz w:val="24"/>
                <w:szCs w:val="24"/>
                <w:highlight w:val="none"/>
                <w:lang w:val="en-US" w:eastAsia="zh-CN"/>
              </w:rPr>
              <w:t>及软化处理废水</w:t>
            </w:r>
          </w:p>
          <w:p w14:paraId="3F6DB7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bCs/>
                <w:color w:val="auto"/>
                <w:sz w:val="24"/>
                <w:szCs w:val="24"/>
                <w:highlight w:val="none"/>
              </w:rPr>
              <w:t>根据</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bCs/>
                <w:color w:val="auto"/>
                <w:sz w:val="24"/>
                <w:szCs w:val="24"/>
                <w:highlight w:val="none"/>
              </w:rPr>
              <w:t>排放源统计调查产排污核算方法和系数手册</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bCs/>
                <w:color w:val="auto"/>
                <w:sz w:val="24"/>
                <w:szCs w:val="24"/>
                <w:highlight w:val="none"/>
              </w:rPr>
              <w:t>工业锅炉（热力生产和供应行业）产排污系数，</w:t>
            </w:r>
            <w:r>
              <w:rPr>
                <w:rFonts w:hint="eastAsia" w:ascii="Times New Roman" w:hAnsi="Times New Roman" w:eastAsia="宋体" w:cs="Times New Roman"/>
                <w:bCs/>
                <w:color w:val="auto"/>
                <w:sz w:val="24"/>
                <w:szCs w:val="24"/>
                <w:highlight w:val="none"/>
                <w:lang w:val="en-US" w:eastAsia="zh-CN"/>
              </w:rPr>
              <w:t>生物质燃料全部类型锅炉（锅炉外水处理）；所有规模；化学需氧量（COD</w:t>
            </w:r>
            <w:r>
              <w:rPr>
                <w:rFonts w:hint="eastAsia" w:ascii="Times New Roman" w:hAnsi="Times New Roman" w:cs="Times New Roman"/>
                <w:b w:val="0"/>
                <w:bCs w:val="0"/>
                <w:color w:val="auto"/>
                <w:kern w:val="0"/>
                <w:sz w:val="24"/>
                <w:szCs w:val="24"/>
                <w:highlight w:val="none"/>
                <w:vertAlign w:val="subscript"/>
                <w:lang w:val="en-US" w:eastAsia="zh-CN"/>
              </w:rPr>
              <w:t>Cr</w:t>
            </w:r>
            <w:r>
              <w:rPr>
                <w:rFonts w:hint="eastAsia" w:ascii="Times New Roman" w:hAnsi="Times New Roman" w:eastAsia="宋体" w:cs="Times New Roman"/>
                <w:bCs/>
                <w:color w:val="auto"/>
                <w:sz w:val="24"/>
                <w:szCs w:val="24"/>
                <w:highlight w:val="none"/>
                <w:lang w:val="en-US" w:eastAsia="zh-CN"/>
              </w:rPr>
              <w:t>）产物系数为30克/吨-原料，项目</w:t>
            </w:r>
            <w:r>
              <w:rPr>
                <w:rFonts w:hint="eastAsia" w:cs="Times New Roman"/>
                <w:bCs/>
                <w:color w:val="auto"/>
                <w:sz w:val="24"/>
                <w:szCs w:val="24"/>
                <w:highlight w:val="none"/>
                <w:lang w:val="en-US" w:eastAsia="zh-CN"/>
              </w:rPr>
              <w:t>实际运行</w:t>
            </w:r>
            <w:r>
              <w:rPr>
                <w:rFonts w:hint="eastAsia" w:ascii="Times New Roman" w:hAnsi="Times New Roman" w:eastAsia="宋体" w:cs="Times New Roman"/>
                <w:bCs/>
                <w:color w:val="auto"/>
                <w:sz w:val="24"/>
                <w:szCs w:val="24"/>
                <w:highlight w:val="none"/>
                <w:lang w:val="en-US" w:eastAsia="zh-CN"/>
              </w:rPr>
              <w:t>1台</w:t>
            </w:r>
            <w:r>
              <w:rPr>
                <w:rFonts w:hint="eastAsia" w:cs="Times New Roman"/>
                <w:bCs/>
                <w:color w:val="auto"/>
                <w:sz w:val="24"/>
                <w:szCs w:val="24"/>
                <w:highlight w:val="none"/>
                <w:lang w:val="en-US" w:eastAsia="zh-CN"/>
              </w:rPr>
              <w:t>5.6MW生物质承压热水锅炉</w:t>
            </w:r>
            <w:r>
              <w:rPr>
                <w:rFonts w:hint="eastAsia" w:ascii="Times New Roman" w:hAnsi="Times New Roman" w:eastAsia="宋体" w:cs="Times New Roman"/>
                <w:bCs/>
                <w:color w:val="auto"/>
                <w:sz w:val="24"/>
                <w:szCs w:val="24"/>
                <w:highlight w:val="none"/>
                <w:lang w:val="en-US" w:eastAsia="zh-CN"/>
              </w:rPr>
              <w:t>燃料使用量为</w:t>
            </w:r>
            <w:r>
              <w:rPr>
                <w:rFonts w:hint="eastAsia"/>
                <w:color w:val="auto"/>
                <w:sz w:val="24"/>
                <w:szCs w:val="24"/>
                <w:highlight w:val="none"/>
                <w:lang w:val="en-US" w:eastAsia="zh-CN"/>
              </w:rPr>
              <w:t>6219</w:t>
            </w:r>
            <w:r>
              <w:rPr>
                <w:rFonts w:hint="eastAsia" w:ascii="Times New Roman" w:hAnsi="Times New Roman" w:eastAsia="宋体" w:cs="Times New Roman"/>
                <w:bCs/>
                <w:color w:val="auto"/>
                <w:sz w:val="24"/>
                <w:szCs w:val="24"/>
                <w:highlight w:val="none"/>
                <w:lang w:val="en-US" w:eastAsia="zh-CN"/>
              </w:rPr>
              <w:t>t/a，则COD</w:t>
            </w:r>
            <w:r>
              <w:rPr>
                <w:rFonts w:hint="eastAsia" w:ascii="Times New Roman" w:hAnsi="Times New Roman" w:cs="Times New Roman"/>
                <w:b w:val="0"/>
                <w:bCs w:val="0"/>
                <w:color w:val="auto"/>
                <w:kern w:val="0"/>
                <w:sz w:val="24"/>
                <w:szCs w:val="24"/>
                <w:highlight w:val="none"/>
                <w:vertAlign w:val="subscript"/>
                <w:lang w:val="en-US" w:eastAsia="zh-CN"/>
              </w:rPr>
              <w:t>Cr</w:t>
            </w:r>
            <w:r>
              <w:rPr>
                <w:rFonts w:hint="eastAsia" w:ascii="Times New Roman" w:hAnsi="Times New Roman" w:eastAsia="宋体" w:cs="Times New Roman"/>
                <w:bCs/>
                <w:color w:val="auto"/>
                <w:sz w:val="24"/>
                <w:szCs w:val="24"/>
                <w:highlight w:val="none"/>
                <w:lang w:val="en-US" w:eastAsia="zh-CN"/>
              </w:rPr>
              <w:t>产生量为0.</w:t>
            </w:r>
            <w:r>
              <w:rPr>
                <w:rFonts w:hint="eastAsia" w:cs="Times New Roman"/>
                <w:bCs/>
                <w:color w:val="auto"/>
                <w:sz w:val="24"/>
                <w:szCs w:val="24"/>
                <w:highlight w:val="none"/>
                <w:lang w:val="en-US" w:eastAsia="zh-CN"/>
              </w:rPr>
              <w:t>187</w:t>
            </w:r>
            <w:r>
              <w:rPr>
                <w:rFonts w:hint="eastAsia" w:ascii="Times New Roman" w:hAnsi="Times New Roman" w:eastAsia="宋体" w:cs="Times New Roman"/>
                <w:bCs/>
                <w:color w:val="auto"/>
                <w:sz w:val="24"/>
                <w:szCs w:val="24"/>
                <w:highlight w:val="none"/>
                <w:lang w:val="en-US" w:eastAsia="zh-CN"/>
              </w:rPr>
              <w:t>t/a。由于</w:t>
            </w:r>
            <w:r>
              <w:rPr>
                <w:rFonts w:hint="eastAsia" w:ascii="Times New Roman" w:hAnsi="Times New Roman" w:cs="Times New Roman"/>
                <w:color w:val="auto"/>
                <w:kern w:val="0"/>
                <w:sz w:val="24"/>
                <w:szCs w:val="24"/>
                <w:highlight w:val="none"/>
                <w:lang w:val="en-US" w:eastAsia="zh-CN"/>
              </w:rPr>
              <w:t>锅炉排污水</w:t>
            </w:r>
            <w:r>
              <w:rPr>
                <w:rFonts w:hint="eastAsia" w:cs="Times New Roman"/>
                <w:color w:val="auto"/>
                <w:kern w:val="0"/>
                <w:sz w:val="24"/>
                <w:szCs w:val="24"/>
                <w:highlight w:val="none"/>
                <w:lang w:val="en-US" w:eastAsia="zh-CN"/>
              </w:rPr>
              <w:t>及软化处理废水</w:t>
            </w:r>
            <w:r>
              <w:rPr>
                <w:rFonts w:hint="eastAsia" w:ascii="Times New Roman" w:hAnsi="Times New Roman" w:eastAsia="宋体" w:cs="Times New Roman"/>
                <w:bCs/>
                <w:color w:val="auto"/>
                <w:sz w:val="24"/>
                <w:szCs w:val="24"/>
                <w:highlight w:val="none"/>
                <w:lang w:val="en-US" w:eastAsia="zh-CN"/>
              </w:rPr>
              <w:t>量为</w:t>
            </w:r>
            <w:r>
              <w:rPr>
                <w:rFonts w:hint="eastAsia" w:cs="Times New Roman" w:eastAsiaTheme="minorEastAsia"/>
                <w:bCs/>
                <w:color w:val="auto"/>
                <w:sz w:val="24"/>
                <w:highlight w:val="none"/>
                <w:lang w:val="en-US" w:eastAsia="zh-CN"/>
              </w:rPr>
              <w:t>2214</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rPr>
              <w:t>/a</w:t>
            </w:r>
            <w:r>
              <w:rPr>
                <w:rFonts w:hint="eastAsia"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则COD</w:t>
            </w:r>
            <w:r>
              <w:rPr>
                <w:rFonts w:hint="eastAsia" w:ascii="Times New Roman" w:hAnsi="Times New Roman" w:eastAsia="宋体" w:cs="Times New Roman"/>
                <w:color w:val="auto"/>
                <w:kern w:val="0"/>
                <w:sz w:val="24"/>
                <w:szCs w:val="24"/>
                <w:highlight w:val="none"/>
                <w:vertAlign w:val="subscript"/>
                <w:lang w:val="en-US" w:eastAsia="zh-CN"/>
              </w:rPr>
              <w:t>Cr</w:t>
            </w:r>
            <w:r>
              <w:rPr>
                <w:rFonts w:hint="eastAsia" w:ascii="Times New Roman" w:hAnsi="Times New Roman" w:eastAsia="宋体" w:cs="Times New Roman"/>
                <w:color w:val="auto"/>
                <w:kern w:val="0"/>
                <w:sz w:val="24"/>
                <w:szCs w:val="24"/>
                <w:highlight w:val="none"/>
                <w:lang w:val="en-US" w:eastAsia="zh-CN"/>
              </w:rPr>
              <w:t>产生浓度为8</w:t>
            </w:r>
            <w:r>
              <w:rPr>
                <w:rFonts w:hint="eastAsia" w:cs="Times New Roman"/>
                <w:color w:val="auto"/>
                <w:kern w:val="0"/>
                <w:sz w:val="24"/>
                <w:szCs w:val="24"/>
                <w:highlight w:val="none"/>
                <w:lang w:val="en-US" w:eastAsia="zh-CN"/>
              </w:rPr>
              <w:t>4</w:t>
            </w:r>
            <w:r>
              <w:rPr>
                <w:rFonts w:hint="eastAsia"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46</w:t>
            </w:r>
            <w:r>
              <w:rPr>
                <w:rFonts w:hint="default" w:ascii="Times New Roman" w:hAnsi="Times New Roman" w:eastAsia="宋体" w:cs="Times New Roman"/>
                <w:color w:val="auto"/>
                <w:kern w:val="0"/>
                <w:sz w:val="24"/>
                <w:szCs w:val="24"/>
                <w:highlight w:val="none"/>
                <w:lang w:val="en-US" w:eastAsia="zh-CN"/>
              </w:rPr>
              <w:t>mg/L</w:t>
            </w:r>
            <w:r>
              <w:rPr>
                <w:rFonts w:hint="eastAsia" w:ascii="Times New Roman" w:hAnsi="Times New Roman" w:eastAsia="宋体" w:cs="Times New Roman"/>
                <w:color w:val="auto"/>
                <w:kern w:val="0"/>
                <w:sz w:val="24"/>
                <w:szCs w:val="24"/>
                <w:highlight w:val="none"/>
                <w:lang w:val="en-US" w:eastAsia="zh-CN"/>
              </w:rPr>
              <w:t>。溶解性总固体（TDS）产生浓度取值800</w:t>
            </w:r>
            <w:r>
              <w:rPr>
                <w:rFonts w:hint="default" w:ascii="Times New Roman" w:hAnsi="Times New Roman" w:eastAsia="宋体" w:cs="Times New Roman"/>
                <w:color w:val="auto"/>
                <w:kern w:val="0"/>
                <w:sz w:val="24"/>
                <w:szCs w:val="24"/>
                <w:highlight w:val="none"/>
                <w:lang w:val="en-US" w:eastAsia="zh-CN"/>
              </w:rPr>
              <w:t>mg/L</w:t>
            </w:r>
            <w:r>
              <w:rPr>
                <w:rFonts w:hint="eastAsia" w:ascii="Times New Roman" w:hAnsi="Times New Roman" w:eastAsia="宋体" w:cs="Times New Roman"/>
                <w:color w:val="auto"/>
                <w:kern w:val="0"/>
                <w:sz w:val="24"/>
                <w:szCs w:val="24"/>
                <w:highlight w:val="none"/>
                <w:lang w:val="en-US" w:eastAsia="zh-CN"/>
              </w:rPr>
              <w:t>。</w:t>
            </w:r>
            <w:r>
              <w:rPr>
                <w:rFonts w:hint="eastAsia"/>
                <w:color w:val="auto"/>
                <w:sz w:val="24"/>
                <w:szCs w:val="24"/>
                <w:highlight w:val="none"/>
                <w:lang w:val="en-US" w:eastAsia="zh-CN"/>
              </w:rPr>
              <w:t>锅炉排污水及软化处理废水</w:t>
            </w:r>
            <w:r>
              <w:rPr>
                <w:rFonts w:hint="eastAsia" w:cs="Times New Roman"/>
                <w:color w:val="auto"/>
                <w:kern w:val="0"/>
                <w:sz w:val="24"/>
                <w:szCs w:val="24"/>
                <w:highlight w:val="none"/>
                <w:lang w:val="en-US" w:eastAsia="zh-CN"/>
              </w:rPr>
              <w:t>213</w:t>
            </w:r>
            <w:r>
              <w:rPr>
                <w:rFonts w:hint="default" w:ascii="Times New Roman" w:hAnsi="Times New Roman" w:eastAsia="宋体" w:cs="Times New Roman"/>
                <w:color w:val="auto"/>
                <w:kern w:val="0"/>
                <w:sz w:val="24"/>
                <w:szCs w:val="24"/>
                <w:highlight w:val="none"/>
                <w:lang w:val="en-US" w:eastAsia="zh-CN"/>
              </w:rPr>
              <w:t>m</w:t>
            </w:r>
            <w:r>
              <w:rPr>
                <w:rFonts w:hint="default"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rPr>
              <w:t>/a</w:t>
            </w:r>
            <w:r>
              <w:rPr>
                <w:rFonts w:hint="eastAsia" w:cs="Times New Roman"/>
                <w:color w:val="auto"/>
                <w:kern w:val="0"/>
                <w:sz w:val="24"/>
                <w:szCs w:val="24"/>
                <w:highlight w:val="none"/>
                <w:lang w:val="en-US" w:eastAsia="zh-CN"/>
              </w:rPr>
              <w:t>用于洒水抑尘</w:t>
            </w:r>
            <w:r>
              <w:rPr>
                <w:rFonts w:hint="eastAsia"/>
                <w:color w:val="auto"/>
                <w:sz w:val="24"/>
                <w:szCs w:val="24"/>
                <w:highlight w:val="none"/>
                <w:lang w:val="en-US" w:eastAsia="zh-CN"/>
              </w:rPr>
              <w:t>；</w:t>
            </w:r>
            <w:r>
              <w:rPr>
                <w:rFonts w:hint="eastAsia" w:cs="Times New Roman" w:eastAsiaTheme="minorEastAsia"/>
                <w:bCs/>
                <w:color w:val="auto"/>
                <w:sz w:val="24"/>
                <w:highlight w:val="none"/>
                <w:lang w:val="en-US" w:eastAsia="zh-CN"/>
              </w:rPr>
              <w:t>2001</w:t>
            </w:r>
            <w:r>
              <w:rPr>
                <w:rFonts w:hint="default" w:ascii="Times New Roman" w:hAnsi="Times New Roman" w:eastAsia="宋体" w:cs="Times New Roman"/>
                <w:color w:val="auto"/>
                <w:kern w:val="0"/>
                <w:sz w:val="24"/>
                <w:szCs w:val="24"/>
                <w:highlight w:val="none"/>
                <w:lang w:val="en-US" w:eastAsia="zh-CN"/>
              </w:rPr>
              <w:t>m</w:t>
            </w:r>
            <w:r>
              <w:rPr>
                <w:rFonts w:hint="default"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rPr>
              <w:t>/a</w:t>
            </w:r>
            <w:r>
              <w:rPr>
                <w:rFonts w:hint="eastAsia" w:ascii="Times New Roman" w:hAnsi="Times New Roman" w:cs="Times New Roman"/>
                <w:color w:val="auto"/>
                <w:sz w:val="24"/>
                <w:szCs w:val="24"/>
                <w:highlight w:val="none"/>
                <w:lang w:val="en-US" w:eastAsia="zh-CN"/>
              </w:rPr>
              <w:t>排入厂区化粪池，通过10吨</w:t>
            </w:r>
            <w:r>
              <w:rPr>
                <w:rFonts w:hint="default" w:ascii="Times New Roman" w:hAnsi="Times New Roman" w:cs="Times New Roman"/>
                <w:color w:val="auto"/>
                <w:sz w:val="24"/>
                <w:szCs w:val="24"/>
                <w:highlight w:val="none"/>
                <w:lang w:val="en-US" w:eastAsia="zh-CN"/>
              </w:rPr>
              <w:t>吸污车收集后，运至饶河县西林子乡污水处理站</w:t>
            </w:r>
            <w:r>
              <w:rPr>
                <w:rFonts w:hint="eastAsia" w:ascii="Times New Roman" w:hAnsi="Times New Roman" w:cs="Times New Roman"/>
                <w:color w:val="auto"/>
                <w:sz w:val="24"/>
                <w:szCs w:val="24"/>
                <w:highlight w:val="none"/>
                <w:lang w:val="en-US" w:eastAsia="zh-CN"/>
              </w:rPr>
              <w:t>。</w:t>
            </w:r>
          </w:p>
          <w:p w14:paraId="3B749483">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kern w:val="0"/>
                <w:sz w:val="24"/>
                <w:szCs w:val="24"/>
                <w:highlight w:val="none"/>
                <w:lang w:val="en-US" w:eastAsia="zh-CN"/>
              </w:rPr>
            </w:pPr>
            <w:r>
              <w:rPr>
                <w:rFonts w:hint="eastAsia" w:ascii="Times New Roman" w:hAnsi="Times New Roman" w:eastAsia="宋体" w:cs="Times New Roman"/>
                <w:b/>
                <w:bCs/>
                <w:color w:val="auto"/>
                <w:kern w:val="0"/>
                <w:sz w:val="24"/>
                <w:szCs w:val="24"/>
                <w:highlight w:val="none"/>
                <w:lang w:val="en-US" w:eastAsia="zh-CN"/>
              </w:rPr>
              <w:t>（三）废水排放情况</w:t>
            </w:r>
          </w:p>
          <w:p w14:paraId="48369D19">
            <w:pPr>
              <w:pStyle w:val="57"/>
              <w:bidi w:val="0"/>
              <w:rPr>
                <w:rFonts w:hint="eastAsia"/>
                <w:lang w:val="en-US" w:eastAsia="zh-CN"/>
              </w:rPr>
            </w:pPr>
            <w:r>
              <w:rPr>
                <w:rFonts w:hint="eastAsia"/>
                <w:lang w:val="en-US" w:eastAsia="zh-CN"/>
              </w:rPr>
              <w:t>主要废水为生活污水、锅炉排污水及软化处理废水。</w:t>
            </w:r>
          </w:p>
          <w:p w14:paraId="5A36655D">
            <w:pPr>
              <w:pStyle w:val="57"/>
              <w:bidi w:val="0"/>
              <w:rPr>
                <w:rFonts w:hint="eastAsia"/>
                <w:lang w:val="en-US" w:eastAsia="zh-CN"/>
              </w:rPr>
            </w:pPr>
            <w:r>
              <w:rPr>
                <w:rFonts w:hint="eastAsia"/>
                <w:lang w:val="en-US" w:eastAsia="zh-CN"/>
              </w:rPr>
              <w:t>锅炉排污水及软化处理废水：锅炉排污水及软化处理废水少量用于灰渣转运、储存进行洒水抑尘。</w:t>
            </w:r>
          </w:p>
          <w:p w14:paraId="674E24CB">
            <w:pPr>
              <w:pStyle w:val="57"/>
              <w:bidi w:val="0"/>
              <w:rPr>
                <w:rFonts w:hint="eastAsia"/>
                <w:lang w:val="en-US" w:eastAsia="zh-CN"/>
              </w:rPr>
            </w:pPr>
            <w:r>
              <w:rPr>
                <w:rFonts w:hint="eastAsia"/>
                <w:lang w:val="en-US" w:eastAsia="zh-CN"/>
              </w:rPr>
              <w:t>综合废水：生活污水、锅炉排污水及软化处理废水排入厂区化粪池，化粪池出水水质符合《污水综合排放标准》（GB8978-1996）表4中三级标准，通过10吨吸污车收集后，运至饶河县西林子乡污水处理站，污水处理站出水水质达到《城镇污水处理厂污染物排放标准》（GB18918-2002）及修改单中一级A标准，排入小安河。</w:t>
            </w:r>
          </w:p>
          <w:p w14:paraId="03901D3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表4-</w:t>
            </w:r>
            <w:r>
              <w:rPr>
                <w:rFonts w:hint="eastAsia" w:cs="Times New Roman"/>
                <w:b/>
                <w:bCs/>
                <w:color w:val="auto"/>
                <w:sz w:val="21"/>
                <w:szCs w:val="21"/>
                <w:highlight w:val="none"/>
                <w:lang w:val="en-US" w:eastAsia="zh-CN"/>
              </w:rPr>
              <w:t>8</w:t>
            </w:r>
            <w:r>
              <w:rPr>
                <w:rFonts w:hint="default" w:ascii="Times New Roman" w:hAnsi="Times New Roman" w:eastAsia="宋体" w:cs="Times New Roman"/>
                <w:b/>
                <w:bCs/>
                <w:color w:val="auto"/>
                <w:sz w:val="21"/>
                <w:szCs w:val="21"/>
                <w:highlight w:val="none"/>
                <w:lang w:val="en-US" w:eastAsia="zh-CN"/>
              </w:rPr>
              <w:t xml:space="preserve">  水污染源情况一览表</w:t>
            </w:r>
          </w:p>
          <w:tbl>
            <w:tblPr>
              <w:tblStyle w:val="21"/>
              <w:tblW w:w="4997"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5"/>
              <w:gridCol w:w="505"/>
              <w:gridCol w:w="612"/>
              <w:gridCol w:w="746"/>
              <w:gridCol w:w="427"/>
              <w:gridCol w:w="646"/>
              <w:gridCol w:w="671"/>
              <w:gridCol w:w="729"/>
              <w:gridCol w:w="1186"/>
              <w:gridCol w:w="382"/>
              <w:gridCol w:w="336"/>
              <w:gridCol w:w="620"/>
              <w:gridCol w:w="616"/>
              <w:gridCol w:w="655"/>
              <w:gridCol w:w="330"/>
            </w:tblGrid>
            <w:tr w14:paraId="734CBC2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5" w:type="dxa"/>
                  <w:vMerge w:val="restart"/>
                  <w:tcBorders>
                    <w:tl2br w:val="nil"/>
                    <w:tr2bl w:val="nil"/>
                  </w:tcBorders>
                  <w:noWrap w:val="0"/>
                  <w:vAlign w:val="center"/>
                </w:tcPr>
                <w:p w14:paraId="7932FD0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bCs/>
                      <w:i w:val="0"/>
                      <w:iCs w:val="0"/>
                      <w:color w:val="auto"/>
                      <w:spacing w:val="0"/>
                      <w:sz w:val="18"/>
                      <w:szCs w:val="18"/>
                      <w:highlight w:val="none"/>
                      <w:vertAlign w:val="baseline"/>
                      <w:lang w:val="en-US"/>
                    </w:rPr>
                  </w:pPr>
                  <w:r>
                    <w:rPr>
                      <w:rFonts w:hint="default" w:ascii="Times New Roman" w:hAnsi="Times New Roman" w:eastAsia="宋体" w:cs="Times New Roman"/>
                      <w:b/>
                      <w:bCs/>
                      <w:i w:val="0"/>
                      <w:iCs w:val="0"/>
                      <w:color w:val="auto"/>
                      <w:spacing w:val="0"/>
                      <w:kern w:val="0"/>
                      <w:sz w:val="18"/>
                      <w:szCs w:val="18"/>
                      <w:highlight w:val="none"/>
                      <w:lang w:val="en-US" w:eastAsia="zh-CN"/>
                    </w:rPr>
                    <w:t>工序</w:t>
                  </w:r>
                </w:p>
              </w:tc>
              <w:tc>
                <w:tcPr>
                  <w:tcW w:w="505" w:type="dxa"/>
                  <w:vMerge w:val="restart"/>
                  <w:tcBorders>
                    <w:tl2br w:val="nil"/>
                    <w:tr2bl w:val="nil"/>
                  </w:tcBorders>
                  <w:noWrap w:val="0"/>
                  <w:vAlign w:val="center"/>
                </w:tcPr>
                <w:p w14:paraId="17941D2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bCs/>
                      <w:i w:val="0"/>
                      <w:iCs w:val="0"/>
                      <w:color w:val="auto"/>
                      <w:spacing w:val="0"/>
                      <w:sz w:val="18"/>
                      <w:szCs w:val="18"/>
                      <w:highlight w:val="none"/>
                      <w:vertAlign w:val="baseline"/>
                      <w:lang w:eastAsia="zh-CN"/>
                    </w:rPr>
                  </w:pPr>
                  <w:r>
                    <w:rPr>
                      <w:rFonts w:hint="default" w:ascii="Times New Roman" w:hAnsi="Times New Roman" w:eastAsia="宋体" w:cs="Times New Roman"/>
                      <w:b/>
                      <w:bCs/>
                      <w:i w:val="0"/>
                      <w:iCs w:val="0"/>
                      <w:color w:val="auto"/>
                      <w:spacing w:val="0"/>
                      <w:kern w:val="0"/>
                      <w:sz w:val="18"/>
                      <w:szCs w:val="18"/>
                      <w:highlight w:val="none"/>
                      <w:lang w:val="en-US" w:eastAsia="zh-CN"/>
                    </w:rPr>
                    <w:t>装置</w:t>
                  </w:r>
                </w:p>
              </w:tc>
              <w:tc>
                <w:tcPr>
                  <w:tcW w:w="612" w:type="dxa"/>
                  <w:vMerge w:val="restart"/>
                  <w:tcBorders>
                    <w:tl2br w:val="nil"/>
                    <w:tr2bl w:val="nil"/>
                  </w:tcBorders>
                  <w:noWrap w:val="0"/>
                  <w:vAlign w:val="center"/>
                </w:tcPr>
                <w:p w14:paraId="6C1D9AD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bCs/>
                      <w:i w:val="0"/>
                      <w:iCs w:val="0"/>
                      <w:color w:val="auto"/>
                      <w:spacing w:val="0"/>
                      <w:kern w:val="0"/>
                      <w:sz w:val="18"/>
                      <w:szCs w:val="18"/>
                      <w:highlight w:val="none"/>
                      <w:lang w:val="en-US" w:eastAsia="zh-CN"/>
                    </w:rPr>
                  </w:pPr>
                  <w:r>
                    <w:rPr>
                      <w:rFonts w:hint="default" w:ascii="Times New Roman" w:hAnsi="Times New Roman" w:cs="Times New Roman"/>
                      <w:b/>
                      <w:bCs/>
                      <w:i w:val="0"/>
                      <w:iCs w:val="0"/>
                      <w:color w:val="auto"/>
                      <w:spacing w:val="0"/>
                      <w:kern w:val="0"/>
                      <w:sz w:val="18"/>
                      <w:szCs w:val="18"/>
                      <w:highlight w:val="none"/>
                      <w:lang w:val="en-US" w:eastAsia="zh-CN"/>
                    </w:rPr>
                    <w:t>污染源</w:t>
                  </w:r>
                </w:p>
              </w:tc>
              <w:tc>
                <w:tcPr>
                  <w:tcW w:w="746" w:type="dxa"/>
                  <w:vMerge w:val="restart"/>
                  <w:tcBorders>
                    <w:tl2br w:val="nil"/>
                    <w:tr2bl w:val="nil"/>
                  </w:tcBorders>
                  <w:noWrap w:val="0"/>
                  <w:vAlign w:val="center"/>
                </w:tcPr>
                <w:p w14:paraId="140F4B8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bCs/>
                      <w:i w:val="0"/>
                      <w:iCs w:val="0"/>
                      <w:color w:val="auto"/>
                      <w:spacing w:val="0"/>
                      <w:kern w:val="0"/>
                      <w:sz w:val="18"/>
                      <w:szCs w:val="18"/>
                      <w:highlight w:val="none"/>
                      <w:lang w:val="en-US" w:eastAsia="zh-CN"/>
                    </w:rPr>
                  </w:pPr>
                  <w:r>
                    <w:rPr>
                      <w:rFonts w:hint="default" w:ascii="Times New Roman" w:hAnsi="Times New Roman" w:cs="Times New Roman"/>
                      <w:b/>
                      <w:bCs/>
                      <w:i w:val="0"/>
                      <w:iCs w:val="0"/>
                      <w:color w:val="auto"/>
                      <w:spacing w:val="0"/>
                      <w:kern w:val="0"/>
                      <w:sz w:val="18"/>
                      <w:szCs w:val="18"/>
                      <w:highlight w:val="none"/>
                      <w:lang w:val="en-US" w:eastAsia="zh-CN"/>
                    </w:rPr>
                    <w:t>污染物</w:t>
                  </w:r>
                </w:p>
              </w:tc>
              <w:tc>
                <w:tcPr>
                  <w:tcW w:w="2473" w:type="dxa"/>
                  <w:gridSpan w:val="4"/>
                  <w:tcBorders>
                    <w:tl2br w:val="nil"/>
                    <w:tr2bl w:val="nil"/>
                  </w:tcBorders>
                  <w:noWrap w:val="0"/>
                  <w:vAlign w:val="center"/>
                </w:tcPr>
                <w:p w14:paraId="01DE5800">
                  <w:pPr>
                    <w:keepNext w:val="0"/>
                    <w:keepLines w:val="0"/>
                    <w:pageBreakBefore w:val="0"/>
                    <w:widowControl w:val="0"/>
                    <w:kinsoku/>
                    <w:wordWrap/>
                    <w:overflowPunct/>
                    <w:topLinePunct w:val="0"/>
                    <w:autoSpaceDE/>
                    <w:autoSpaceDN/>
                    <w:bidi w:val="0"/>
                    <w:adjustRightInd/>
                    <w:snapToGrid/>
                    <w:spacing w:line="240" w:lineRule="auto"/>
                    <w:ind w:left="0" w:leftChars="0" w:firstLine="361" w:firstLineChars="200"/>
                    <w:jc w:val="center"/>
                    <w:rPr>
                      <w:rFonts w:hint="default" w:ascii="Times New Roman" w:hAnsi="Times New Roman" w:cs="Times New Roman"/>
                      <w:b/>
                      <w:bCs/>
                      <w:i w:val="0"/>
                      <w:iCs w:val="0"/>
                      <w:color w:val="auto"/>
                      <w:spacing w:val="0"/>
                      <w:sz w:val="18"/>
                      <w:szCs w:val="18"/>
                      <w:highlight w:val="none"/>
                      <w:vertAlign w:val="baseline"/>
                    </w:rPr>
                  </w:pPr>
                  <w:r>
                    <w:rPr>
                      <w:rFonts w:hint="default" w:ascii="Times New Roman" w:hAnsi="Times New Roman" w:eastAsia="宋体" w:cs="Times New Roman"/>
                      <w:b/>
                      <w:bCs/>
                      <w:i w:val="0"/>
                      <w:iCs w:val="0"/>
                      <w:color w:val="auto"/>
                      <w:spacing w:val="0"/>
                      <w:kern w:val="0"/>
                      <w:sz w:val="18"/>
                      <w:szCs w:val="18"/>
                      <w:highlight w:val="none"/>
                      <w:lang w:eastAsia="zh-CN"/>
                    </w:rPr>
                    <w:t>污染物产生</w:t>
                  </w:r>
                </w:p>
              </w:tc>
              <w:tc>
                <w:tcPr>
                  <w:tcW w:w="1568" w:type="dxa"/>
                  <w:gridSpan w:val="2"/>
                  <w:tcBorders>
                    <w:tl2br w:val="nil"/>
                    <w:tr2bl w:val="nil"/>
                  </w:tcBorders>
                  <w:noWrap w:val="0"/>
                  <w:vAlign w:val="center"/>
                </w:tcPr>
                <w:p w14:paraId="6692908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bCs/>
                      <w:i w:val="0"/>
                      <w:iCs w:val="0"/>
                      <w:color w:val="auto"/>
                      <w:spacing w:val="0"/>
                      <w:sz w:val="18"/>
                      <w:szCs w:val="18"/>
                      <w:highlight w:val="none"/>
                      <w:vertAlign w:val="baseline"/>
                    </w:rPr>
                  </w:pPr>
                  <w:r>
                    <w:rPr>
                      <w:rFonts w:hint="default" w:ascii="Times New Roman" w:hAnsi="Times New Roman" w:eastAsia="宋体" w:cs="Times New Roman"/>
                      <w:b/>
                      <w:bCs/>
                      <w:i w:val="0"/>
                      <w:iCs w:val="0"/>
                      <w:color w:val="auto"/>
                      <w:spacing w:val="0"/>
                      <w:kern w:val="0"/>
                      <w:sz w:val="18"/>
                      <w:szCs w:val="18"/>
                      <w:highlight w:val="none"/>
                      <w:lang w:eastAsia="zh-CN"/>
                    </w:rPr>
                    <w:t>治理措施</w:t>
                  </w:r>
                </w:p>
              </w:tc>
              <w:tc>
                <w:tcPr>
                  <w:tcW w:w="2227" w:type="dxa"/>
                  <w:gridSpan w:val="4"/>
                  <w:tcBorders>
                    <w:tl2br w:val="nil"/>
                    <w:tr2bl w:val="nil"/>
                  </w:tcBorders>
                  <w:noWrap w:val="0"/>
                  <w:vAlign w:val="center"/>
                </w:tcPr>
                <w:p w14:paraId="146F3D5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bCs/>
                      <w:i w:val="0"/>
                      <w:iCs w:val="0"/>
                      <w:color w:val="auto"/>
                      <w:spacing w:val="0"/>
                      <w:sz w:val="18"/>
                      <w:szCs w:val="18"/>
                      <w:highlight w:val="none"/>
                      <w:vertAlign w:val="baseline"/>
                    </w:rPr>
                  </w:pPr>
                  <w:r>
                    <w:rPr>
                      <w:rFonts w:hint="default" w:ascii="Times New Roman" w:hAnsi="Times New Roman" w:eastAsia="宋体" w:cs="Times New Roman"/>
                      <w:b/>
                      <w:bCs/>
                      <w:i w:val="0"/>
                      <w:iCs w:val="0"/>
                      <w:color w:val="auto"/>
                      <w:spacing w:val="0"/>
                      <w:kern w:val="0"/>
                      <w:sz w:val="18"/>
                      <w:szCs w:val="18"/>
                      <w:highlight w:val="none"/>
                      <w:lang w:val="en-US" w:eastAsia="zh-CN"/>
                    </w:rPr>
                    <w:t>污染物排放</w:t>
                  </w:r>
                </w:p>
              </w:tc>
              <w:tc>
                <w:tcPr>
                  <w:tcW w:w="330" w:type="dxa"/>
                  <w:vMerge w:val="restart"/>
                  <w:tcBorders>
                    <w:tl2br w:val="nil"/>
                    <w:tr2bl w:val="nil"/>
                  </w:tcBorders>
                  <w:noWrap w:val="0"/>
                  <w:vAlign w:val="center"/>
                </w:tcPr>
                <w:p w14:paraId="7EBA4F1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bCs/>
                      <w:color w:val="auto"/>
                      <w:spacing w:val="0"/>
                      <w:sz w:val="18"/>
                      <w:szCs w:val="18"/>
                      <w:highlight w:val="none"/>
                      <w:vertAlign w:val="baseline"/>
                    </w:rPr>
                  </w:pPr>
                  <w:r>
                    <w:rPr>
                      <w:rFonts w:hint="default" w:ascii="Times New Roman" w:hAnsi="Times New Roman" w:eastAsia="宋体" w:cs="Times New Roman"/>
                      <w:b/>
                      <w:bCs/>
                      <w:color w:val="auto"/>
                      <w:spacing w:val="0"/>
                      <w:kern w:val="0"/>
                      <w:sz w:val="18"/>
                      <w:szCs w:val="18"/>
                      <w:highlight w:val="none"/>
                      <w:lang w:val="en-US" w:eastAsia="zh-CN" w:bidi="ar-SA"/>
                    </w:rPr>
                    <w:t>排放时间h</w:t>
                  </w:r>
                </w:p>
              </w:tc>
            </w:tr>
            <w:tr w14:paraId="59A21FC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5" w:type="dxa"/>
                  <w:vMerge w:val="continue"/>
                  <w:tcBorders>
                    <w:tl2br w:val="nil"/>
                    <w:tr2bl w:val="nil"/>
                  </w:tcBorders>
                  <w:noWrap w:val="0"/>
                  <w:vAlign w:val="center"/>
                </w:tcPr>
                <w:p w14:paraId="01A4671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bCs/>
                      <w:i w:val="0"/>
                      <w:iCs w:val="0"/>
                      <w:color w:val="auto"/>
                      <w:spacing w:val="0"/>
                      <w:sz w:val="18"/>
                      <w:szCs w:val="18"/>
                      <w:highlight w:val="none"/>
                      <w:vertAlign w:val="baseline"/>
                    </w:rPr>
                  </w:pPr>
                </w:p>
              </w:tc>
              <w:tc>
                <w:tcPr>
                  <w:tcW w:w="505" w:type="dxa"/>
                  <w:vMerge w:val="continue"/>
                  <w:tcBorders>
                    <w:tl2br w:val="nil"/>
                    <w:tr2bl w:val="nil"/>
                  </w:tcBorders>
                  <w:noWrap w:val="0"/>
                  <w:vAlign w:val="center"/>
                </w:tcPr>
                <w:p w14:paraId="0C7017C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bCs/>
                      <w:i w:val="0"/>
                      <w:iCs w:val="0"/>
                      <w:color w:val="auto"/>
                      <w:spacing w:val="0"/>
                      <w:sz w:val="18"/>
                      <w:szCs w:val="18"/>
                      <w:highlight w:val="none"/>
                      <w:vertAlign w:val="baseline"/>
                    </w:rPr>
                  </w:pPr>
                </w:p>
              </w:tc>
              <w:tc>
                <w:tcPr>
                  <w:tcW w:w="612" w:type="dxa"/>
                  <w:vMerge w:val="continue"/>
                  <w:tcBorders>
                    <w:tl2br w:val="nil"/>
                    <w:tr2bl w:val="nil"/>
                  </w:tcBorders>
                  <w:noWrap w:val="0"/>
                  <w:vAlign w:val="center"/>
                </w:tcPr>
                <w:p w14:paraId="6AD935C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bCs/>
                      <w:i w:val="0"/>
                      <w:iCs w:val="0"/>
                      <w:color w:val="auto"/>
                      <w:spacing w:val="0"/>
                      <w:kern w:val="0"/>
                      <w:sz w:val="18"/>
                      <w:szCs w:val="18"/>
                      <w:highlight w:val="none"/>
                      <w:lang w:val="en-US" w:eastAsia="zh-CN"/>
                    </w:rPr>
                  </w:pPr>
                </w:p>
              </w:tc>
              <w:tc>
                <w:tcPr>
                  <w:tcW w:w="746" w:type="dxa"/>
                  <w:vMerge w:val="continue"/>
                  <w:tcBorders>
                    <w:tl2br w:val="nil"/>
                    <w:tr2bl w:val="nil"/>
                  </w:tcBorders>
                  <w:noWrap w:val="0"/>
                  <w:vAlign w:val="center"/>
                </w:tcPr>
                <w:p w14:paraId="32B5862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bCs/>
                      <w:i w:val="0"/>
                      <w:iCs w:val="0"/>
                      <w:color w:val="auto"/>
                      <w:spacing w:val="0"/>
                      <w:kern w:val="0"/>
                      <w:sz w:val="18"/>
                      <w:szCs w:val="18"/>
                      <w:highlight w:val="none"/>
                      <w:lang w:val="en-US" w:eastAsia="zh-CN"/>
                    </w:rPr>
                  </w:pPr>
                </w:p>
              </w:tc>
              <w:tc>
                <w:tcPr>
                  <w:tcW w:w="427" w:type="dxa"/>
                  <w:tcBorders>
                    <w:tl2br w:val="nil"/>
                    <w:tr2bl w:val="nil"/>
                  </w:tcBorders>
                  <w:noWrap w:val="0"/>
                  <w:vAlign w:val="center"/>
                </w:tcPr>
                <w:p w14:paraId="5083393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bCs/>
                      <w:i w:val="0"/>
                      <w:iCs w:val="0"/>
                      <w:color w:val="auto"/>
                      <w:spacing w:val="0"/>
                      <w:sz w:val="18"/>
                      <w:szCs w:val="18"/>
                      <w:highlight w:val="none"/>
                      <w:vertAlign w:val="baseline"/>
                    </w:rPr>
                  </w:pPr>
                  <w:r>
                    <w:rPr>
                      <w:rFonts w:hint="default" w:ascii="Times New Roman" w:hAnsi="Times New Roman" w:eastAsia="宋体" w:cs="Times New Roman"/>
                      <w:b/>
                      <w:bCs/>
                      <w:i w:val="0"/>
                      <w:iCs w:val="0"/>
                      <w:color w:val="auto"/>
                      <w:spacing w:val="0"/>
                      <w:kern w:val="0"/>
                      <w:sz w:val="18"/>
                      <w:szCs w:val="18"/>
                      <w:highlight w:val="none"/>
                      <w:lang w:eastAsia="zh-CN"/>
                    </w:rPr>
                    <w:t>核算方法</w:t>
                  </w:r>
                </w:p>
              </w:tc>
              <w:tc>
                <w:tcPr>
                  <w:tcW w:w="646" w:type="dxa"/>
                  <w:tcBorders>
                    <w:tl2br w:val="nil"/>
                    <w:tr2bl w:val="nil"/>
                  </w:tcBorders>
                  <w:noWrap w:val="0"/>
                  <w:vAlign w:val="center"/>
                </w:tcPr>
                <w:p w14:paraId="7D88BE5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bCs/>
                      <w:i w:val="0"/>
                      <w:iCs w:val="0"/>
                      <w:color w:val="auto"/>
                      <w:spacing w:val="0"/>
                      <w:kern w:val="0"/>
                      <w:sz w:val="18"/>
                      <w:szCs w:val="18"/>
                      <w:highlight w:val="none"/>
                      <w:lang w:val="en-US" w:eastAsia="zh-CN"/>
                    </w:rPr>
                  </w:pPr>
                  <w:r>
                    <w:rPr>
                      <w:rFonts w:hint="default" w:ascii="Times New Roman" w:hAnsi="Times New Roman" w:eastAsia="宋体" w:cs="Times New Roman"/>
                      <w:b/>
                      <w:bCs/>
                      <w:i w:val="0"/>
                      <w:iCs w:val="0"/>
                      <w:color w:val="auto"/>
                      <w:spacing w:val="0"/>
                      <w:kern w:val="0"/>
                      <w:sz w:val="18"/>
                      <w:szCs w:val="18"/>
                      <w:highlight w:val="none"/>
                      <w:lang w:val="en-US" w:eastAsia="zh-CN"/>
                    </w:rPr>
                    <w:t>废水产生量</w:t>
                  </w:r>
                </w:p>
                <w:p w14:paraId="6DDC674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bCs/>
                      <w:i w:val="0"/>
                      <w:iCs w:val="0"/>
                      <w:color w:val="auto"/>
                      <w:spacing w:val="0"/>
                      <w:kern w:val="0"/>
                      <w:sz w:val="18"/>
                      <w:szCs w:val="18"/>
                      <w:highlight w:val="none"/>
                      <w:lang w:val="en-US" w:eastAsia="zh-CN"/>
                    </w:rPr>
                  </w:pPr>
                  <w:r>
                    <w:rPr>
                      <w:rFonts w:hint="default" w:ascii="Times New Roman" w:hAnsi="Times New Roman" w:cs="Times New Roman"/>
                      <w:b/>
                      <w:bCs/>
                      <w:i w:val="0"/>
                      <w:iCs w:val="0"/>
                      <w:color w:val="auto"/>
                      <w:spacing w:val="0"/>
                      <w:kern w:val="0"/>
                      <w:sz w:val="18"/>
                      <w:szCs w:val="18"/>
                      <w:highlight w:val="none"/>
                      <w:lang w:val="en-US" w:eastAsia="zh-CN"/>
                    </w:rPr>
                    <w:t>m</w:t>
                  </w:r>
                  <w:r>
                    <w:rPr>
                      <w:rFonts w:hint="default" w:ascii="Times New Roman" w:hAnsi="Times New Roman" w:cs="Times New Roman"/>
                      <w:b/>
                      <w:bCs/>
                      <w:i w:val="0"/>
                      <w:iCs w:val="0"/>
                      <w:color w:val="auto"/>
                      <w:spacing w:val="0"/>
                      <w:kern w:val="0"/>
                      <w:sz w:val="18"/>
                      <w:szCs w:val="18"/>
                      <w:highlight w:val="none"/>
                      <w:vertAlign w:val="superscript"/>
                      <w:lang w:val="en-US" w:eastAsia="zh-CN"/>
                    </w:rPr>
                    <w:t>3</w:t>
                  </w:r>
                  <w:r>
                    <w:rPr>
                      <w:rFonts w:hint="default" w:ascii="Times New Roman" w:hAnsi="Times New Roman" w:cs="Times New Roman"/>
                      <w:b/>
                      <w:bCs/>
                      <w:i w:val="0"/>
                      <w:iCs w:val="0"/>
                      <w:color w:val="auto"/>
                      <w:spacing w:val="0"/>
                      <w:kern w:val="0"/>
                      <w:sz w:val="18"/>
                      <w:szCs w:val="18"/>
                      <w:highlight w:val="none"/>
                      <w:lang w:val="en-US" w:eastAsia="zh-CN"/>
                    </w:rPr>
                    <w:t>/a</w:t>
                  </w:r>
                </w:p>
              </w:tc>
              <w:tc>
                <w:tcPr>
                  <w:tcW w:w="671" w:type="dxa"/>
                  <w:tcBorders>
                    <w:tl2br w:val="nil"/>
                    <w:tr2bl w:val="nil"/>
                  </w:tcBorders>
                  <w:noWrap w:val="0"/>
                  <w:vAlign w:val="center"/>
                </w:tcPr>
                <w:p w14:paraId="7B43F0D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bCs/>
                      <w:i w:val="0"/>
                      <w:iCs w:val="0"/>
                      <w:color w:val="auto"/>
                      <w:spacing w:val="0"/>
                      <w:kern w:val="0"/>
                      <w:sz w:val="18"/>
                      <w:szCs w:val="18"/>
                      <w:highlight w:val="none"/>
                      <w:lang w:val="en-US" w:eastAsia="zh-CN"/>
                    </w:rPr>
                  </w:pPr>
                  <w:r>
                    <w:rPr>
                      <w:rFonts w:hint="default" w:ascii="Times New Roman" w:hAnsi="Times New Roman" w:eastAsia="宋体" w:cs="Times New Roman"/>
                      <w:b/>
                      <w:bCs/>
                      <w:i w:val="0"/>
                      <w:iCs w:val="0"/>
                      <w:color w:val="auto"/>
                      <w:spacing w:val="0"/>
                      <w:kern w:val="0"/>
                      <w:sz w:val="18"/>
                      <w:szCs w:val="18"/>
                      <w:highlight w:val="none"/>
                      <w:lang w:val="en-US" w:eastAsia="zh-CN"/>
                    </w:rPr>
                    <w:t>产生浓度mg/</w:t>
                  </w:r>
                  <w:r>
                    <w:rPr>
                      <w:rFonts w:hint="default" w:ascii="Times New Roman" w:hAnsi="Times New Roman" w:cs="Times New Roman"/>
                      <w:b/>
                      <w:bCs/>
                      <w:i w:val="0"/>
                      <w:iCs w:val="0"/>
                      <w:color w:val="auto"/>
                      <w:spacing w:val="0"/>
                      <w:kern w:val="0"/>
                      <w:sz w:val="18"/>
                      <w:szCs w:val="18"/>
                      <w:highlight w:val="none"/>
                      <w:lang w:val="en-US" w:eastAsia="zh-CN"/>
                    </w:rPr>
                    <w:t>L</w:t>
                  </w:r>
                </w:p>
              </w:tc>
              <w:tc>
                <w:tcPr>
                  <w:tcW w:w="729" w:type="dxa"/>
                  <w:tcBorders>
                    <w:tl2br w:val="nil"/>
                    <w:tr2bl w:val="nil"/>
                  </w:tcBorders>
                  <w:noWrap w:val="0"/>
                  <w:vAlign w:val="center"/>
                </w:tcPr>
                <w:p w14:paraId="6C9F868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bCs/>
                      <w:i w:val="0"/>
                      <w:iCs w:val="0"/>
                      <w:color w:val="auto"/>
                      <w:spacing w:val="0"/>
                      <w:sz w:val="18"/>
                      <w:szCs w:val="18"/>
                      <w:highlight w:val="none"/>
                      <w:vertAlign w:val="baseline"/>
                      <w:lang w:val="en-US"/>
                    </w:rPr>
                  </w:pPr>
                  <w:r>
                    <w:rPr>
                      <w:rFonts w:hint="default" w:ascii="Times New Roman" w:hAnsi="Times New Roman" w:eastAsia="宋体" w:cs="Times New Roman"/>
                      <w:b/>
                      <w:bCs/>
                      <w:i w:val="0"/>
                      <w:iCs w:val="0"/>
                      <w:color w:val="auto"/>
                      <w:spacing w:val="0"/>
                      <w:kern w:val="0"/>
                      <w:sz w:val="18"/>
                      <w:szCs w:val="18"/>
                      <w:highlight w:val="none"/>
                    </w:rPr>
                    <w:t>产生量</w:t>
                  </w:r>
                  <w:r>
                    <w:rPr>
                      <w:rFonts w:hint="default" w:ascii="Times New Roman" w:hAnsi="Times New Roman" w:cs="Times New Roman"/>
                      <w:b/>
                      <w:bCs/>
                      <w:i w:val="0"/>
                      <w:iCs w:val="0"/>
                      <w:color w:val="auto"/>
                      <w:spacing w:val="0"/>
                      <w:kern w:val="0"/>
                      <w:sz w:val="18"/>
                      <w:szCs w:val="18"/>
                      <w:highlight w:val="none"/>
                      <w:lang w:val="en-US" w:eastAsia="zh-CN"/>
                    </w:rPr>
                    <w:t>t/a</w:t>
                  </w:r>
                </w:p>
              </w:tc>
              <w:tc>
                <w:tcPr>
                  <w:tcW w:w="1186" w:type="dxa"/>
                  <w:tcBorders>
                    <w:tl2br w:val="nil"/>
                    <w:tr2bl w:val="nil"/>
                  </w:tcBorders>
                  <w:noWrap w:val="0"/>
                  <w:vAlign w:val="center"/>
                </w:tcPr>
                <w:p w14:paraId="7E5F620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bCs/>
                      <w:i w:val="0"/>
                      <w:iCs w:val="0"/>
                      <w:color w:val="auto"/>
                      <w:spacing w:val="0"/>
                      <w:sz w:val="18"/>
                      <w:szCs w:val="18"/>
                      <w:highlight w:val="none"/>
                      <w:vertAlign w:val="baseline"/>
                    </w:rPr>
                  </w:pPr>
                  <w:r>
                    <w:rPr>
                      <w:rFonts w:hint="default" w:ascii="Times New Roman" w:hAnsi="Times New Roman" w:eastAsia="宋体" w:cs="Times New Roman"/>
                      <w:b/>
                      <w:bCs/>
                      <w:i w:val="0"/>
                      <w:iCs w:val="0"/>
                      <w:color w:val="auto"/>
                      <w:spacing w:val="0"/>
                      <w:kern w:val="0"/>
                      <w:sz w:val="18"/>
                      <w:szCs w:val="18"/>
                      <w:highlight w:val="none"/>
                      <w:lang w:eastAsia="zh-CN"/>
                    </w:rPr>
                    <w:t>工艺</w:t>
                  </w:r>
                </w:p>
              </w:tc>
              <w:tc>
                <w:tcPr>
                  <w:tcW w:w="382" w:type="dxa"/>
                  <w:tcBorders>
                    <w:tl2br w:val="nil"/>
                    <w:tr2bl w:val="nil"/>
                  </w:tcBorders>
                  <w:noWrap w:val="0"/>
                  <w:vAlign w:val="center"/>
                </w:tcPr>
                <w:p w14:paraId="68CE295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bCs/>
                      <w:i w:val="0"/>
                      <w:iCs w:val="0"/>
                      <w:color w:val="auto"/>
                      <w:spacing w:val="0"/>
                      <w:sz w:val="18"/>
                      <w:szCs w:val="18"/>
                      <w:highlight w:val="none"/>
                      <w:vertAlign w:val="baseline"/>
                    </w:rPr>
                  </w:pPr>
                  <w:r>
                    <w:rPr>
                      <w:rFonts w:hint="default" w:ascii="Times New Roman" w:hAnsi="Times New Roman" w:eastAsia="宋体" w:cs="Times New Roman"/>
                      <w:b/>
                      <w:bCs/>
                      <w:i w:val="0"/>
                      <w:iCs w:val="0"/>
                      <w:color w:val="auto"/>
                      <w:spacing w:val="0"/>
                      <w:kern w:val="0"/>
                      <w:sz w:val="18"/>
                      <w:szCs w:val="18"/>
                      <w:highlight w:val="none"/>
                      <w:lang w:eastAsia="zh-CN"/>
                    </w:rPr>
                    <w:t>效率</w:t>
                  </w:r>
                  <w:r>
                    <w:rPr>
                      <w:rFonts w:hint="default" w:ascii="Times New Roman" w:hAnsi="Times New Roman" w:eastAsia="宋体" w:cs="Times New Roman"/>
                      <w:b/>
                      <w:bCs/>
                      <w:i w:val="0"/>
                      <w:iCs w:val="0"/>
                      <w:color w:val="auto"/>
                      <w:spacing w:val="0"/>
                      <w:kern w:val="0"/>
                      <w:sz w:val="18"/>
                      <w:szCs w:val="18"/>
                      <w:highlight w:val="none"/>
                      <w:lang w:val="en-US" w:eastAsia="zh-CN"/>
                    </w:rPr>
                    <w:t>%</w:t>
                  </w:r>
                </w:p>
              </w:tc>
              <w:tc>
                <w:tcPr>
                  <w:tcW w:w="336" w:type="dxa"/>
                  <w:tcBorders>
                    <w:tl2br w:val="nil"/>
                    <w:tr2bl w:val="nil"/>
                  </w:tcBorders>
                  <w:noWrap w:val="0"/>
                  <w:vAlign w:val="center"/>
                </w:tcPr>
                <w:p w14:paraId="3CA0A7D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bCs/>
                      <w:i w:val="0"/>
                      <w:iCs w:val="0"/>
                      <w:color w:val="auto"/>
                      <w:spacing w:val="0"/>
                      <w:sz w:val="18"/>
                      <w:szCs w:val="18"/>
                      <w:highlight w:val="none"/>
                      <w:vertAlign w:val="baseline"/>
                    </w:rPr>
                  </w:pPr>
                  <w:r>
                    <w:rPr>
                      <w:rFonts w:hint="default" w:ascii="Times New Roman" w:hAnsi="Times New Roman" w:eastAsia="宋体" w:cs="Times New Roman"/>
                      <w:b/>
                      <w:bCs/>
                      <w:i w:val="0"/>
                      <w:iCs w:val="0"/>
                      <w:color w:val="auto"/>
                      <w:spacing w:val="0"/>
                      <w:kern w:val="0"/>
                      <w:sz w:val="18"/>
                      <w:szCs w:val="18"/>
                      <w:highlight w:val="none"/>
                      <w:lang w:eastAsia="zh-CN"/>
                    </w:rPr>
                    <w:t>核算方法</w:t>
                  </w:r>
                </w:p>
              </w:tc>
              <w:tc>
                <w:tcPr>
                  <w:tcW w:w="620" w:type="dxa"/>
                  <w:tcBorders>
                    <w:tl2br w:val="nil"/>
                    <w:tr2bl w:val="nil"/>
                  </w:tcBorders>
                  <w:noWrap w:val="0"/>
                  <w:vAlign w:val="center"/>
                </w:tcPr>
                <w:p w14:paraId="62E0D72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bCs/>
                      <w:i w:val="0"/>
                      <w:iCs w:val="0"/>
                      <w:color w:val="auto"/>
                      <w:spacing w:val="0"/>
                      <w:kern w:val="0"/>
                      <w:sz w:val="18"/>
                      <w:szCs w:val="18"/>
                      <w:highlight w:val="none"/>
                      <w:lang w:val="en-US" w:eastAsia="zh-CN"/>
                    </w:rPr>
                  </w:pPr>
                  <w:r>
                    <w:rPr>
                      <w:rFonts w:hint="default" w:ascii="Times New Roman" w:hAnsi="Times New Roman" w:cs="Times New Roman"/>
                      <w:b/>
                      <w:bCs/>
                      <w:i w:val="0"/>
                      <w:iCs w:val="0"/>
                      <w:color w:val="auto"/>
                      <w:spacing w:val="0"/>
                      <w:kern w:val="0"/>
                      <w:sz w:val="18"/>
                      <w:szCs w:val="18"/>
                      <w:highlight w:val="none"/>
                      <w:lang w:val="en-US" w:eastAsia="zh-CN"/>
                    </w:rPr>
                    <w:t>废水排放</w:t>
                  </w:r>
                  <w:r>
                    <w:rPr>
                      <w:rFonts w:hint="default" w:ascii="Times New Roman" w:hAnsi="Times New Roman" w:eastAsia="宋体" w:cs="Times New Roman"/>
                      <w:b/>
                      <w:bCs/>
                      <w:i w:val="0"/>
                      <w:iCs w:val="0"/>
                      <w:color w:val="auto"/>
                      <w:spacing w:val="0"/>
                      <w:kern w:val="0"/>
                      <w:sz w:val="18"/>
                      <w:szCs w:val="18"/>
                      <w:highlight w:val="none"/>
                      <w:lang w:val="en-US" w:eastAsia="zh-CN"/>
                    </w:rPr>
                    <w:t>量</w:t>
                  </w:r>
                </w:p>
                <w:p w14:paraId="6994D01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bCs/>
                      <w:i w:val="0"/>
                      <w:iCs w:val="0"/>
                      <w:color w:val="auto"/>
                      <w:spacing w:val="0"/>
                      <w:sz w:val="18"/>
                      <w:szCs w:val="18"/>
                      <w:highlight w:val="none"/>
                      <w:vertAlign w:val="baseline"/>
                      <w:lang w:val="en-US"/>
                    </w:rPr>
                  </w:pPr>
                  <w:r>
                    <w:rPr>
                      <w:rFonts w:hint="default" w:ascii="Times New Roman" w:hAnsi="Times New Roman" w:cs="Times New Roman"/>
                      <w:b/>
                      <w:bCs/>
                      <w:i w:val="0"/>
                      <w:iCs w:val="0"/>
                      <w:color w:val="auto"/>
                      <w:spacing w:val="0"/>
                      <w:kern w:val="0"/>
                      <w:sz w:val="18"/>
                      <w:szCs w:val="18"/>
                      <w:highlight w:val="none"/>
                      <w:lang w:val="en-US" w:eastAsia="zh-CN"/>
                    </w:rPr>
                    <w:t>m</w:t>
                  </w:r>
                  <w:r>
                    <w:rPr>
                      <w:rFonts w:hint="default" w:ascii="Times New Roman" w:hAnsi="Times New Roman" w:cs="Times New Roman"/>
                      <w:b/>
                      <w:bCs/>
                      <w:i w:val="0"/>
                      <w:iCs w:val="0"/>
                      <w:color w:val="auto"/>
                      <w:spacing w:val="0"/>
                      <w:kern w:val="0"/>
                      <w:sz w:val="18"/>
                      <w:szCs w:val="18"/>
                      <w:highlight w:val="none"/>
                      <w:vertAlign w:val="superscript"/>
                      <w:lang w:val="en-US" w:eastAsia="zh-CN"/>
                    </w:rPr>
                    <w:t>3</w:t>
                  </w:r>
                  <w:r>
                    <w:rPr>
                      <w:rFonts w:hint="default" w:ascii="Times New Roman" w:hAnsi="Times New Roman" w:cs="Times New Roman"/>
                      <w:b/>
                      <w:bCs/>
                      <w:i w:val="0"/>
                      <w:iCs w:val="0"/>
                      <w:color w:val="auto"/>
                      <w:spacing w:val="0"/>
                      <w:kern w:val="0"/>
                      <w:sz w:val="18"/>
                      <w:szCs w:val="18"/>
                      <w:highlight w:val="none"/>
                      <w:lang w:val="en-US" w:eastAsia="zh-CN"/>
                    </w:rPr>
                    <w:t>/a</w:t>
                  </w:r>
                </w:p>
              </w:tc>
              <w:tc>
                <w:tcPr>
                  <w:tcW w:w="616" w:type="dxa"/>
                  <w:tcBorders>
                    <w:tl2br w:val="nil"/>
                    <w:tr2bl w:val="nil"/>
                  </w:tcBorders>
                  <w:noWrap w:val="0"/>
                  <w:vAlign w:val="center"/>
                </w:tcPr>
                <w:p w14:paraId="6466DBA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bCs/>
                      <w:i w:val="0"/>
                      <w:iCs w:val="0"/>
                      <w:color w:val="auto"/>
                      <w:spacing w:val="0"/>
                      <w:sz w:val="18"/>
                      <w:szCs w:val="18"/>
                      <w:highlight w:val="none"/>
                      <w:vertAlign w:val="baseline"/>
                      <w:lang w:val="en-US"/>
                    </w:rPr>
                  </w:pPr>
                  <w:r>
                    <w:rPr>
                      <w:rFonts w:hint="default" w:ascii="Times New Roman" w:hAnsi="Times New Roman" w:cs="Times New Roman"/>
                      <w:b/>
                      <w:bCs/>
                      <w:i w:val="0"/>
                      <w:iCs w:val="0"/>
                      <w:color w:val="auto"/>
                      <w:spacing w:val="0"/>
                      <w:kern w:val="0"/>
                      <w:sz w:val="18"/>
                      <w:szCs w:val="18"/>
                      <w:highlight w:val="none"/>
                      <w:lang w:val="en-US" w:eastAsia="zh-CN"/>
                    </w:rPr>
                    <w:t>排放</w:t>
                  </w:r>
                  <w:r>
                    <w:rPr>
                      <w:rFonts w:hint="default" w:ascii="Times New Roman" w:hAnsi="Times New Roman" w:eastAsia="宋体" w:cs="Times New Roman"/>
                      <w:b/>
                      <w:bCs/>
                      <w:i w:val="0"/>
                      <w:iCs w:val="0"/>
                      <w:color w:val="auto"/>
                      <w:spacing w:val="0"/>
                      <w:kern w:val="0"/>
                      <w:sz w:val="18"/>
                      <w:szCs w:val="18"/>
                      <w:highlight w:val="none"/>
                      <w:lang w:val="en-US" w:eastAsia="zh-CN"/>
                    </w:rPr>
                    <w:t>浓度mg/</w:t>
                  </w:r>
                  <w:r>
                    <w:rPr>
                      <w:rFonts w:hint="default" w:ascii="Times New Roman" w:hAnsi="Times New Roman" w:cs="Times New Roman"/>
                      <w:b/>
                      <w:bCs/>
                      <w:i w:val="0"/>
                      <w:iCs w:val="0"/>
                      <w:color w:val="auto"/>
                      <w:spacing w:val="0"/>
                      <w:kern w:val="0"/>
                      <w:sz w:val="18"/>
                      <w:szCs w:val="18"/>
                      <w:highlight w:val="none"/>
                      <w:lang w:val="en-US" w:eastAsia="zh-CN"/>
                    </w:rPr>
                    <w:t>L</w:t>
                  </w:r>
                </w:p>
              </w:tc>
              <w:tc>
                <w:tcPr>
                  <w:tcW w:w="655" w:type="dxa"/>
                  <w:tcBorders>
                    <w:tl2br w:val="nil"/>
                    <w:tr2bl w:val="nil"/>
                  </w:tcBorders>
                  <w:noWrap w:val="0"/>
                  <w:vAlign w:val="center"/>
                </w:tcPr>
                <w:p w14:paraId="39EFB8F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bCs/>
                      <w:i w:val="0"/>
                      <w:iCs w:val="0"/>
                      <w:color w:val="auto"/>
                      <w:spacing w:val="0"/>
                      <w:sz w:val="18"/>
                      <w:szCs w:val="18"/>
                      <w:highlight w:val="none"/>
                      <w:vertAlign w:val="baseline"/>
                      <w:lang w:val="en-US"/>
                    </w:rPr>
                  </w:pPr>
                  <w:r>
                    <w:rPr>
                      <w:rFonts w:hint="default" w:ascii="Times New Roman" w:hAnsi="Times New Roman" w:cs="Times New Roman"/>
                      <w:b/>
                      <w:bCs/>
                      <w:i w:val="0"/>
                      <w:iCs w:val="0"/>
                      <w:color w:val="auto"/>
                      <w:spacing w:val="0"/>
                      <w:kern w:val="0"/>
                      <w:sz w:val="18"/>
                      <w:szCs w:val="18"/>
                      <w:highlight w:val="none"/>
                      <w:lang w:val="en-US" w:eastAsia="zh-CN"/>
                    </w:rPr>
                    <w:t>排放</w:t>
                  </w:r>
                  <w:r>
                    <w:rPr>
                      <w:rFonts w:hint="default" w:ascii="Times New Roman" w:hAnsi="Times New Roman" w:eastAsia="宋体" w:cs="Times New Roman"/>
                      <w:b/>
                      <w:bCs/>
                      <w:i w:val="0"/>
                      <w:iCs w:val="0"/>
                      <w:color w:val="auto"/>
                      <w:spacing w:val="0"/>
                      <w:kern w:val="0"/>
                      <w:sz w:val="18"/>
                      <w:szCs w:val="18"/>
                      <w:highlight w:val="none"/>
                    </w:rPr>
                    <w:t>量</w:t>
                  </w:r>
                  <w:r>
                    <w:rPr>
                      <w:rFonts w:hint="default" w:ascii="Times New Roman" w:hAnsi="Times New Roman" w:cs="Times New Roman"/>
                      <w:b/>
                      <w:bCs/>
                      <w:i w:val="0"/>
                      <w:iCs w:val="0"/>
                      <w:color w:val="auto"/>
                      <w:spacing w:val="0"/>
                      <w:kern w:val="0"/>
                      <w:sz w:val="18"/>
                      <w:szCs w:val="18"/>
                      <w:highlight w:val="none"/>
                      <w:lang w:val="en-US" w:eastAsia="zh-CN"/>
                    </w:rPr>
                    <w:t>t/a</w:t>
                  </w:r>
                </w:p>
              </w:tc>
              <w:tc>
                <w:tcPr>
                  <w:tcW w:w="330" w:type="dxa"/>
                  <w:vMerge w:val="continue"/>
                  <w:tcBorders>
                    <w:tl2br w:val="nil"/>
                    <w:tr2bl w:val="nil"/>
                  </w:tcBorders>
                  <w:noWrap w:val="0"/>
                  <w:vAlign w:val="center"/>
                </w:tcPr>
                <w:p w14:paraId="1A369E9D">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cs="Times New Roman"/>
                      <w:b/>
                      <w:bCs/>
                      <w:color w:val="auto"/>
                      <w:spacing w:val="0"/>
                      <w:sz w:val="18"/>
                      <w:szCs w:val="18"/>
                      <w:highlight w:val="none"/>
                      <w:vertAlign w:val="baseline"/>
                    </w:rPr>
                  </w:pPr>
                </w:p>
              </w:tc>
            </w:tr>
            <w:tr w14:paraId="5CA5589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5" w:type="dxa"/>
                  <w:vMerge w:val="restart"/>
                  <w:tcBorders>
                    <w:tl2br w:val="nil"/>
                    <w:tr2bl w:val="nil"/>
                  </w:tcBorders>
                  <w:noWrap w:val="0"/>
                  <w:vAlign w:val="center"/>
                </w:tcPr>
                <w:p w14:paraId="3113443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18"/>
                      <w:szCs w:val="18"/>
                      <w:highlight w:val="none"/>
                      <w:vertAlign w:val="baseline"/>
                      <w:lang w:val="en-US" w:eastAsia="zh-CN"/>
                    </w:rPr>
                  </w:pPr>
                  <w:r>
                    <w:rPr>
                      <w:rFonts w:hint="eastAsia" w:cs="Times New Roman"/>
                      <w:b w:val="0"/>
                      <w:bCs w:val="0"/>
                      <w:i w:val="0"/>
                      <w:iCs w:val="0"/>
                      <w:color w:val="auto"/>
                      <w:spacing w:val="0"/>
                      <w:sz w:val="18"/>
                      <w:szCs w:val="18"/>
                      <w:highlight w:val="none"/>
                      <w:vertAlign w:val="baseline"/>
                      <w:lang w:val="en-US" w:eastAsia="zh-CN"/>
                    </w:rPr>
                    <w:t>员工生活区</w:t>
                  </w:r>
                </w:p>
              </w:tc>
              <w:tc>
                <w:tcPr>
                  <w:tcW w:w="505" w:type="dxa"/>
                  <w:vMerge w:val="restart"/>
                  <w:tcBorders>
                    <w:tl2br w:val="nil"/>
                    <w:tr2bl w:val="nil"/>
                  </w:tcBorders>
                  <w:noWrap w:val="0"/>
                  <w:vAlign w:val="center"/>
                </w:tcPr>
                <w:p w14:paraId="2C9A8A6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i w:val="0"/>
                      <w:iCs w:val="0"/>
                      <w:color w:val="auto"/>
                      <w:spacing w:val="0"/>
                      <w:sz w:val="18"/>
                      <w:szCs w:val="18"/>
                      <w:highlight w:val="none"/>
                      <w:vertAlign w:val="baseline"/>
                      <w:lang w:val="en-US" w:eastAsia="zh-CN"/>
                    </w:rPr>
                  </w:pPr>
                  <w:r>
                    <w:rPr>
                      <w:rFonts w:hint="eastAsia" w:cs="Times New Roman"/>
                      <w:b w:val="0"/>
                      <w:bCs w:val="0"/>
                      <w:i w:val="0"/>
                      <w:iCs w:val="0"/>
                      <w:color w:val="auto"/>
                      <w:spacing w:val="0"/>
                      <w:sz w:val="18"/>
                      <w:szCs w:val="18"/>
                      <w:highlight w:val="none"/>
                      <w:vertAlign w:val="baseline"/>
                      <w:lang w:val="en-US" w:eastAsia="zh-CN"/>
                    </w:rPr>
                    <w:t>员工生活区</w:t>
                  </w:r>
                </w:p>
              </w:tc>
              <w:tc>
                <w:tcPr>
                  <w:tcW w:w="612" w:type="dxa"/>
                  <w:vMerge w:val="restart"/>
                  <w:tcBorders>
                    <w:tl2br w:val="nil"/>
                    <w:tr2bl w:val="nil"/>
                  </w:tcBorders>
                  <w:noWrap w:val="0"/>
                  <w:vAlign w:val="center"/>
                </w:tcPr>
                <w:p w14:paraId="75B8941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18"/>
                      <w:szCs w:val="18"/>
                      <w:highlight w:val="none"/>
                      <w:lang w:val="en-US" w:eastAsia="zh-CN"/>
                    </w:rPr>
                  </w:pPr>
                  <w:r>
                    <w:rPr>
                      <w:rFonts w:hint="default" w:ascii="Times New Roman" w:hAnsi="Times New Roman" w:cs="Times New Roman"/>
                      <w:b w:val="0"/>
                      <w:bCs w:val="0"/>
                      <w:i w:val="0"/>
                      <w:iCs w:val="0"/>
                      <w:color w:val="auto"/>
                      <w:spacing w:val="0"/>
                      <w:kern w:val="0"/>
                      <w:sz w:val="18"/>
                      <w:szCs w:val="18"/>
                      <w:highlight w:val="none"/>
                      <w:lang w:val="en-US" w:eastAsia="zh-CN"/>
                    </w:rPr>
                    <w:t>生活污水</w:t>
                  </w:r>
                </w:p>
              </w:tc>
              <w:tc>
                <w:tcPr>
                  <w:tcW w:w="746" w:type="dxa"/>
                  <w:tcBorders>
                    <w:tl2br w:val="nil"/>
                    <w:tr2bl w:val="nil"/>
                  </w:tcBorders>
                  <w:noWrap w:val="0"/>
                  <w:vAlign w:val="center"/>
                </w:tcPr>
                <w:p w14:paraId="06A613B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pH</w:t>
                  </w:r>
                </w:p>
              </w:tc>
              <w:tc>
                <w:tcPr>
                  <w:tcW w:w="427" w:type="dxa"/>
                  <w:vMerge w:val="restart"/>
                  <w:tcBorders>
                    <w:tl2br w:val="nil"/>
                    <w:tr2bl w:val="nil"/>
                  </w:tcBorders>
                  <w:noWrap w:val="0"/>
                  <w:vAlign w:val="center"/>
                </w:tcPr>
                <w:p w14:paraId="36F481A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FF0000"/>
                      <w:spacing w:val="0"/>
                      <w:kern w:val="0"/>
                      <w:sz w:val="18"/>
                      <w:szCs w:val="18"/>
                      <w:highlight w:val="none"/>
                      <w:lang w:val="en-US" w:eastAsia="zh-CN"/>
                    </w:rPr>
                  </w:pPr>
                  <w:r>
                    <w:rPr>
                      <w:rFonts w:hint="eastAsia" w:ascii="Times New Roman" w:hAnsi="Times New Roman" w:eastAsia="宋体" w:cs="Times New Roman"/>
                      <w:b w:val="0"/>
                      <w:bCs w:val="0"/>
                      <w:i w:val="0"/>
                      <w:iCs w:val="0"/>
                      <w:color w:val="auto"/>
                      <w:spacing w:val="0"/>
                      <w:kern w:val="0"/>
                      <w:sz w:val="18"/>
                      <w:szCs w:val="18"/>
                      <w:highlight w:val="none"/>
                      <w:lang w:val="en-US" w:eastAsia="zh-CN"/>
                    </w:rPr>
                    <w:t>系数法</w:t>
                  </w:r>
                </w:p>
              </w:tc>
              <w:tc>
                <w:tcPr>
                  <w:tcW w:w="646" w:type="dxa"/>
                  <w:vMerge w:val="restart"/>
                  <w:tcBorders>
                    <w:tl2br w:val="nil"/>
                    <w:tr2bl w:val="nil"/>
                  </w:tcBorders>
                  <w:noWrap w:val="0"/>
                  <w:vAlign w:val="center"/>
                </w:tcPr>
                <w:p w14:paraId="4F834CAA">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bCs w:val="0"/>
                      <w:color w:val="FF0000"/>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27.26</w:t>
                  </w:r>
                </w:p>
              </w:tc>
              <w:tc>
                <w:tcPr>
                  <w:tcW w:w="671" w:type="dxa"/>
                  <w:tcBorders>
                    <w:tl2br w:val="nil"/>
                    <w:tr2bl w:val="nil"/>
                  </w:tcBorders>
                  <w:noWrap w:val="0"/>
                  <w:vAlign w:val="center"/>
                </w:tcPr>
                <w:p w14:paraId="77162A79">
                  <w:pPr>
                    <w:keepNext w:val="0"/>
                    <w:keepLines w:val="0"/>
                    <w:pageBreakBefore w:val="0"/>
                    <w:widowControl w:val="0"/>
                    <w:kinsoku/>
                    <w:wordWrap/>
                    <w:overflowPunct/>
                    <w:topLinePunct w:val="0"/>
                    <w:autoSpaceDE/>
                    <w:autoSpaceDN/>
                    <w:bidi w:val="0"/>
                    <w:adjustRightInd/>
                    <w:snapToGrid/>
                    <w:spacing w:line="240" w:lineRule="auto"/>
                    <w:jc w:val="center"/>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6.5（无量纲）</w:t>
                  </w:r>
                </w:p>
              </w:tc>
              <w:tc>
                <w:tcPr>
                  <w:tcW w:w="729" w:type="dxa"/>
                  <w:tcBorders>
                    <w:tl2br w:val="nil"/>
                    <w:tr2bl w:val="nil"/>
                  </w:tcBorders>
                  <w:noWrap w:val="0"/>
                  <w:vAlign w:val="center"/>
                </w:tcPr>
                <w:p w14:paraId="1C05A3E2">
                  <w:pPr>
                    <w:keepNext w:val="0"/>
                    <w:keepLines w:val="0"/>
                    <w:pageBreakBefore w:val="0"/>
                    <w:widowControl w:val="0"/>
                    <w:kinsoku/>
                    <w:wordWrap/>
                    <w:overflowPunct/>
                    <w:topLinePunct w:val="0"/>
                    <w:autoSpaceDE/>
                    <w:autoSpaceDN/>
                    <w:bidi w:val="0"/>
                    <w:adjustRightInd/>
                    <w:snapToGrid/>
                    <w:spacing w:line="240" w:lineRule="auto"/>
                    <w:jc w:val="center"/>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1186" w:type="dxa"/>
                  <w:vMerge w:val="restart"/>
                  <w:tcBorders>
                    <w:tl2br w:val="nil"/>
                    <w:tr2bl w:val="nil"/>
                  </w:tcBorders>
                  <w:noWrap w:val="0"/>
                  <w:vAlign w:val="center"/>
                </w:tcPr>
                <w:p w14:paraId="220FEDD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排入厂区化粪池，通过10吨</w:t>
                  </w:r>
                  <w:r>
                    <w:rPr>
                      <w:rFonts w:hint="default" w:ascii="Times New Roman" w:hAnsi="Times New Roman" w:eastAsia="宋体" w:cs="Times New Roman"/>
                      <w:b w:val="0"/>
                      <w:bCs w:val="0"/>
                      <w:color w:val="auto"/>
                      <w:sz w:val="18"/>
                      <w:szCs w:val="18"/>
                      <w:highlight w:val="none"/>
                      <w:lang w:val="en-US" w:eastAsia="zh-CN"/>
                    </w:rPr>
                    <w:t>吸污车收集后，运至饶河县西林子乡污水处理站</w:t>
                  </w:r>
                  <w:r>
                    <w:rPr>
                      <w:rFonts w:hint="eastAsia" w:ascii="Times New Roman" w:hAnsi="Times New Roman" w:eastAsia="宋体" w:cs="Times New Roman"/>
                      <w:b w:val="0"/>
                      <w:bCs w:val="0"/>
                      <w:color w:val="auto"/>
                      <w:sz w:val="18"/>
                      <w:szCs w:val="18"/>
                      <w:highlight w:val="none"/>
                      <w:lang w:val="en-US" w:eastAsia="zh-CN"/>
                    </w:rPr>
                    <w:t>。</w:t>
                  </w:r>
                </w:p>
              </w:tc>
              <w:tc>
                <w:tcPr>
                  <w:tcW w:w="382" w:type="dxa"/>
                  <w:tcBorders>
                    <w:tl2br w:val="nil"/>
                    <w:tr2bl w:val="nil"/>
                  </w:tcBorders>
                  <w:noWrap w:val="0"/>
                  <w:vAlign w:val="center"/>
                </w:tcPr>
                <w:p w14:paraId="7E518E0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6" w:type="dxa"/>
                  <w:vMerge w:val="restart"/>
                  <w:tcBorders>
                    <w:tl2br w:val="nil"/>
                    <w:tr2bl w:val="nil"/>
                  </w:tcBorders>
                  <w:noWrap w:val="0"/>
                  <w:vAlign w:val="center"/>
                </w:tcPr>
                <w:p w14:paraId="767391F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cs="Times New Roman"/>
                      <w:b w:val="0"/>
                      <w:bCs w:val="0"/>
                      <w:color w:val="auto"/>
                      <w:sz w:val="18"/>
                      <w:szCs w:val="18"/>
                      <w:highlight w:val="none"/>
                      <w:lang w:val="en-US" w:eastAsia="zh-CN"/>
                    </w:rPr>
                  </w:pPr>
                  <w:r>
                    <w:rPr>
                      <w:rFonts w:hint="eastAsia" w:ascii="Times New Roman" w:hAnsi="Times New Roman" w:eastAsia="宋体" w:cs="Times New Roman"/>
                      <w:b w:val="0"/>
                      <w:bCs w:val="0"/>
                      <w:i w:val="0"/>
                      <w:iCs w:val="0"/>
                      <w:color w:val="auto"/>
                      <w:spacing w:val="0"/>
                      <w:kern w:val="0"/>
                      <w:sz w:val="18"/>
                      <w:szCs w:val="18"/>
                      <w:highlight w:val="none"/>
                      <w:lang w:val="en-US" w:eastAsia="zh-CN"/>
                    </w:rPr>
                    <w:t>系数法</w:t>
                  </w:r>
                </w:p>
              </w:tc>
              <w:tc>
                <w:tcPr>
                  <w:tcW w:w="620" w:type="dxa"/>
                  <w:vMerge w:val="restart"/>
                  <w:tcBorders>
                    <w:tl2br w:val="nil"/>
                    <w:tr2bl w:val="nil"/>
                  </w:tcBorders>
                  <w:noWrap w:val="0"/>
                  <w:vAlign w:val="center"/>
                </w:tcPr>
                <w:p w14:paraId="07AFED0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27.26</w:t>
                  </w:r>
                </w:p>
              </w:tc>
              <w:tc>
                <w:tcPr>
                  <w:tcW w:w="616" w:type="dxa"/>
                  <w:tcBorders>
                    <w:tl2br w:val="nil"/>
                    <w:tr2bl w:val="nil"/>
                  </w:tcBorders>
                  <w:noWrap w:val="0"/>
                  <w:vAlign w:val="center"/>
                </w:tcPr>
                <w:p w14:paraId="501DDB22">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6.5（无量纲）</w:t>
                  </w:r>
                </w:p>
              </w:tc>
              <w:tc>
                <w:tcPr>
                  <w:tcW w:w="655" w:type="dxa"/>
                  <w:tcBorders>
                    <w:tl2br w:val="nil"/>
                    <w:tr2bl w:val="nil"/>
                  </w:tcBorders>
                  <w:noWrap w:val="0"/>
                  <w:vAlign w:val="center"/>
                </w:tcPr>
                <w:p w14:paraId="4781E766">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cs="Times New Roman"/>
                      <w:b w:val="0"/>
                      <w:bCs w:val="0"/>
                      <w:color w:val="auto"/>
                      <w:sz w:val="18"/>
                      <w:szCs w:val="18"/>
                      <w:highlight w:val="none"/>
                      <w:lang w:val="en-US" w:eastAsia="zh-CN"/>
                    </w:rPr>
                  </w:pPr>
                  <w:r>
                    <w:rPr>
                      <w:rFonts w:hint="default" w:ascii="Times New Roman" w:hAnsi="Times New Roman" w:cs="Times New Roman"/>
                      <w:b w:val="0"/>
                      <w:bCs w:val="0"/>
                      <w:color w:val="auto"/>
                      <w:sz w:val="18"/>
                      <w:szCs w:val="18"/>
                      <w:highlight w:val="none"/>
                      <w:lang w:val="en-US" w:eastAsia="zh-CN"/>
                    </w:rPr>
                    <w:t>/</w:t>
                  </w:r>
                </w:p>
              </w:tc>
              <w:tc>
                <w:tcPr>
                  <w:tcW w:w="330" w:type="dxa"/>
                  <w:vMerge w:val="restart"/>
                  <w:tcBorders>
                    <w:tl2br w:val="nil"/>
                    <w:tr2bl w:val="nil"/>
                  </w:tcBorders>
                  <w:noWrap w:val="0"/>
                  <w:vAlign w:val="center"/>
                </w:tcPr>
                <w:p w14:paraId="774BEF1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r>
                    <w:rPr>
                      <w:rFonts w:hint="eastAsia" w:cs="Times New Roman"/>
                      <w:b w:val="0"/>
                      <w:bCs w:val="0"/>
                      <w:color w:val="auto"/>
                      <w:sz w:val="18"/>
                      <w:szCs w:val="18"/>
                      <w:highlight w:val="none"/>
                      <w:lang w:val="en-US" w:eastAsia="zh-CN"/>
                    </w:rPr>
                    <w:t>3834</w:t>
                  </w:r>
                </w:p>
              </w:tc>
            </w:tr>
            <w:tr w14:paraId="77B436A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5" w:type="dxa"/>
                  <w:vMerge w:val="continue"/>
                  <w:tcBorders>
                    <w:tl2br w:val="nil"/>
                    <w:tr2bl w:val="nil"/>
                  </w:tcBorders>
                  <w:noWrap w:val="0"/>
                  <w:vAlign w:val="center"/>
                </w:tcPr>
                <w:p w14:paraId="11907B2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18"/>
                      <w:szCs w:val="18"/>
                      <w:highlight w:val="none"/>
                      <w:vertAlign w:val="baseline"/>
                      <w:lang w:val="en-US" w:eastAsia="zh-CN"/>
                    </w:rPr>
                  </w:pPr>
                </w:p>
              </w:tc>
              <w:tc>
                <w:tcPr>
                  <w:tcW w:w="505" w:type="dxa"/>
                  <w:vMerge w:val="continue"/>
                  <w:tcBorders>
                    <w:tl2br w:val="nil"/>
                    <w:tr2bl w:val="nil"/>
                  </w:tcBorders>
                  <w:noWrap w:val="0"/>
                  <w:vAlign w:val="center"/>
                </w:tcPr>
                <w:p w14:paraId="21C52F6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i w:val="0"/>
                      <w:iCs w:val="0"/>
                      <w:color w:val="auto"/>
                      <w:spacing w:val="0"/>
                      <w:sz w:val="18"/>
                      <w:szCs w:val="18"/>
                      <w:highlight w:val="none"/>
                      <w:vertAlign w:val="baseline"/>
                      <w:lang w:val="en-US" w:eastAsia="zh-CN"/>
                    </w:rPr>
                  </w:pPr>
                </w:p>
              </w:tc>
              <w:tc>
                <w:tcPr>
                  <w:tcW w:w="612" w:type="dxa"/>
                  <w:vMerge w:val="continue"/>
                  <w:tcBorders>
                    <w:tl2br w:val="nil"/>
                    <w:tr2bl w:val="nil"/>
                  </w:tcBorders>
                  <w:noWrap w:val="0"/>
                  <w:vAlign w:val="center"/>
                </w:tcPr>
                <w:p w14:paraId="005EE54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18"/>
                      <w:szCs w:val="18"/>
                      <w:highlight w:val="none"/>
                      <w:lang w:val="en-US" w:eastAsia="zh-CN"/>
                    </w:rPr>
                  </w:pPr>
                </w:p>
              </w:tc>
              <w:tc>
                <w:tcPr>
                  <w:tcW w:w="746" w:type="dxa"/>
                  <w:tcBorders>
                    <w:tl2br w:val="nil"/>
                    <w:tr2bl w:val="nil"/>
                  </w:tcBorders>
                  <w:noWrap w:val="0"/>
                  <w:vAlign w:val="center"/>
                </w:tcPr>
                <w:p w14:paraId="4D01B4C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COD</w:t>
                  </w:r>
                  <w:r>
                    <w:rPr>
                      <w:rFonts w:hint="eastAsia" w:cs="Times New Roman"/>
                      <w:color w:val="auto"/>
                      <w:sz w:val="18"/>
                      <w:szCs w:val="18"/>
                      <w:highlight w:val="none"/>
                      <w:vertAlign w:val="subscript"/>
                      <w:lang w:val="en-US" w:eastAsia="zh-CN"/>
                    </w:rPr>
                    <w:t>Cr</w:t>
                  </w:r>
                </w:p>
              </w:tc>
              <w:tc>
                <w:tcPr>
                  <w:tcW w:w="427" w:type="dxa"/>
                  <w:vMerge w:val="continue"/>
                  <w:tcBorders>
                    <w:tl2br w:val="nil"/>
                    <w:tr2bl w:val="nil"/>
                  </w:tcBorders>
                  <w:noWrap w:val="0"/>
                  <w:vAlign w:val="center"/>
                </w:tcPr>
                <w:p w14:paraId="2CB9CF1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FF0000"/>
                      <w:spacing w:val="0"/>
                      <w:kern w:val="0"/>
                      <w:sz w:val="18"/>
                      <w:szCs w:val="18"/>
                      <w:highlight w:val="none"/>
                      <w:lang w:val="en-US" w:eastAsia="zh-CN"/>
                    </w:rPr>
                  </w:pPr>
                </w:p>
              </w:tc>
              <w:tc>
                <w:tcPr>
                  <w:tcW w:w="646" w:type="dxa"/>
                  <w:vMerge w:val="continue"/>
                  <w:tcBorders>
                    <w:tl2br w:val="nil"/>
                    <w:tr2bl w:val="nil"/>
                  </w:tcBorders>
                  <w:noWrap w:val="0"/>
                  <w:vAlign w:val="center"/>
                </w:tcPr>
                <w:p w14:paraId="7A462D2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671" w:type="dxa"/>
                  <w:tcBorders>
                    <w:tl2br w:val="nil"/>
                    <w:tr2bl w:val="nil"/>
                  </w:tcBorders>
                  <w:noWrap w:val="0"/>
                  <w:vAlign w:val="center"/>
                </w:tcPr>
                <w:p w14:paraId="3B809405">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350</w:t>
                  </w:r>
                </w:p>
              </w:tc>
              <w:tc>
                <w:tcPr>
                  <w:tcW w:w="729" w:type="dxa"/>
                  <w:tcBorders>
                    <w:tl2br w:val="nil"/>
                    <w:tr2bl w:val="nil"/>
                  </w:tcBorders>
                  <w:noWrap w:val="0"/>
                  <w:vAlign w:val="center"/>
                </w:tcPr>
                <w:p w14:paraId="5C81A6B5">
                  <w:pPr>
                    <w:keepNext w:val="0"/>
                    <w:keepLines w:val="0"/>
                    <w:widowControl/>
                    <w:suppressLineNumbers w:val="0"/>
                    <w:jc w:val="center"/>
                    <w:textAlignment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u w:val="none"/>
                      <w:lang w:val="en-US" w:eastAsia="zh-CN" w:bidi="ar"/>
                    </w:rPr>
                    <w:t>0.010</w:t>
                  </w:r>
                </w:p>
              </w:tc>
              <w:tc>
                <w:tcPr>
                  <w:tcW w:w="1186" w:type="dxa"/>
                  <w:vMerge w:val="continue"/>
                  <w:tcBorders>
                    <w:tl2br w:val="nil"/>
                    <w:tr2bl w:val="nil"/>
                  </w:tcBorders>
                  <w:noWrap w:val="0"/>
                  <w:vAlign w:val="center"/>
                </w:tcPr>
                <w:p w14:paraId="66281D0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382" w:type="dxa"/>
                  <w:tcBorders>
                    <w:tl2br w:val="nil"/>
                    <w:tr2bl w:val="nil"/>
                  </w:tcBorders>
                  <w:noWrap w:val="0"/>
                  <w:vAlign w:val="center"/>
                </w:tcPr>
                <w:p w14:paraId="38C542F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cs="Times New Roman"/>
                      <w:b w:val="0"/>
                      <w:bCs w:val="0"/>
                      <w:color w:val="auto"/>
                      <w:sz w:val="18"/>
                      <w:szCs w:val="18"/>
                      <w:highlight w:val="none"/>
                      <w:lang w:val="en-US" w:eastAsia="zh-CN"/>
                    </w:rPr>
                    <w:t>/</w:t>
                  </w:r>
                </w:p>
              </w:tc>
              <w:tc>
                <w:tcPr>
                  <w:tcW w:w="336" w:type="dxa"/>
                  <w:vMerge w:val="continue"/>
                  <w:tcBorders>
                    <w:tl2br w:val="nil"/>
                    <w:tr2bl w:val="nil"/>
                  </w:tcBorders>
                  <w:noWrap w:val="0"/>
                  <w:vAlign w:val="center"/>
                </w:tcPr>
                <w:p w14:paraId="78C3AED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620" w:type="dxa"/>
                  <w:vMerge w:val="continue"/>
                  <w:tcBorders>
                    <w:tl2br w:val="nil"/>
                    <w:tr2bl w:val="nil"/>
                  </w:tcBorders>
                  <w:noWrap w:val="0"/>
                  <w:vAlign w:val="center"/>
                </w:tcPr>
                <w:p w14:paraId="2B4471F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616" w:type="dxa"/>
                  <w:tcBorders>
                    <w:tl2br w:val="nil"/>
                    <w:tr2bl w:val="nil"/>
                  </w:tcBorders>
                  <w:noWrap w:val="0"/>
                  <w:vAlign w:val="center"/>
                </w:tcPr>
                <w:p w14:paraId="0154A3DB">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bCs w:val="0"/>
                      <w:color w:val="FF0000"/>
                      <w:kern w:val="2"/>
                      <w:sz w:val="18"/>
                      <w:szCs w:val="18"/>
                      <w:highlight w:val="none"/>
                      <w:lang w:val="en-US" w:eastAsia="zh-CN" w:bidi="ar-SA"/>
                    </w:rPr>
                  </w:pPr>
                  <w:r>
                    <w:rPr>
                      <w:rFonts w:hint="eastAsia" w:cs="Times New Roman"/>
                      <w:b w:val="0"/>
                      <w:bCs w:val="0"/>
                      <w:color w:val="auto"/>
                      <w:sz w:val="18"/>
                      <w:szCs w:val="18"/>
                      <w:highlight w:val="none"/>
                      <w:lang w:val="en-US" w:eastAsia="zh-CN"/>
                    </w:rPr>
                    <w:t>350</w:t>
                  </w:r>
                </w:p>
              </w:tc>
              <w:tc>
                <w:tcPr>
                  <w:tcW w:w="655" w:type="dxa"/>
                  <w:tcBorders>
                    <w:tl2br w:val="nil"/>
                    <w:tr2bl w:val="nil"/>
                  </w:tcBorders>
                  <w:noWrap w:val="0"/>
                  <w:vAlign w:val="center"/>
                </w:tcPr>
                <w:p w14:paraId="0AC7A7DA">
                  <w:pPr>
                    <w:keepNext w:val="0"/>
                    <w:keepLines w:val="0"/>
                    <w:widowControl/>
                    <w:suppressLineNumbers w:val="0"/>
                    <w:jc w:val="center"/>
                    <w:textAlignment w:val="center"/>
                    <w:rPr>
                      <w:rFonts w:hint="default" w:ascii="Times New Roman" w:hAnsi="Times New Roman" w:eastAsia="宋体" w:cs="Times New Roman"/>
                      <w:b w:val="0"/>
                      <w:bCs w:val="0"/>
                      <w:color w:val="FF0000"/>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0.010</w:t>
                  </w:r>
                </w:p>
              </w:tc>
              <w:tc>
                <w:tcPr>
                  <w:tcW w:w="330" w:type="dxa"/>
                  <w:vMerge w:val="continue"/>
                  <w:tcBorders>
                    <w:tl2br w:val="nil"/>
                    <w:tr2bl w:val="nil"/>
                  </w:tcBorders>
                  <w:noWrap w:val="0"/>
                  <w:vAlign w:val="center"/>
                </w:tcPr>
                <w:p w14:paraId="487579B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r>
            <w:tr w14:paraId="2F8FD3B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5" w:type="dxa"/>
                  <w:vMerge w:val="continue"/>
                  <w:tcBorders>
                    <w:tl2br w:val="nil"/>
                    <w:tr2bl w:val="nil"/>
                  </w:tcBorders>
                  <w:noWrap w:val="0"/>
                  <w:vAlign w:val="center"/>
                </w:tcPr>
                <w:p w14:paraId="1205C12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18"/>
                      <w:szCs w:val="18"/>
                      <w:highlight w:val="none"/>
                      <w:vertAlign w:val="baseline"/>
                      <w:lang w:val="en-US" w:eastAsia="zh-CN"/>
                    </w:rPr>
                  </w:pPr>
                </w:p>
              </w:tc>
              <w:tc>
                <w:tcPr>
                  <w:tcW w:w="505" w:type="dxa"/>
                  <w:vMerge w:val="continue"/>
                  <w:tcBorders>
                    <w:tl2br w:val="nil"/>
                    <w:tr2bl w:val="nil"/>
                  </w:tcBorders>
                  <w:noWrap w:val="0"/>
                  <w:vAlign w:val="center"/>
                </w:tcPr>
                <w:p w14:paraId="040AC39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i w:val="0"/>
                      <w:iCs w:val="0"/>
                      <w:color w:val="auto"/>
                      <w:spacing w:val="0"/>
                      <w:sz w:val="18"/>
                      <w:szCs w:val="18"/>
                      <w:highlight w:val="none"/>
                      <w:vertAlign w:val="baseline"/>
                      <w:lang w:val="en-US" w:eastAsia="zh-CN"/>
                    </w:rPr>
                  </w:pPr>
                </w:p>
              </w:tc>
              <w:tc>
                <w:tcPr>
                  <w:tcW w:w="612" w:type="dxa"/>
                  <w:vMerge w:val="continue"/>
                  <w:tcBorders>
                    <w:tl2br w:val="nil"/>
                    <w:tr2bl w:val="nil"/>
                  </w:tcBorders>
                  <w:noWrap w:val="0"/>
                  <w:vAlign w:val="center"/>
                </w:tcPr>
                <w:p w14:paraId="61C8CBC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18"/>
                      <w:szCs w:val="18"/>
                      <w:highlight w:val="none"/>
                      <w:lang w:val="en-US" w:eastAsia="zh-CN"/>
                    </w:rPr>
                  </w:pPr>
                </w:p>
              </w:tc>
              <w:tc>
                <w:tcPr>
                  <w:tcW w:w="746" w:type="dxa"/>
                  <w:tcBorders>
                    <w:tl2br w:val="nil"/>
                    <w:tr2bl w:val="nil"/>
                  </w:tcBorders>
                  <w:noWrap w:val="0"/>
                  <w:vAlign w:val="center"/>
                </w:tcPr>
                <w:p w14:paraId="29324BB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BOD</w:t>
                  </w:r>
                  <w:r>
                    <w:rPr>
                      <w:rFonts w:hint="eastAsia" w:cs="Times New Roman"/>
                      <w:color w:val="auto"/>
                      <w:sz w:val="18"/>
                      <w:szCs w:val="18"/>
                      <w:highlight w:val="none"/>
                      <w:vertAlign w:val="subscript"/>
                      <w:lang w:val="en-US" w:eastAsia="zh-CN"/>
                    </w:rPr>
                    <w:t>5</w:t>
                  </w:r>
                </w:p>
              </w:tc>
              <w:tc>
                <w:tcPr>
                  <w:tcW w:w="427" w:type="dxa"/>
                  <w:vMerge w:val="continue"/>
                  <w:tcBorders>
                    <w:tl2br w:val="nil"/>
                    <w:tr2bl w:val="nil"/>
                  </w:tcBorders>
                  <w:noWrap w:val="0"/>
                  <w:vAlign w:val="center"/>
                </w:tcPr>
                <w:p w14:paraId="209D64F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FF0000"/>
                      <w:spacing w:val="0"/>
                      <w:kern w:val="0"/>
                      <w:sz w:val="18"/>
                      <w:szCs w:val="18"/>
                      <w:highlight w:val="none"/>
                      <w:lang w:val="en-US" w:eastAsia="zh-CN"/>
                    </w:rPr>
                  </w:pPr>
                </w:p>
              </w:tc>
              <w:tc>
                <w:tcPr>
                  <w:tcW w:w="646" w:type="dxa"/>
                  <w:vMerge w:val="continue"/>
                  <w:tcBorders>
                    <w:tl2br w:val="nil"/>
                    <w:tr2bl w:val="nil"/>
                  </w:tcBorders>
                  <w:noWrap w:val="0"/>
                  <w:vAlign w:val="center"/>
                </w:tcPr>
                <w:p w14:paraId="0C253CD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671" w:type="dxa"/>
                  <w:tcBorders>
                    <w:tl2br w:val="nil"/>
                    <w:tr2bl w:val="nil"/>
                  </w:tcBorders>
                  <w:noWrap w:val="0"/>
                  <w:vAlign w:val="center"/>
                </w:tcPr>
                <w:p w14:paraId="2E76FEC7">
                  <w:pPr>
                    <w:keepNext w:val="0"/>
                    <w:keepLines w:val="0"/>
                    <w:pageBreakBefore w:val="0"/>
                    <w:widowControl w:val="0"/>
                    <w:kinsoku/>
                    <w:wordWrap/>
                    <w:overflowPunct/>
                    <w:topLinePunct w:val="0"/>
                    <w:autoSpaceDE/>
                    <w:autoSpaceDN/>
                    <w:bidi w:val="0"/>
                    <w:adjustRightInd/>
                    <w:snapToGrid/>
                    <w:spacing w:line="240" w:lineRule="auto"/>
                    <w:jc w:val="center"/>
                    <w:rPr>
                      <w:rFonts w:hint="default"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250</w:t>
                  </w:r>
                </w:p>
              </w:tc>
              <w:tc>
                <w:tcPr>
                  <w:tcW w:w="729" w:type="dxa"/>
                  <w:tcBorders>
                    <w:tl2br w:val="nil"/>
                    <w:tr2bl w:val="nil"/>
                  </w:tcBorders>
                  <w:noWrap w:val="0"/>
                  <w:vAlign w:val="center"/>
                </w:tcPr>
                <w:p w14:paraId="6996D585">
                  <w:pPr>
                    <w:keepNext w:val="0"/>
                    <w:keepLines w:val="0"/>
                    <w:widowControl/>
                    <w:suppressLineNumbers w:val="0"/>
                    <w:jc w:val="center"/>
                    <w:textAlignment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u w:val="none"/>
                      <w:lang w:val="en-US" w:eastAsia="zh-CN" w:bidi="ar"/>
                    </w:rPr>
                    <w:t>0.007</w:t>
                  </w:r>
                </w:p>
              </w:tc>
              <w:tc>
                <w:tcPr>
                  <w:tcW w:w="1186" w:type="dxa"/>
                  <w:vMerge w:val="continue"/>
                  <w:tcBorders>
                    <w:tl2br w:val="nil"/>
                    <w:tr2bl w:val="nil"/>
                  </w:tcBorders>
                  <w:noWrap w:val="0"/>
                  <w:vAlign w:val="center"/>
                </w:tcPr>
                <w:p w14:paraId="25C9DBC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382" w:type="dxa"/>
                  <w:tcBorders>
                    <w:tl2br w:val="nil"/>
                    <w:tr2bl w:val="nil"/>
                  </w:tcBorders>
                  <w:noWrap w:val="0"/>
                  <w:vAlign w:val="center"/>
                </w:tcPr>
                <w:p w14:paraId="0E54A23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z w:val="18"/>
                      <w:szCs w:val="18"/>
                      <w:highlight w:val="none"/>
                      <w:lang w:val="en-US" w:eastAsia="zh-CN"/>
                    </w:rPr>
                  </w:pPr>
                  <w:r>
                    <w:rPr>
                      <w:rFonts w:hint="default" w:ascii="Times New Roman" w:hAnsi="Times New Roman" w:cs="Times New Roman"/>
                      <w:b w:val="0"/>
                      <w:bCs w:val="0"/>
                      <w:color w:val="auto"/>
                      <w:sz w:val="18"/>
                      <w:szCs w:val="18"/>
                      <w:highlight w:val="none"/>
                      <w:lang w:val="en-US" w:eastAsia="zh-CN"/>
                    </w:rPr>
                    <w:t>/</w:t>
                  </w:r>
                </w:p>
              </w:tc>
              <w:tc>
                <w:tcPr>
                  <w:tcW w:w="336" w:type="dxa"/>
                  <w:vMerge w:val="continue"/>
                  <w:tcBorders>
                    <w:tl2br w:val="nil"/>
                    <w:tr2bl w:val="nil"/>
                  </w:tcBorders>
                  <w:noWrap w:val="0"/>
                  <w:vAlign w:val="center"/>
                </w:tcPr>
                <w:p w14:paraId="34ADCEE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FF0000"/>
                      <w:sz w:val="18"/>
                      <w:szCs w:val="18"/>
                      <w:highlight w:val="none"/>
                      <w:lang w:val="en-US" w:eastAsia="zh-CN"/>
                    </w:rPr>
                  </w:pPr>
                </w:p>
              </w:tc>
              <w:tc>
                <w:tcPr>
                  <w:tcW w:w="620" w:type="dxa"/>
                  <w:vMerge w:val="continue"/>
                  <w:tcBorders>
                    <w:tl2br w:val="nil"/>
                    <w:tr2bl w:val="nil"/>
                  </w:tcBorders>
                  <w:noWrap w:val="0"/>
                  <w:vAlign w:val="center"/>
                </w:tcPr>
                <w:p w14:paraId="1A59598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FF0000"/>
                      <w:sz w:val="18"/>
                      <w:szCs w:val="18"/>
                      <w:highlight w:val="none"/>
                      <w:lang w:val="en-US" w:eastAsia="zh-CN"/>
                    </w:rPr>
                  </w:pPr>
                </w:p>
              </w:tc>
              <w:tc>
                <w:tcPr>
                  <w:tcW w:w="616" w:type="dxa"/>
                  <w:tcBorders>
                    <w:tl2br w:val="nil"/>
                    <w:tr2bl w:val="nil"/>
                  </w:tcBorders>
                  <w:noWrap w:val="0"/>
                  <w:vAlign w:val="center"/>
                </w:tcPr>
                <w:p w14:paraId="0600655C">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b w:val="0"/>
                      <w:bCs w:val="0"/>
                      <w:color w:val="FF0000"/>
                      <w:sz w:val="18"/>
                      <w:szCs w:val="18"/>
                      <w:highlight w:val="none"/>
                      <w:lang w:val="en-US" w:eastAsia="zh-CN"/>
                    </w:rPr>
                  </w:pPr>
                  <w:r>
                    <w:rPr>
                      <w:rFonts w:hint="eastAsia" w:cs="Times New Roman"/>
                      <w:b w:val="0"/>
                      <w:bCs w:val="0"/>
                      <w:color w:val="auto"/>
                      <w:sz w:val="18"/>
                      <w:szCs w:val="18"/>
                      <w:highlight w:val="none"/>
                      <w:lang w:val="en-US" w:eastAsia="zh-CN"/>
                    </w:rPr>
                    <w:t>250</w:t>
                  </w:r>
                </w:p>
              </w:tc>
              <w:tc>
                <w:tcPr>
                  <w:tcW w:w="655" w:type="dxa"/>
                  <w:tcBorders>
                    <w:tl2br w:val="nil"/>
                    <w:tr2bl w:val="nil"/>
                  </w:tcBorders>
                  <w:noWrap w:val="0"/>
                  <w:vAlign w:val="center"/>
                </w:tcPr>
                <w:p w14:paraId="5411BCD4">
                  <w:pPr>
                    <w:keepNext w:val="0"/>
                    <w:keepLines w:val="0"/>
                    <w:widowControl/>
                    <w:suppressLineNumbers w:val="0"/>
                    <w:jc w:val="center"/>
                    <w:textAlignment w:val="center"/>
                    <w:rPr>
                      <w:rFonts w:hint="eastAsia" w:cs="Times New Roman"/>
                      <w:b w:val="0"/>
                      <w:bCs w:val="0"/>
                      <w:color w:val="FF0000"/>
                      <w:sz w:val="18"/>
                      <w:szCs w:val="18"/>
                      <w:highlight w:val="none"/>
                      <w:lang w:val="en-US" w:eastAsia="zh-CN"/>
                    </w:rPr>
                  </w:pPr>
                  <w:r>
                    <w:rPr>
                      <w:rFonts w:hint="default" w:ascii="Times New Roman" w:hAnsi="Times New Roman" w:eastAsia="宋体" w:cs="Times New Roman"/>
                      <w:i w:val="0"/>
                      <w:iCs w:val="0"/>
                      <w:color w:val="auto"/>
                      <w:kern w:val="0"/>
                      <w:sz w:val="18"/>
                      <w:szCs w:val="18"/>
                      <w:u w:val="none"/>
                      <w:lang w:val="en-US" w:eastAsia="zh-CN" w:bidi="ar"/>
                    </w:rPr>
                    <w:t>0.007</w:t>
                  </w:r>
                </w:p>
              </w:tc>
              <w:tc>
                <w:tcPr>
                  <w:tcW w:w="330" w:type="dxa"/>
                  <w:vMerge w:val="continue"/>
                  <w:tcBorders>
                    <w:tl2br w:val="nil"/>
                    <w:tr2bl w:val="nil"/>
                  </w:tcBorders>
                  <w:noWrap w:val="0"/>
                  <w:vAlign w:val="center"/>
                </w:tcPr>
                <w:p w14:paraId="2761B3A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r>
            <w:tr w14:paraId="54D9AF5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5" w:type="dxa"/>
                  <w:vMerge w:val="continue"/>
                  <w:tcBorders>
                    <w:tl2br w:val="nil"/>
                    <w:tr2bl w:val="nil"/>
                  </w:tcBorders>
                  <w:noWrap w:val="0"/>
                  <w:vAlign w:val="center"/>
                </w:tcPr>
                <w:p w14:paraId="3BBCA7A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i w:val="0"/>
                      <w:iCs w:val="0"/>
                      <w:color w:val="auto"/>
                      <w:spacing w:val="0"/>
                      <w:sz w:val="18"/>
                      <w:szCs w:val="18"/>
                      <w:highlight w:val="none"/>
                      <w:vertAlign w:val="baseline"/>
                    </w:rPr>
                  </w:pPr>
                </w:p>
              </w:tc>
              <w:tc>
                <w:tcPr>
                  <w:tcW w:w="505" w:type="dxa"/>
                  <w:vMerge w:val="continue"/>
                  <w:tcBorders>
                    <w:tl2br w:val="nil"/>
                    <w:tr2bl w:val="nil"/>
                  </w:tcBorders>
                  <w:noWrap w:val="0"/>
                  <w:vAlign w:val="center"/>
                </w:tcPr>
                <w:p w14:paraId="4CAE99E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i w:val="0"/>
                      <w:iCs w:val="0"/>
                      <w:color w:val="auto"/>
                      <w:spacing w:val="0"/>
                      <w:sz w:val="18"/>
                      <w:szCs w:val="18"/>
                      <w:highlight w:val="none"/>
                      <w:vertAlign w:val="baseline"/>
                    </w:rPr>
                  </w:pPr>
                </w:p>
              </w:tc>
              <w:tc>
                <w:tcPr>
                  <w:tcW w:w="612" w:type="dxa"/>
                  <w:vMerge w:val="continue"/>
                  <w:tcBorders>
                    <w:tl2br w:val="nil"/>
                    <w:tr2bl w:val="nil"/>
                  </w:tcBorders>
                  <w:noWrap w:val="0"/>
                  <w:vAlign w:val="center"/>
                </w:tcPr>
                <w:p w14:paraId="587E0EF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18"/>
                      <w:szCs w:val="18"/>
                      <w:highlight w:val="none"/>
                      <w:lang w:val="en-US" w:eastAsia="zh-CN"/>
                    </w:rPr>
                  </w:pPr>
                </w:p>
              </w:tc>
              <w:tc>
                <w:tcPr>
                  <w:tcW w:w="746" w:type="dxa"/>
                  <w:tcBorders>
                    <w:tl2br w:val="nil"/>
                    <w:tr2bl w:val="nil"/>
                  </w:tcBorders>
                  <w:noWrap w:val="0"/>
                  <w:vAlign w:val="center"/>
                </w:tcPr>
                <w:p w14:paraId="788E61A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18"/>
                      <w:szCs w:val="18"/>
                      <w:highlight w:val="none"/>
                      <w:lang w:val="en-US" w:eastAsia="zh-CN" w:bidi="ar-SA"/>
                    </w:rPr>
                  </w:pPr>
                  <w:r>
                    <w:rPr>
                      <w:rFonts w:hint="default" w:ascii="Times New Roman" w:hAnsi="Times New Roman" w:cs="Times New Roman"/>
                      <w:color w:val="auto"/>
                      <w:sz w:val="18"/>
                      <w:szCs w:val="18"/>
                      <w:highlight w:val="none"/>
                      <w:lang w:val="en-US" w:eastAsia="zh-CN"/>
                    </w:rPr>
                    <w:t>NH</w:t>
                  </w:r>
                  <w:r>
                    <w:rPr>
                      <w:rFonts w:hint="default" w:ascii="Times New Roman" w:hAnsi="Times New Roman" w:cs="Times New Roman"/>
                      <w:color w:val="auto"/>
                      <w:sz w:val="18"/>
                      <w:szCs w:val="18"/>
                      <w:highlight w:val="none"/>
                      <w:vertAlign w:val="subscript"/>
                      <w:lang w:val="en-US" w:eastAsia="zh-CN"/>
                    </w:rPr>
                    <w:t>3</w:t>
                  </w:r>
                  <w:r>
                    <w:rPr>
                      <w:rFonts w:hint="default" w:ascii="Times New Roman" w:hAnsi="Times New Roman" w:cs="Times New Roman"/>
                      <w:color w:val="auto"/>
                      <w:sz w:val="18"/>
                      <w:szCs w:val="18"/>
                      <w:highlight w:val="none"/>
                      <w:lang w:val="en-US" w:eastAsia="zh-CN"/>
                    </w:rPr>
                    <w:t>-N</w:t>
                  </w:r>
                </w:p>
              </w:tc>
              <w:tc>
                <w:tcPr>
                  <w:tcW w:w="427" w:type="dxa"/>
                  <w:vMerge w:val="continue"/>
                  <w:tcBorders>
                    <w:tl2br w:val="nil"/>
                    <w:tr2bl w:val="nil"/>
                  </w:tcBorders>
                  <w:noWrap w:val="0"/>
                  <w:vAlign w:val="center"/>
                </w:tcPr>
                <w:p w14:paraId="124A640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FF0000"/>
                      <w:spacing w:val="0"/>
                      <w:kern w:val="0"/>
                      <w:sz w:val="18"/>
                      <w:szCs w:val="18"/>
                      <w:highlight w:val="none"/>
                      <w:lang w:eastAsia="zh-CN"/>
                    </w:rPr>
                  </w:pPr>
                </w:p>
              </w:tc>
              <w:tc>
                <w:tcPr>
                  <w:tcW w:w="646" w:type="dxa"/>
                  <w:vMerge w:val="continue"/>
                  <w:tcBorders>
                    <w:tl2br w:val="nil"/>
                    <w:tr2bl w:val="nil"/>
                  </w:tcBorders>
                  <w:noWrap w:val="0"/>
                  <w:vAlign w:val="center"/>
                </w:tcPr>
                <w:p w14:paraId="1CB2F6E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671" w:type="dxa"/>
                  <w:tcBorders>
                    <w:tl2br w:val="nil"/>
                    <w:tr2bl w:val="nil"/>
                  </w:tcBorders>
                  <w:noWrap w:val="0"/>
                  <w:vAlign w:val="center"/>
                </w:tcPr>
                <w:p w14:paraId="5E27B1D8">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33.5</w:t>
                  </w:r>
                </w:p>
              </w:tc>
              <w:tc>
                <w:tcPr>
                  <w:tcW w:w="729" w:type="dxa"/>
                  <w:tcBorders>
                    <w:tl2br w:val="nil"/>
                    <w:tr2bl w:val="nil"/>
                  </w:tcBorders>
                  <w:noWrap w:val="0"/>
                  <w:vAlign w:val="center"/>
                </w:tcPr>
                <w:p w14:paraId="2365C5B2">
                  <w:pPr>
                    <w:keepNext w:val="0"/>
                    <w:keepLines w:val="0"/>
                    <w:widowControl/>
                    <w:suppressLineNumbers w:val="0"/>
                    <w:jc w:val="center"/>
                    <w:textAlignment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u w:val="none"/>
                      <w:lang w:val="en-US" w:eastAsia="zh-CN" w:bidi="ar"/>
                    </w:rPr>
                    <w:t>0.001</w:t>
                  </w:r>
                </w:p>
              </w:tc>
              <w:tc>
                <w:tcPr>
                  <w:tcW w:w="1186" w:type="dxa"/>
                  <w:vMerge w:val="continue"/>
                  <w:tcBorders>
                    <w:tl2br w:val="nil"/>
                    <w:tr2bl w:val="nil"/>
                  </w:tcBorders>
                  <w:noWrap w:val="0"/>
                  <w:vAlign w:val="center"/>
                </w:tcPr>
                <w:p w14:paraId="1C0A264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382" w:type="dxa"/>
                  <w:tcBorders>
                    <w:tl2br w:val="nil"/>
                    <w:tr2bl w:val="nil"/>
                  </w:tcBorders>
                  <w:noWrap w:val="0"/>
                  <w:vAlign w:val="center"/>
                </w:tcPr>
                <w:p w14:paraId="7C98077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cs="Times New Roman"/>
                      <w:b w:val="0"/>
                      <w:bCs w:val="0"/>
                      <w:color w:val="auto"/>
                      <w:sz w:val="18"/>
                      <w:szCs w:val="18"/>
                      <w:highlight w:val="none"/>
                      <w:lang w:val="en-US" w:eastAsia="zh-CN"/>
                    </w:rPr>
                    <w:t>/</w:t>
                  </w:r>
                </w:p>
              </w:tc>
              <w:tc>
                <w:tcPr>
                  <w:tcW w:w="336" w:type="dxa"/>
                  <w:vMerge w:val="continue"/>
                  <w:tcBorders>
                    <w:tl2br w:val="nil"/>
                    <w:tr2bl w:val="nil"/>
                  </w:tcBorders>
                  <w:noWrap w:val="0"/>
                  <w:vAlign w:val="center"/>
                </w:tcPr>
                <w:p w14:paraId="5041538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620" w:type="dxa"/>
                  <w:vMerge w:val="continue"/>
                  <w:tcBorders>
                    <w:tl2br w:val="nil"/>
                    <w:tr2bl w:val="nil"/>
                  </w:tcBorders>
                  <w:noWrap w:val="0"/>
                  <w:vAlign w:val="center"/>
                </w:tcPr>
                <w:p w14:paraId="38B1C8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616" w:type="dxa"/>
                  <w:tcBorders>
                    <w:tl2br w:val="nil"/>
                    <w:tr2bl w:val="nil"/>
                  </w:tcBorders>
                  <w:noWrap w:val="0"/>
                  <w:vAlign w:val="center"/>
                </w:tcPr>
                <w:p w14:paraId="18F9ABAA">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bCs w:val="0"/>
                      <w:color w:val="FF0000"/>
                      <w:kern w:val="2"/>
                      <w:sz w:val="18"/>
                      <w:szCs w:val="18"/>
                      <w:highlight w:val="none"/>
                      <w:lang w:val="en-US" w:eastAsia="zh-CN" w:bidi="ar-SA"/>
                    </w:rPr>
                  </w:pPr>
                  <w:r>
                    <w:rPr>
                      <w:rFonts w:hint="eastAsia" w:cs="Times New Roman"/>
                      <w:b w:val="0"/>
                      <w:bCs w:val="0"/>
                      <w:color w:val="auto"/>
                      <w:sz w:val="18"/>
                      <w:szCs w:val="18"/>
                      <w:highlight w:val="none"/>
                      <w:lang w:val="en-US" w:eastAsia="zh-CN"/>
                    </w:rPr>
                    <w:t>33.5</w:t>
                  </w:r>
                </w:p>
              </w:tc>
              <w:tc>
                <w:tcPr>
                  <w:tcW w:w="655" w:type="dxa"/>
                  <w:tcBorders>
                    <w:tl2br w:val="nil"/>
                    <w:tr2bl w:val="nil"/>
                  </w:tcBorders>
                  <w:noWrap w:val="0"/>
                  <w:vAlign w:val="center"/>
                </w:tcPr>
                <w:p w14:paraId="2C0EB06E">
                  <w:pPr>
                    <w:keepNext w:val="0"/>
                    <w:keepLines w:val="0"/>
                    <w:widowControl/>
                    <w:suppressLineNumbers w:val="0"/>
                    <w:jc w:val="center"/>
                    <w:textAlignment w:val="center"/>
                    <w:rPr>
                      <w:rFonts w:hint="default" w:ascii="Times New Roman" w:hAnsi="Times New Roman" w:eastAsia="宋体" w:cs="Times New Roman"/>
                      <w:b w:val="0"/>
                      <w:bCs w:val="0"/>
                      <w:color w:val="FF0000"/>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0.001</w:t>
                  </w:r>
                </w:p>
              </w:tc>
              <w:tc>
                <w:tcPr>
                  <w:tcW w:w="330" w:type="dxa"/>
                  <w:vMerge w:val="continue"/>
                  <w:tcBorders>
                    <w:tl2br w:val="nil"/>
                    <w:tr2bl w:val="nil"/>
                  </w:tcBorders>
                  <w:noWrap w:val="0"/>
                  <w:vAlign w:val="center"/>
                </w:tcPr>
                <w:p w14:paraId="6667809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r>
            <w:tr w14:paraId="0264F14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5" w:type="dxa"/>
                  <w:vMerge w:val="continue"/>
                  <w:tcBorders>
                    <w:tl2br w:val="nil"/>
                    <w:tr2bl w:val="nil"/>
                  </w:tcBorders>
                  <w:noWrap w:val="0"/>
                  <w:vAlign w:val="center"/>
                </w:tcPr>
                <w:p w14:paraId="5CEE98D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i w:val="0"/>
                      <w:iCs w:val="0"/>
                      <w:color w:val="auto"/>
                      <w:spacing w:val="0"/>
                      <w:sz w:val="18"/>
                      <w:szCs w:val="18"/>
                      <w:highlight w:val="none"/>
                      <w:vertAlign w:val="baseline"/>
                    </w:rPr>
                  </w:pPr>
                </w:p>
              </w:tc>
              <w:tc>
                <w:tcPr>
                  <w:tcW w:w="505" w:type="dxa"/>
                  <w:vMerge w:val="continue"/>
                  <w:tcBorders>
                    <w:tl2br w:val="nil"/>
                    <w:tr2bl w:val="nil"/>
                  </w:tcBorders>
                  <w:noWrap w:val="0"/>
                  <w:vAlign w:val="center"/>
                </w:tcPr>
                <w:p w14:paraId="5EE1844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i w:val="0"/>
                      <w:iCs w:val="0"/>
                      <w:color w:val="auto"/>
                      <w:spacing w:val="0"/>
                      <w:sz w:val="18"/>
                      <w:szCs w:val="18"/>
                      <w:highlight w:val="none"/>
                      <w:vertAlign w:val="baseline"/>
                    </w:rPr>
                  </w:pPr>
                </w:p>
              </w:tc>
              <w:tc>
                <w:tcPr>
                  <w:tcW w:w="612" w:type="dxa"/>
                  <w:vMerge w:val="continue"/>
                  <w:tcBorders>
                    <w:tl2br w:val="nil"/>
                    <w:tr2bl w:val="nil"/>
                  </w:tcBorders>
                  <w:noWrap w:val="0"/>
                  <w:vAlign w:val="center"/>
                </w:tcPr>
                <w:p w14:paraId="21B46F8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18"/>
                      <w:szCs w:val="18"/>
                      <w:highlight w:val="none"/>
                      <w:lang w:val="en-US" w:eastAsia="zh-CN"/>
                    </w:rPr>
                  </w:pPr>
                </w:p>
              </w:tc>
              <w:tc>
                <w:tcPr>
                  <w:tcW w:w="746" w:type="dxa"/>
                  <w:tcBorders>
                    <w:tl2br w:val="nil"/>
                    <w:tr2bl w:val="nil"/>
                  </w:tcBorders>
                  <w:noWrap w:val="0"/>
                  <w:vAlign w:val="center"/>
                </w:tcPr>
                <w:p w14:paraId="1DF7D93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18"/>
                      <w:szCs w:val="18"/>
                      <w:highlight w:val="none"/>
                      <w:lang w:val="en-US" w:eastAsia="zh-CN"/>
                    </w:rPr>
                  </w:pPr>
                  <w:r>
                    <w:rPr>
                      <w:rFonts w:hint="eastAsia" w:ascii="Times New Roman" w:hAnsi="Times New Roman" w:cs="Times New Roman"/>
                      <w:color w:val="auto"/>
                      <w:sz w:val="18"/>
                      <w:szCs w:val="18"/>
                      <w:highlight w:val="none"/>
                      <w:lang w:val="en-US" w:eastAsia="zh-CN"/>
                    </w:rPr>
                    <w:t>TN</w:t>
                  </w:r>
                </w:p>
              </w:tc>
              <w:tc>
                <w:tcPr>
                  <w:tcW w:w="427" w:type="dxa"/>
                  <w:vMerge w:val="continue"/>
                  <w:tcBorders>
                    <w:tl2br w:val="nil"/>
                    <w:tr2bl w:val="nil"/>
                  </w:tcBorders>
                  <w:noWrap w:val="0"/>
                  <w:vAlign w:val="center"/>
                </w:tcPr>
                <w:p w14:paraId="5D91913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FF0000"/>
                      <w:spacing w:val="0"/>
                      <w:kern w:val="0"/>
                      <w:sz w:val="18"/>
                      <w:szCs w:val="18"/>
                      <w:highlight w:val="none"/>
                      <w:lang w:eastAsia="zh-CN"/>
                    </w:rPr>
                  </w:pPr>
                </w:p>
              </w:tc>
              <w:tc>
                <w:tcPr>
                  <w:tcW w:w="646" w:type="dxa"/>
                  <w:vMerge w:val="continue"/>
                  <w:tcBorders>
                    <w:tl2br w:val="nil"/>
                    <w:tr2bl w:val="nil"/>
                  </w:tcBorders>
                  <w:noWrap w:val="0"/>
                  <w:vAlign w:val="center"/>
                </w:tcPr>
                <w:p w14:paraId="2103910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671" w:type="dxa"/>
                  <w:tcBorders>
                    <w:tl2br w:val="nil"/>
                    <w:tr2bl w:val="nil"/>
                  </w:tcBorders>
                  <w:noWrap w:val="0"/>
                  <w:vAlign w:val="center"/>
                </w:tcPr>
                <w:p w14:paraId="546E0DA2">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48.7</w:t>
                  </w:r>
                </w:p>
              </w:tc>
              <w:tc>
                <w:tcPr>
                  <w:tcW w:w="729" w:type="dxa"/>
                  <w:tcBorders>
                    <w:tl2br w:val="nil"/>
                    <w:tr2bl w:val="nil"/>
                  </w:tcBorders>
                  <w:noWrap w:val="0"/>
                  <w:vAlign w:val="center"/>
                </w:tcPr>
                <w:p w14:paraId="55BC47DF">
                  <w:pPr>
                    <w:keepNext w:val="0"/>
                    <w:keepLines w:val="0"/>
                    <w:widowControl/>
                    <w:suppressLineNumbers w:val="0"/>
                    <w:jc w:val="center"/>
                    <w:textAlignment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u w:val="none"/>
                      <w:lang w:val="en-US" w:eastAsia="zh-CN" w:bidi="ar"/>
                    </w:rPr>
                    <w:t>0.001</w:t>
                  </w:r>
                </w:p>
              </w:tc>
              <w:tc>
                <w:tcPr>
                  <w:tcW w:w="1186" w:type="dxa"/>
                  <w:vMerge w:val="continue"/>
                  <w:tcBorders>
                    <w:tl2br w:val="nil"/>
                    <w:tr2bl w:val="nil"/>
                  </w:tcBorders>
                  <w:noWrap w:val="0"/>
                  <w:vAlign w:val="center"/>
                </w:tcPr>
                <w:p w14:paraId="1E79BD9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382" w:type="dxa"/>
                  <w:tcBorders>
                    <w:tl2br w:val="nil"/>
                    <w:tr2bl w:val="nil"/>
                  </w:tcBorders>
                  <w:noWrap w:val="0"/>
                  <w:vAlign w:val="center"/>
                </w:tcPr>
                <w:p w14:paraId="653806D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cs="Times New Roman"/>
                      <w:b w:val="0"/>
                      <w:bCs w:val="0"/>
                      <w:color w:val="auto"/>
                      <w:sz w:val="18"/>
                      <w:szCs w:val="18"/>
                      <w:highlight w:val="none"/>
                      <w:lang w:val="en-US" w:eastAsia="zh-CN"/>
                    </w:rPr>
                    <w:t>/</w:t>
                  </w:r>
                </w:p>
              </w:tc>
              <w:tc>
                <w:tcPr>
                  <w:tcW w:w="336" w:type="dxa"/>
                  <w:vMerge w:val="continue"/>
                  <w:tcBorders>
                    <w:tl2br w:val="nil"/>
                    <w:tr2bl w:val="nil"/>
                  </w:tcBorders>
                  <w:noWrap w:val="0"/>
                  <w:vAlign w:val="center"/>
                </w:tcPr>
                <w:p w14:paraId="1042B4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620" w:type="dxa"/>
                  <w:vMerge w:val="continue"/>
                  <w:tcBorders>
                    <w:tl2br w:val="nil"/>
                    <w:tr2bl w:val="nil"/>
                  </w:tcBorders>
                  <w:noWrap w:val="0"/>
                  <w:vAlign w:val="center"/>
                </w:tcPr>
                <w:p w14:paraId="6923102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616" w:type="dxa"/>
                  <w:tcBorders>
                    <w:tl2br w:val="nil"/>
                    <w:tr2bl w:val="nil"/>
                  </w:tcBorders>
                  <w:noWrap w:val="0"/>
                  <w:vAlign w:val="center"/>
                </w:tcPr>
                <w:p w14:paraId="1E8C14CB">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bCs w:val="0"/>
                      <w:color w:val="FF0000"/>
                      <w:kern w:val="2"/>
                      <w:sz w:val="18"/>
                      <w:szCs w:val="18"/>
                      <w:highlight w:val="none"/>
                      <w:lang w:val="en-US" w:eastAsia="zh-CN" w:bidi="ar-SA"/>
                    </w:rPr>
                  </w:pPr>
                  <w:r>
                    <w:rPr>
                      <w:rFonts w:hint="eastAsia" w:cs="Times New Roman"/>
                      <w:b w:val="0"/>
                      <w:bCs w:val="0"/>
                      <w:color w:val="auto"/>
                      <w:sz w:val="18"/>
                      <w:szCs w:val="18"/>
                      <w:highlight w:val="none"/>
                      <w:lang w:val="en-US" w:eastAsia="zh-CN"/>
                    </w:rPr>
                    <w:t>48.7</w:t>
                  </w:r>
                </w:p>
              </w:tc>
              <w:tc>
                <w:tcPr>
                  <w:tcW w:w="655" w:type="dxa"/>
                  <w:tcBorders>
                    <w:tl2br w:val="nil"/>
                    <w:tr2bl w:val="nil"/>
                  </w:tcBorders>
                  <w:noWrap w:val="0"/>
                  <w:vAlign w:val="center"/>
                </w:tcPr>
                <w:p w14:paraId="3774FFCE">
                  <w:pPr>
                    <w:keepNext w:val="0"/>
                    <w:keepLines w:val="0"/>
                    <w:widowControl/>
                    <w:suppressLineNumbers w:val="0"/>
                    <w:jc w:val="center"/>
                    <w:textAlignment w:val="center"/>
                    <w:rPr>
                      <w:rFonts w:hint="default" w:ascii="Times New Roman" w:hAnsi="Times New Roman" w:eastAsia="宋体" w:cs="Times New Roman"/>
                      <w:b w:val="0"/>
                      <w:bCs w:val="0"/>
                      <w:color w:val="FF0000"/>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0.001</w:t>
                  </w:r>
                </w:p>
              </w:tc>
              <w:tc>
                <w:tcPr>
                  <w:tcW w:w="330" w:type="dxa"/>
                  <w:vMerge w:val="continue"/>
                  <w:tcBorders>
                    <w:tl2br w:val="nil"/>
                    <w:tr2bl w:val="nil"/>
                  </w:tcBorders>
                  <w:noWrap w:val="0"/>
                  <w:vAlign w:val="center"/>
                </w:tcPr>
                <w:p w14:paraId="540278F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r>
            <w:tr w14:paraId="4BBF2D4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5" w:type="dxa"/>
                  <w:vMerge w:val="continue"/>
                  <w:tcBorders>
                    <w:tl2br w:val="nil"/>
                    <w:tr2bl w:val="nil"/>
                  </w:tcBorders>
                  <w:noWrap w:val="0"/>
                  <w:vAlign w:val="center"/>
                </w:tcPr>
                <w:p w14:paraId="2A5FB5D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i w:val="0"/>
                      <w:iCs w:val="0"/>
                      <w:color w:val="auto"/>
                      <w:spacing w:val="0"/>
                      <w:sz w:val="18"/>
                      <w:szCs w:val="18"/>
                      <w:highlight w:val="none"/>
                      <w:vertAlign w:val="baseline"/>
                    </w:rPr>
                  </w:pPr>
                </w:p>
              </w:tc>
              <w:tc>
                <w:tcPr>
                  <w:tcW w:w="505" w:type="dxa"/>
                  <w:vMerge w:val="continue"/>
                  <w:tcBorders>
                    <w:tl2br w:val="nil"/>
                    <w:tr2bl w:val="nil"/>
                  </w:tcBorders>
                  <w:noWrap w:val="0"/>
                  <w:vAlign w:val="center"/>
                </w:tcPr>
                <w:p w14:paraId="7B9991C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i w:val="0"/>
                      <w:iCs w:val="0"/>
                      <w:color w:val="auto"/>
                      <w:spacing w:val="0"/>
                      <w:sz w:val="18"/>
                      <w:szCs w:val="18"/>
                      <w:highlight w:val="none"/>
                      <w:vertAlign w:val="baseline"/>
                    </w:rPr>
                  </w:pPr>
                </w:p>
              </w:tc>
              <w:tc>
                <w:tcPr>
                  <w:tcW w:w="612" w:type="dxa"/>
                  <w:vMerge w:val="continue"/>
                  <w:tcBorders>
                    <w:tl2br w:val="nil"/>
                    <w:tr2bl w:val="nil"/>
                  </w:tcBorders>
                  <w:noWrap w:val="0"/>
                  <w:vAlign w:val="center"/>
                </w:tcPr>
                <w:p w14:paraId="7404428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18"/>
                      <w:szCs w:val="18"/>
                      <w:highlight w:val="none"/>
                      <w:lang w:val="en-US" w:eastAsia="zh-CN"/>
                    </w:rPr>
                  </w:pPr>
                </w:p>
              </w:tc>
              <w:tc>
                <w:tcPr>
                  <w:tcW w:w="746" w:type="dxa"/>
                  <w:tcBorders>
                    <w:tl2br w:val="nil"/>
                    <w:tr2bl w:val="nil"/>
                  </w:tcBorders>
                  <w:noWrap w:val="0"/>
                  <w:vAlign w:val="center"/>
                </w:tcPr>
                <w:p w14:paraId="5A64A40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18"/>
                      <w:szCs w:val="18"/>
                      <w:highlight w:val="none"/>
                      <w:lang w:val="en-US" w:eastAsia="zh-CN"/>
                    </w:rPr>
                  </w:pPr>
                  <w:r>
                    <w:rPr>
                      <w:rFonts w:hint="eastAsia" w:ascii="Times New Roman" w:hAnsi="Times New Roman" w:cs="Times New Roman"/>
                      <w:color w:val="auto"/>
                      <w:sz w:val="18"/>
                      <w:szCs w:val="18"/>
                      <w:highlight w:val="none"/>
                      <w:lang w:val="en-US" w:eastAsia="zh-CN"/>
                    </w:rPr>
                    <w:t>TP</w:t>
                  </w:r>
                </w:p>
              </w:tc>
              <w:tc>
                <w:tcPr>
                  <w:tcW w:w="427" w:type="dxa"/>
                  <w:vMerge w:val="continue"/>
                  <w:tcBorders>
                    <w:tl2br w:val="nil"/>
                    <w:tr2bl w:val="nil"/>
                  </w:tcBorders>
                  <w:noWrap w:val="0"/>
                  <w:vAlign w:val="center"/>
                </w:tcPr>
                <w:p w14:paraId="5703B7C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FF0000"/>
                      <w:spacing w:val="0"/>
                      <w:kern w:val="0"/>
                      <w:sz w:val="18"/>
                      <w:szCs w:val="18"/>
                      <w:highlight w:val="none"/>
                      <w:lang w:eastAsia="zh-CN"/>
                    </w:rPr>
                  </w:pPr>
                </w:p>
              </w:tc>
              <w:tc>
                <w:tcPr>
                  <w:tcW w:w="646" w:type="dxa"/>
                  <w:vMerge w:val="continue"/>
                  <w:tcBorders>
                    <w:tl2br w:val="nil"/>
                    <w:tr2bl w:val="nil"/>
                  </w:tcBorders>
                  <w:noWrap w:val="0"/>
                  <w:vAlign w:val="center"/>
                </w:tcPr>
                <w:p w14:paraId="4874539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671" w:type="dxa"/>
                  <w:tcBorders>
                    <w:tl2br w:val="nil"/>
                    <w:tr2bl w:val="nil"/>
                  </w:tcBorders>
                  <w:noWrap w:val="0"/>
                  <w:vAlign w:val="center"/>
                </w:tcPr>
                <w:p w14:paraId="7C027DEA">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4.42</w:t>
                  </w:r>
                </w:p>
              </w:tc>
              <w:tc>
                <w:tcPr>
                  <w:tcW w:w="729" w:type="dxa"/>
                  <w:tcBorders>
                    <w:tl2br w:val="nil"/>
                    <w:tr2bl w:val="nil"/>
                  </w:tcBorders>
                  <w:noWrap w:val="0"/>
                  <w:vAlign w:val="center"/>
                </w:tcPr>
                <w:p w14:paraId="76D57682">
                  <w:pPr>
                    <w:keepNext w:val="0"/>
                    <w:keepLines w:val="0"/>
                    <w:widowControl/>
                    <w:suppressLineNumbers w:val="0"/>
                    <w:jc w:val="center"/>
                    <w:textAlignment w:val="center"/>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u w:val="none"/>
                      <w:lang w:val="en-US" w:eastAsia="zh-CN" w:bidi="ar"/>
                    </w:rPr>
                    <w:t>0.0001</w:t>
                  </w:r>
                </w:p>
              </w:tc>
              <w:tc>
                <w:tcPr>
                  <w:tcW w:w="1186" w:type="dxa"/>
                  <w:vMerge w:val="continue"/>
                  <w:tcBorders>
                    <w:tl2br w:val="nil"/>
                    <w:tr2bl w:val="nil"/>
                  </w:tcBorders>
                  <w:noWrap w:val="0"/>
                  <w:vAlign w:val="center"/>
                </w:tcPr>
                <w:p w14:paraId="35DDF54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382" w:type="dxa"/>
                  <w:tcBorders>
                    <w:tl2br w:val="nil"/>
                    <w:tr2bl w:val="nil"/>
                  </w:tcBorders>
                  <w:noWrap w:val="0"/>
                  <w:vAlign w:val="center"/>
                </w:tcPr>
                <w:p w14:paraId="45FBF92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6" w:type="dxa"/>
                  <w:vMerge w:val="continue"/>
                  <w:tcBorders>
                    <w:tl2br w:val="nil"/>
                    <w:tr2bl w:val="nil"/>
                  </w:tcBorders>
                  <w:noWrap w:val="0"/>
                  <w:vAlign w:val="center"/>
                </w:tcPr>
                <w:p w14:paraId="6A1E0C4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620" w:type="dxa"/>
                  <w:vMerge w:val="continue"/>
                  <w:tcBorders>
                    <w:tl2br w:val="nil"/>
                    <w:tr2bl w:val="nil"/>
                  </w:tcBorders>
                  <w:noWrap w:val="0"/>
                  <w:vAlign w:val="center"/>
                </w:tcPr>
                <w:p w14:paraId="707F2A2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616" w:type="dxa"/>
                  <w:tcBorders>
                    <w:tl2br w:val="nil"/>
                    <w:tr2bl w:val="nil"/>
                  </w:tcBorders>
                  <w:noWrap w:val="0"/>
                  <w:vAlign w:val="center"/>
                </w:tcPr>
                <w:p w14:paraId="05AEE036">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cs="Times New Roman"/>
                      <w:b w:val="0"/>
                      <w:bCs w:val="0"/>
                      <w:color w:val="FF0000"/>
                      <w:sz w:val="18"/>
                      <w:szCs w:val="18"/>
                      <w:highlight w:val="none"/>
                      <w:lang w:val="en-US" w:eastAsia="zh-CN"/>
                    </w:rPr>
                  </w:pPr>
                  <w:r>
                    <w:rPr>
                      <w:rFonts w:hint="eastAsia" w:cs="Times New Roman"/>
                      <w:b w:val="0"/>
                      <w:bCs w:val="0"/>
                      <w:color w:val="auto"/>
                      <w:sz w:val="18"/>
                      <w:szCs w:val="18"/>
                      <w:highlight w:val="none"/>
                      <w:lang w:val="en-US" w:eastAsia="zh-CN"/>
                    </w:rPr>
                    <w:t>4.42</w:t>
                  </w:r>
                </w:p>
              </w:tc>
              <w:tc>
                <w:tcPr>
                  <w:tcW w:w="655" w:type="dxa"/>
                  <w:tcBorders>
                    <w:tl2br w:val="nil"/>
                    <w:tr2bl w:val="nil"/>
                  </w:tcBorders>
                  <w:noWrap w:val="0"/>
                  <w:vAlign w:val="center"/>
                </w:tcPr>
                <w:p w14:paraId="3325BF64">
                  <w:pPr>
                    <w:keepNext w:val="0"/>
                    <w:keepLines w:val="0"/>
                    <w:widowControl/>
                    <w:suppressLineNumbers w:val="0"/>
                    <w:jc w:val="center"/>
                    <w:textAlignment w:val="center"/>
                    <w:rPr>
                      <w:rFonts w:hint="eastAsia" w:ascii="Times New Roman" w:hAnsi="Times New Roman" w:cs="Times New Roman"/>
                      <w:b w:val="0"/>
                      <w:bCs w:val="0"/>
                      <w:color w:val="FF0000"/>
                      <w:sz w:val="18"/>
                      <w:szCs w:val="18"/>
                      <w:highlight w:val="none"/>
                      <w:lang w:val="en-US" w:eastAsia="zh-CN"/>
                    </w:rPr>
                  </w:pPr>
                  <w:r>
                    <w:rPr>
                      <w:rFonts w:hint="default" w:ascii="Times New Roman" w:hAnsi="Times New Roman" w:eastAsia="宋体" w:cs="Times New Roman"/>
                      <w:i w:val="0"/>
                      <w:iCs w:val="0"/>
                      <w:color w:val="auto"/>
                      <w:kern w:val="0"/>
                      <w:sz w:val="18"/>
                      <w:szCs w:val="18"/>
                      <w:u w:val="none"/>
                      <w:lang w:val="en-US" w:eastAsia="zh-CN" w:bidi="ar"/>
                    </w:rPr>
                    <w:t>0.0001</w:t>
                  </w:r>
                </w:p>
              </w:tc>
              <w:tc>
                <w:tcPr>
                  <w:tcW w:w="330" w:type="dxa"/>
                  <w:vMerge w:val="continue"/>
                  <w:tcBorders>
                    <w:tl2br w:val="nil"/>
                    <w:tr2bl w:val="nil"/>
                  </w:tcBorders>
                  <w:noWrap w:val="0"/>
                  <w:vAlign w:val="center"/>
                </w:tcPr>
                <w:p w14:paraId="0D17A04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r>
            <w:tr w14:paraId="7795D94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25" w:type="dxa"/>
                  <w:vMerge w:val="restart"/>
                  <w:tcBorders>
                    <w:tl2br w:val="nil"/>
                    <w:tr2bl w:val="nil"/>
                  </w:tcBorders>
                  <w:noWrap w:val="0"/>
                  <w:vAlign w:val="center"/>
                </w:tcPr>
                <w:p w14:paraId="4E20E4F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18"/>
                      <w:szCs w:val="18"/>
                      <w:highlight w:val="none"/>
                      <w:vertAlign w:val="baseline"/>
                      <w:lang w:val="en-US" w:eastAsia="zh-CN"/>
                    </w:rPr>
                  </w:pPr>
                  <w:r>
                    <w:rPr>
                      <w:rFonts w:hint="eastAsia" w:cs="Times New Roman"/>
                      <w:b w:val="0"/>
                      <w:bCs w:val="0"/>
                      <w:i w:val="0"/>
                      <w:iCs w:val="0"/>
                      <w:color w:val="auto"/>
                      <w:spacing w:val="0"/>
                      <w:sz w:val="18"/>
                      <w:szCs w:val="18"/>
                      <w:highlight w:val="none"/>
                      <w:vertAlign w:val="baseline"/>
                      <w:lang w:val="en-US" w:eastAsia="zh-CN"/>
                    </w:rPr>
                    <w:t>锅炉房</w:t>
                  </w:r>
                </w:p>
              </w:tc>
              <w:tc>
                <w:tcPr>
                  <w:tcW w:w="505" w:type="dxa"/>
                  <w:vMerge w:val="restart"/>
                  <w:tcBorders>
                    <w:tl2br w:val="nil"/>
                    <w:tr2bl w:val="nil"/>
                  </w:tcBorders>
                  <w:noWrap w:val="0"/>
                  <w:vAlign w:val="center"/>
                </w:tcPr>
                <w:p w14:paraId="3981BDB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i w:val="0"/>
                      <w:iCs w:val="0"/>
                      <w:color w:val="auto"/>
                      <w:spacing w:val="0"/>
                      <w:sz w:val="18"/>
                      <w:szCs w:val="18"/>
                      <w:highlight w:val="none"/>
                      <w:vertAlign w:val="baseline"/>
                      <w:lang w:val="en-US" w:eastAsia="zh-CN"/>
                    </w:rPr>
                  </w:pPr>
                  <w:r>
                    <w:rPr>
                      <w:rFonts w:hint="eastAsia" w:cs="Times New Roman"/>
                      <w:b w:val="0"/>
                      <w:bCs w:val="0"/>
                      <w:i w:val="0"/>
                      <w:iCs w:val="0"/>
                      <w:color w:val="auto"/>
                      <w:spacing w:val="0"/>
                      <w:sz w:val="18"/>
                      <w:szCs w:val="18"/>
                      <w:highlight w:val="none"/>
                      <w:vertAlign w:val="baseline"/>
                      <w:lang w:val="en-US" w:eastAsia="zh-CN"/>
                    </w:rPr>
                    <w:t>锅炉房</w:t>
                  </w:r>
                </w:p>
              </w:tc>
              <w:tc>
                <w:tcPr>
                  <w:tcW w:w="612" w:type="dxa"/>
                  <w:vMerge w:val="restart"/>
                  <w:tcBorders>
                    <w:tl2br w:val="nil"/>
                    <w:tr2bl w:val="nil"/>
                  </w:tcBorders>
                  <w:noWrap w:val="0"/>
                  <w:vAlign w:val="center"/>
                </w:tcPr>
                <w:p w14:paraId="2B3BCE5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18"/>
                      <w:szCs w:val="18"/>
                      <w:highlight w:val="none"/>
                      <w:lang w:val="en-US" w:eastAsia="zh-CN"/>
                    </w:rPr>
                  </w:pPr>
                  <w:r>
                    <w:rPr>
                      <w:rFonts w:hint="eastAsia" w:ascii="Times New Roman" w:hAnsi="Times New Roman" w:eastAsia="宋体" w:cs="Times New Roman"/>
                      <w:b w:val="0"/>
                      <w:bCs w:val="0"/>
                      <w:i w:val="0"/>
                      <w:iCs w:val="0"/>
                      <w:color w:val="auto"/>
                      <w:spacing w:val="0"/>
                      <w:sz w:val="18"/>
                      <w:szCs w:val="18"/>
                      <w:highlight w:val="none"/>
                      <w:vertAlign w:val="baseline"/>
                      <w:lang w:val="en-US" w:eastAsia="zh-CN"/>
                    </w:rPr>
                    <w:t>锅炉排污水及软化处理废水</w:t>
                  </w:r>
                </w:p>
              </w:tc>
              <w:tc>
                <w:tcPr>
                  <w:tcW w:w="746" w:type="dxa"/>
                  <w:tcBorders>
                    <w:tl2br w:val="nil"/>
                    <w:tr2bl w:val="nil"/>
                  </w:tcBorders>
                  <w:noWrap w:val="0"/>
                  <w:vAlign w:val="center"/>
                </w:tcPr>
                <w:p w14:paraId="0EA51EF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pH</w:t>
                  </w:r>
                </w:p>
              </w:tc>
              <w:tc>
                <w:tcPr>
                  <w:tcW w:w="427" w:type="dxa"/>
                  <w:vMerge w:val="restart"/>
                  <w:tcBorders>
                    <w:tl2br w:val="nil"/>
                    <w:tr2bl w:val="nil"/>
                  </w:tcBorders>
                  <w:noWrap w:val="0"/>
                  <w:vAlign w:val="center"/>
                </w:tcPr>
                <w:p w14:paraId="2F2A07E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18"/>
                      <w:szCs w:val="18"/>
                      <w:highlight w:val="none"/>
                      <w:lang w:val="en-US" w:eastAsia="zh-CN"/>
                    </w:rPr>
                  </w:pPr>
                  <w:r>
                    <w:rPr>
                      <w:rFonts w:hint="eastAsia" w:cs="Times New Roman"/>
                      <w:b w:val="0"/>
                      <w:bCs w:val="0"/>
                      <w:i w:val="0"/>
                      <w:iCs w:val="0"/>
                      <w:color w:val="auto"/>
                      <w:spacing w:val="0"/>
                      <w:kern w:val="0"/>
                      <w:sz w:val="18"/>
                      <w:szCs w:val="18"/>
                      <w:highlight w:val="none"/>
                      <w:lang w:val="en-US" w:eastAsia="zh-CN"/>
                    </w:rPr>
                    <w:t>系数法</w:t>
                  </w:r>
                </w:p>
              </w:tc>
              <w:tc>
                <w:tcPr>
                  <w:tcW w:w="646" w:type="dxa"/>
                  <w:vMerge w:val="restart"/>
                  <w:tcBorders>
                    <w:tl2br w:val="nil"/>
                    <w:tr2bl w:val="nil"/>
                  </w:tcBorders>
                  <w:noWrap w:val="0"/>
                  <w:vAlign w:val="center"/>
                </w:tcPr>
                <w:p w14:paraId="343A5A8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Cs/>
                      <w:color w:val="auto"/>
                      <w:sz w:val="18"/>
                      <w:szCs w:val="18"/>
                      <w:highlight w:val="none"/>
                      <w:lang w:val="en-US" w:eastAsia="zh-CN"/>
                    </w:rPr>
                    <w:t>2001</w:t>
                  </w:r>
                </w:p>
              </w:tc>
              <w:tc>
                <w:tcPr>
                  <w:tcW w:w="671" w:type="dxa"/>
                  <w:tcBorders>
                    <w:tl2br w:val="nil"/>
                    <w:tr2bl w:val="nil"/>
                  </w:tcBorders>
                  <w:noWrap w:val="0"/>
                  <w:vAlign w:val="center"/>
                </w:tcPr>
                <w:p w14:paraId="3C710474">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6~9</w:t>
                  </w:r>
                  <w:r>
                    <w:rPr>
                      <w:rFonts w:hint="eastAsia" w:cs="Times New Roman"/>
                      <w:b w:val="0"/>
                      <w:bCs w:val="0"/>
                      <w:color w:val="auto"/>
                      <w:sz w:val="18"/>
                      <w:szCs w:val="18"/>
                      <w:highlight w:val="none"/>
                      <w:lang w:val="en-US" w:eastAsia="zh-CN"/>
                    </w:rPr>
                    <w:t>（无量纲）</w:t>
                  </w:r>
                </w:p>
              </w:tc>
              <w:tc>
                <w:tcPr>
                  <w:tcW w:w="729" w:type="dxa"/>
                  <w:tcBorders>
                    <w:tl2br w:val="nil"/>
                    <w:tr2bl w:val="nil"/>
                  </w:tcBorders>
                  <w:noWrap w:val="0"/>
                  <w:vAlign w:val="center"/>
                </w:tcPr>
                <w:p w14:paraId="7FDB79D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bCs/>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1186" w:type="dxa"/>
                  <w:vMerge w:val="continue"/>
                  <w:tcBorders>
                    <w:tl2br w:val="nil"/>
                    <w:tr2bl w:val="nil"/>
                  </w:tcBorders>
                  <w:noWrap w:val="0"/>
                  <w:vAlign w:val="center"/>
                </w:tcPr>
                <w:p w14:paraId="24BCB9B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z w:val="18"/>
                      <w:szCs w:val="18"/>
                      <w:highlight w:val="none"/>
                      <w:lang w:val="en-US" w:eastAsia="zh-CN"/>
                    </w:rPr>
                  </w:pPr>
                </w:p>
              </w:tc>
              <w:tc>
                <w:tcPr>
                  <w:tcW w:w="382" w:type="dxa"/>
                  <w:tcBorders>
                    <w:tl2br w:val="nil"/>
                    <w:tr2bl w:val="nil"/>
                  </w:tcBorders>
                  <w:noWrap w:val="0"/>
                  <w:vAlign w:val="center"/>
                </w:tcPr>
                <w:p w14:paraId="7B948F3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6" w:type="dxa"/>
                  <w:vMerge w:val="restart"/>
                  <w:tcBorders>
                    <w:tl2br w:val="nil"/>
                    <w:tr2bl w:val="nil"/>
                  </w:tcBorders>
                  <w:noWrap w:val="0"/>
                  <w:vAlign w:val="center"/>
                </w:tcPr>
                <w:p w14:paraId="38BA5B1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z w:val="18"/>
                      <w:szCs w:val="18"/>
                      <w:highlight w:val="none"/>
                      <w:lang w:val="en-US" w:eastAsia="zh-CN"/>
                    </w:rPr>
                  </w:pPr>
                  <w:r>
                    <w:rPr>
                      <w:rFonts w:hint="eastAsia" w:cs="Times New Roman"/>
                      <w:b w:val="0"/>
                      <w:bCs w:val="0"/>
                      <w:i w:val="0"/>
                      <w:iCs w:val="0"/>
                      <w:color w:val="auto"/>
                      <w:spacing w:val="0"/>
                      <w:kern w:val="0"/>
                      <w:sz w:val="18"/>
                      <w:szCs w:val="18"/>
                      <w:highlight w:val="none"/>
                      <w:lang w:val="en-US" w:eastAsia="zh-CN"/>
                    </w:rPr>
                    <w:t>系数法</w:t>
                  </w:r>
                </w:p>
              </w:tc>
              <w:tc>
                <w:tcPr>
                  <w:tcW w:w="620" w:type="dxa"/>
                  <w:vMerge w:val="restart"/>
                  <w:tcBorders>
                    <w:tl2br w:val="nil"/>
                    <w:tr2bl w:val="nil"/>
                  </w:tcBorders>
                  <w:noWrap w:val="0"/>
                  <w:vAlign w:val="center"/>
                </w:tcPr>
                <w:p w14:paraId="21FD236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r>
                    <w:rPr>
                      <w:rFonts w:hint="eastAsia" w:cs="Times New Roman"/>
                      <w:bCs/>
                      <w:color w:val="auto"/>
                      <w:sz w:val="18"/>
                      <w:szCs w:val="18"/>
                      <w:highlight w:val="none"/>
                      <w:lang w:val="en-US" w:eastAsia="zh-CN"/>
                    </w:rPr>
                    <w:t>2001</w:t>
                  </w:r>
                </w:p>
              </w:tc>
              <w:tc>
                <w:tcPr>
                  <w:tcW w:w="616" w:type="dxa"/>
                  <w:tcBorders>
                    <w:tl2br w:val="nil"/>
                    <w:tr2bl w:val="nil"/>
                  </w:tcBorders>
                  <w:noWrap w:val="0"/>
                  <w:vAlign w:val="center"/>
                </w:tcPr>
                <w:p w14:paraId="513323CE">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b w:val="0"/>
                      <w:bCs w:val="0"/>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6~9</w:t>
                  </w:r>
                  <w:r>
                    <w:rPr>
                      <w:rFonts w:hint="eastAsia" w:cs="Times New Roman"/>
                      <w:b w:val="0"/>
                      <w:bCs w:val="0"/>
                      <w:color w:val="auto"/>
                      <w:sz w:val="18"/>
                      <w:szCs w:val="18"/>
                      <w:highlight w:val="none"/>
                      <w:lang w:val="en-US" w:eastAsia="zh-CN"/>
                    </w:rPr>
                    <w:t>（无量纲）</w:t>
                  </w:r>
                </w:p>
              </w:tc>
              <w:tc>
                <w:tcPr>
                  <w:tcW w:w="655" w:type="dxa"/>
                  <w:tcBorders>
                    <w:tl2br w:val="nil"/>
                    <w:tr2bl w:val="nil"/>
                  </w:tcBorders>
                  <w:noWrap w:val="0"/>
                  <w:vAlign w:val="center"/>
                </w:tcPr>
                <w:p w14:paraId="79A306C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r>
                    <w:rPr>
                      <w:rFonts w:hint="default" w:ascii="Times New Roman" w:hAnsi="Times New Roman" w:cs="Times New Roman"/>
                      <w:b w:val="0"/>
                      <w:bCs w:val="0"/>
                      <w:color w:val="auto"/>
                      <w:sz w:val="18"/>
                      <w:szCs w:val="18"/>
                      <w:highlight w:val="none"/>
                      <w:lang w:val="en-US" w:eastAsia="zh-CN"/>
                    </w:rPr>
                    <w:t>/</w:t>
                  </w:r>
                </w:p>
              </w:tc>
              <w:tc>
                <w:tcPr>
                  <w:tcW w:w="330" w:type="dxa"/>
                  <w:vMerge w:val="continue"/>
                  <w:tcBorders>
                    <w:tl2br w:val="nil"/>
                    <w:tr2bl w:val="nil"/>
                  </w:tcBorders>
                  <w:noWrap w:val="0"/>
                  <w:vAlign w:val="center"/>
                </w:tcPr>
                <w:p w14:paraId="6A5982E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r>
            <w:tr w14:paraId="270433A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5" w:type="dxa"/>
                  <w:vMerge w:val="continue"/>
                  <w:tcBorders>
                    <w:tl2br w:val="nil"/>
                    <w:tr2bl w:val="nil"/>
                  </w:tcBorders>
                  <w:noWrap w:val="0"/>
                  <w:vAlign w:val="center"/>
                </w:tcPr>
                <w:p w14:paraId="7CFB1A8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FF0000"/>
                      <w:spacing w:val="0"/>
                      <w:sz w:val="18"/>
                      <w:szCs w:val="18"/>
                      <w:highlight w:val="none"/>
                      <w:vertAlign w:val="baseline"/>
                      <w:lang w:val="en-US" w:eastAsia="zh-CN"/>
                    </w:rPr>
                  </w:pPr>
                </w:p>
              </w:tc>
              <w:tc>
                <w:tcPr>
                  <w:tcW w:w="505" w:type="dxa"/>
                  <w:vMerge w:val="continue"/>
                  <w:tcBorders>
                    <w:tl2br w:val="nil"/>
                    <w:tr2bl w:val="nil"/>
                  </w:tcBorders>
                  <w:noWrap w:val="0"/>
                  <w:vAlign w:val="center"/>
                </w:tcPr>
                <w:p w14:paraId="7456ABB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i w:val="0"/>
                      <w:iCs w:val="0"/>
                      <w:color w:val="FF0000"/>
                      <w:spacing w:val="0"/>
                      <w:sz w:val="18"/>
                      <w:szCs w:val="18"/>
                      <w:highlight w:val="none"/>
                      <w:vertAlign w:val="baseline"/>
                      <w:lang w:val="en-US" w:eastAsia="zh-CN"/>
                    </w:rPr>
                  </w:pPr>
                </w:p>
              </w:tc>
              <w:tc>
                <w:tcPr>
                  <w:tcW w:w="612" w:type="dxa"/>
                  <w:vMerge w:val="continue"/>
                  <w:tcBorders>
                    <w:tl2br w:val="nil"/>
                    <w:tr2bl w:val="nil"/>
                  </w:tcBorders>
                  <w:noWrap w:val="0"/>
                  <w:vAlign w:val="center"/>
                </w:tcPr>
                <w:p w14:paraId="2DE1CE3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FF0000"/>
                      <w:spacing w:val="0"/>
                      <w:kern w:val="0"/>
                      <w:sz w:val="18"/>
                      <w:szCs w:val="18"/>
                      <w:highlight w:val="none"/>
                      <w:lang w:val="en-US" w:eastAsia="zh-CN"/>
                    </w:rPr>
                  </w:pPr>
                </w:p>
              </w:tc>
              <w:tc>
                <w:tcPr>
                  <w:tcW w:w="746" w:type="dxa"/>
                  <w:tcBorders>
                    <w:tl2br w:val="nil"/>
                    <w:tr2bl w:val="nil"/>
                  </w:tcBorders>
                  <w:noWrap w:val="0"/>
                  <w:vAlign w:val="center"/>
                </w:tcPr>
                <w:p w14:paraId="060EDC3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COD</w:t>
                  </w:r>
                </w:p>
              </w:tc>
              <w:tc>
                <w:tcPr>
                  <w:tcW w:w="427" w:type="dxa"/>
                  <w:vMerge w:val="continue"/>
                  <w:tcBorders>
                    <w:tl2br w:val="nil"/>
                    <w:tr2bl w:val="nil"/>
                  </w:tcBorders>
                  <w:noWrap w:val="0"/>
                  <w:vAlign w:val="center"/>
                </w:tcPr>
                <w:p w14:paraId="53E53EE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FF0000"/>
                      <w:spacing w:val="0"/>
                      <w:kern w:val="0"/>
                      <w:sz w:val="18"/>
                      <w:szCs w:val="18"/>
                      <w:highlight w:val="none"/>
                      <w:lang w:val="en-US" w:eastAsia="zh-CN"/>
                    </w:rPr>
                  </w:pPr>
                </w:p>
              </w:tc>
              <w:tc>
                <w:tcPr>
                  <w:tcW w:w="646" w:type="dxa"/>
                  <w:vMerge w:val="continue"/>
                  <w:tcBorders>
                    <w:tl2br w:val="nil"/>
                    <w:tr2bl w:val="nil"/>
                  </w:tcBorders>
                  <w:noWrap w:val="0"/>
                  <w:vAlign w:val="center"/>
                </w:tcPr>
                <w:p w14:paraId="75D77F6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c>
                <w:tcPr>
                  <w:tcW w:w="671" w:type="dxa"/>
                  <w:tcBorders>
                    <w:tl2br w:val="nil"/>
                    <w:tr2bl w:val="nil"/>
                  </w:tcBorders>
                  <w:noWrap w:val="0"/>
                  <w:vAlign w:val="center"/>
                </w:tcPr>
                <w:p w14:paraId="0BB9E81B">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8</w:t>
                  </w:r>
                  <w:r>
                    <w:rPr>
                      <w:rFonts w:hint="eastAsia" w:cs="Times New Roman"/>
                      <w:bCs/>
                      <w:color w:val="auto"/>
                      <w:sz w:val="18"/>
                      <w:szCs w:val="18"/>
                      <w:highlight w:val="none"/>
                      <w:lang w:val="en-US" w:eastAsia="zh-CN"/>
                    </w:rPr>
                    <w:t>5</w:t>
                  </w:r>
                  <w:r>
                    <w:rPr>
                      <w:rFonts w:hint="eastAsia" w:ascii="Times New Roman" w:hAnsi="Times New Roman" w:eastAsia="宋体" w:cs="Times New Roman"/>
                      <w:bCs/>
                      <w:color w:val="auto"/>
                      <w:sz w:val="18"/>
                      <w:szCs w:val="18"/>
                      <w:highlight w:val="none"/>
                      <w:lang w:val="en-US" w:eastAsia="zh-CN"/>
                    </w:rPr>
                    <w:t>.</w:t>
                  </w:r>
                  <w:r>
                    <w:rPr>
                      <w:rFonts w:hint="eastAsia" w:cs="Times New Roman"/>
                      <w:bCs/>
                      <w:color w:val="auto"/>
                      <w:sz w:val="18"/>
                      <w:szCs w:val="18"/>
                      <w:highlight w:val="none"/>
                      <w:lang w:val="en-US" w:eastAsia="zh-CN"/>
                    </w:rPr>
                    <w:t>61</w:t>
                  </w:r>
                </w:p>
              </w:tc>
              <w:tc>
                <w:tcPr>
                  <w:tcW w:w="729" w:type="dxa"/>
                  <w:tcBorders>
                    <w:tl2br w:val="nil"/>
                    <w:tr2bl w:val="nil"/>
                  </w:tcBorders>
                  <w:noWrap w:val="0"/>
                  <w:vAlign w:val="center"/>
                </w:tcPr>
                <w:p w14:paraId="0540F0B6">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0.171</w:t>
                  </w:r>
                </w:p>
              </w:tc>
              <w:tc>
                <w:tcPr>
                  <w:tcW w:w="1186" w:type="dxa"/>
                  <w:vMerge w:val="continue"/>
                  <w:tcBorders>
                    <w:tl2br w:val="nil"/>
                    <w:tr2bl w:val="nil"/>
                  </w:tcBorders>
                  <w:noWrap w:val="0"/>
                  <w:vAlign w:val="center"/>
                </w:tcPr>
                <w:p w14:paraId="6C1D850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rPr>
                      <w:rFonts w:hint="default" w:ascii="Times New Roman" w:hAnsi="Times New Roman" w:eastAsia="宋体" w:cs="Times New Roman"/>
                      <w:b w:val="0"/>
                      <w:bCs w:val="0"/>
                      <w:color w:val="auto"/>
                      <w:sz w:val="18"/>
                      <w:szCs w:val="18"/>
                      <w:highlight w:val="none"/>
                      <w:lang w:val="en-US" w:eastAsia="zh-CN"/>
                    </w:rPr>
                  </w:pPr>
                </w:p>
              </w:tc>
              <w:tc>
                <w:tcPr>
                  <w:tcW w:w="382" w:type="dxa"/>
                  <w:tcBorders>
                    <w:tl2br w:val="nil"/>
                    <w:tr2bl w:val="nil"/>
                  </w:tcBorders>
                  <w:noWrap w:val="0"/>
                  <w:vAlign w:val="center"/>
                </w:tcPr>
                <w:p w14:paraId="2BB9AB1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6" w:type="dxa"/>
                  <w:vMerge w:val="continue"/>
                  <w:tcBorders>
                    <w:tl2br w:val="nil"/>
                    <w:tr2bl w:val="nil"/>
                  </w:tcBorders>
                  <w:noWrap w:val="0"/>
                  <w:vAlign w:val="center"/>
                </w:tcPr>
                <w:p w14:paraId="310E472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z w:val="18"/>
                      <w:szCs w:val="18"/>
                      <w:highlight w:val="none"/>
                      <w:lang w:val="en-US" w:eastAsia="zh-CN"/>
                    </w:rPr>
                  </w:pPr>
                </w:p>
              </w:tc>
              <w:tc>
                <w:tcPr>
                  <w:tcW w:w="620" w:type="dxa"/>
                  <w:vMerge w:val="continue"/>
                  <w:tcBorders>
                    <w:tl2br w:val="nil"/>
                    <w:tr2bl w:val="nil"/>
                  </w:tcBorders>
                  <w:noWrap w:val="0"/>
                  <w:vAlign w:val="center"/>
                </w:tcPr>
                <w:p w14:paraId="24E6603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z w:val="18"/>
                      <w:szCs w:val="18"/>
                      <w:highlight w:val="none"/>
                      <w:lang w:val="en-US" w:eastAsia="zh-CN"/>
                    </w:rPr>
                  </w:pPr>
                </w:p>
              </w:tc>
              <w:tc>
                <w:tcPr>
                  <w:tcW w:w="616" w:type="dxa"/>
                  <w:tcBorders>
                    <w:tl2br w:val="nil"/>
                    <w:tr2bl w:val="nil"/>
                  </w:tcBorders>
                  <w:noWrap w:val="0"/>
                  <w:vAlign w:val="center"/>
                </w:tcPr>
                <w:p w14:paraId="5646D0E3">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cs="Times New Roman"/>
                      <w:b w:val="0"/>
                      <w:bCs w:val="0"/>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8</w:t>
                  </w:r>
                  <w:r>
                    <w:rPr>
                      <w:rFonts w:hint="eastAsia" w:cs="Times New Roman"/>
                      <w:bCs/>
                      <w:color w:val="auto"/>
                      <w:sz w:val="18"/>
                      <w:szCs w:val="18"/>
                      <w:highlight w:val="none"/>
                      <w:lang w:val="en-US" w:eastAsia="zh-CN"/>
                    </w:rPr>
                    <w:t>5</w:t>
                  </w:r>
                  <w:r>
                    <w:rPr>
                      <w:rFonts w:hint="eastAsia" w:ascii="Times New Roman" w:hAnsi="Times New Roman" w:eastAsia="宋体" w:cs="Times New Roman"/>
                      <w:bCs/>
                      <w:color w:val="auto"/>
                      <w:sz w:val="18"/>
                      <w:szCs w:val="18"/>
                      <w:highlight w:val="none"/>
                      <w:lang w:val="en-US" w:eastAsia="zh-CN"/>
                    </w:rPr>
                    <w:t>.</w:t>
                  </w:r>
                  <w:r>
                    <w:rPr>
                      <w:rFonts w:hint="eastAsia" w:cs="Times New Roman"/>
                      <w:bCs/>
                      <w:color w:val="auto"/>
                      <w:sz w:val="18"/>
                      <w:szCs w:val="18"/>
                      <w:highlight w:val="none"/>
                      <w:lang w:val="en-US" w:eastAsia="zh-CN"/>
                    </w:rPr>
                    <w:t>61</w:t>
                  </w:r>
                </w:p>
              </w:tc>
              <w:tc>
                <w:tcPr>
                  <w:tcW w:w="655" w:type="dxa"/>
                  <w:tcBorders>
                    <w:tl2br w:val="nil"/>
                    <w:tr2bl w:val="nil"/>
                  </w:tcBorders>
                  <w:noWrap w:val="0"/>
                  <w:vAlign w:val="center"/>
                </w:tcPr>
                <w:p w14:paraId="4EE883C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z w:val="18"/>
                      <w:szCs w:val="18"/>
                      <w:highlight w:val="none"/>
                      <w:lang w:val="en-US" w:eastAsia="zh-CN"/>
                    </w:rPr>
                  </w:pPr>
                  <w:r>
                    <w:rPr>
                      <w:rFonts w:hint="eastAsia" w:cs="Times New Roman"/>
                      <w:bCs/>
                      <w:color w:val="auto"/>
                      <w:sz w:val="18"/>
                      <w:szCs w:val="18"/>
                      <w:highlight w:val="none"/>
                      <w:lang w:val="en-US" w:eastAsia="zh-CN"/>
                    </w:rPr>
                    <w:t>0.171</w:t>
                  </w:r>
                </w:p>
              </w:tc>
              <w:tc>
                <w:tcPr>
                  <w:tcW w:w="330" w:type="dxa"/>
                  <w:vMerge w:val="continue"/>
                  <w:tcBorders>
                    <w:tl2br w:val="nil"/>
                    <w:tr2bl w:val="nil"/>
                  </w:tcBorders>
                  <w:noWrap w:val="0"/>
                  <w:vAlign w:val="center"/>
                </w:tcPr>
                <w:p w14:paraId="6A58761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r>
            <w:tr w14:paraId="2180E97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425" w:type="dxa"/>
                  <w:vMerge w:val="continue"/>
                  <w:tcBorders>
                    <w:tl2br w:val="nil"/>
                    <w:tr2bl w:val="nil"/>
                  </w:tcBorders>
                  <w:noWrap w:val="0"/>
                  <w:vAlign w:val="center"/>
                </w:tcPr>
                <w:p w14:paraId="3888908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505" w:type="dxa"/>
                  <w:vMerge w:val="continue"/>
                  <w:tcBorders>
                    <w:tl2br w:val="nil"/>
                    <w:tr2bl w:val="nil"/>
                  </w:tcBorders>
                  <w:noWrap w:val="0"/>
                  <w:vAlign w:val="center"/>
                </w:tcPr>
                <w:p w14:paraId="68A9E7D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612" w:type="dxa"/>
                  <w:vMerge w:val="continue"/>
                  <w:tcBorders>
                    <w:tl2br w:val="nil"/>
                    <w:tr2bl w:val="nil"/>
                  </w:tcBorders>
                  <w:noWrap w:val="0"/>
                  <w:vAlign w:val="center"/>
                </w:tcPr>
                <w:p w14:paraId="4A55C27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i w:val="0"/>
                      <w:iCs w:val="0"/>
                      <w:color w:val="FF0000"/>
                      <w:spacing w:val="0"/>
                      <w:sz w:val="18"/>
                      <w:szCs w:val="18"/>
                      <w:highlight w:val="none"/>
                      <w:vertAlign w:val="baseline"/>
                      <w:lang w:val="en-US" w:eastAsia="zh-CN"/>
                    </w:rPr>
                  </w:pPr>
                </w:p>
              </w:tc>
              <w:tc>
                <w:tcPr>
                  <w:tcW w:w="746" w:type="dxa"/>
                  <w:tcBorders>
                    <w:tl2br w:val="nil"/>
                    <w:tr2bl w:val="nil"/>
                  </w:tcBorders>
                  <w:noWrap w:val="0"/>
                  <w:vAlign w:val="center"/>
                </w:tcPr>
                <w:p w14:paraId="02EEBDA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TDS</w:t>
                  </w:r>
                </w:p>
              </w:tc>
              <w:tc>
                <w:tcPr>
                  <w:tcW w:w="427" w:type="dxa"/>
                  <w:vMerge w:val="continue"/>
                  <w:tcBorders>
                    <w:tl2br w:val="nil"/>
                    <w:tr2bl w:val="nil"/>
                  </w:tcBorders>
                  <w:noWrap w:val="0"/>
                  <w:vAlign w:val="center"/>
                </w:tcPr>
                <w:p w14:paraId="2C17778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kern w:val="0"/>
                      <w:sz w:val="18"/>
                      <w:szCs w:val="18"/>
                      <w:highlight w:val="none"/>
                      <w:lang w:val="en-US" w:eastAsia="zh-CN"/>
                    </w:rPr>
                  </w:pPr>
                </w:p>
              </w:tc>
              <w:tc>
                <w:tcPr>
                  <w:tcW w:w="646" w:type="dxa"/>
                  <w:vMerge w:val="continue"/>
                  <w:tcBorders>
                    <w:tl2br w:val="nil"/>
                    <w:tr2bl w:val="nil"/>
                  </w:tcBorders>
                  <w:noWrap w:val="0"/>
                  <w:vAlign w:val="center"/>
                </w:tcPr>
                <w:p w14:paraId="549CE14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Cs/>
                      <w:color w:val="FF0000"/>
                      <w:sz w:val="18"/>
                      <w:szCs w:val="18"/>
                      <w:highlight w:val="none"/>
                      <w:lang w:val="en-US" w:eastAsia="zh-CN"/>
                    </w:rPr>
                  </w:pPr>
                </w:p>
              </w:tc>
              <w:tc>
                <w:tcPr>
                  <w:tcW w:w="671" w:type="dxa"/>
                  <w:tcBorders>
                    <w:tl2br w:val="nil"/>
                    <w:tr2bl w:val="nil"/>
                  </w:tcBorders>
                  <w:noWrap w:val="0"/>
                  <w:vAlign w:val="center"/>
                </w:tcPr>
                <w:p w14:paraId="6E78320C">
                  <w:pPr>
                    <w:keepNext w:val="0"/>
                    <w:keepLines w:val="0"/>
                    <w:pageBreakBefore w:val="0"/>
                    <w:widowControl w:val="0"/>
                    <w:kinsoku/>
                    <w:wordWrap/>
                    <w:overflowPunct/>
                    <w:topLinePunct w:val="0"/>
                    <w:autoSpaceDE/>
                    <w:autoSpaceDN/>
                    <w:bidi w:val="0"/>
                    <w:adjustRightInd/>
                    <w:snapToGrid/>
                    <w:spacing w:line="240" w:lineRule="auto"/>
                    <w:jc w:val="center"/>
                    <w:rPr>
                      <w:rFonts w:hint="default" w:cs="Times New Roman"/>
                      <w:color w:val="auto"/>
                      <w:kern w:val="0"/>
                      <w:sz w:val="18"/>
                      <w:szCs w:val="18"/>
                      <w:highlight w:val="none"/>
                      <w:lang w:val="en-US" w:eastAsia="zh-CN"/>
                    </w:rPr>
                  </w:pPr>
                  <w:r>
                    <w:rPr>
                      <w:rFonts w:hint="eastAsia" w:cs="Times New Roman"/>
                      <w:color w:val="auto"/>
                      <w:kern w:val="0"/>
                      <w:sz w:val="18"/>
                      <w:szCs w:val="18"/>
                      <w:highlight w:val="none"/>
                      <w:lang w:val="en-US" w:eastAsia="zh-CN"/>
                    </w:rPr>
                    <w:t>800</w:t>
                  </w:r>
                </w:p>
              </w:tc>
              <w:tc>
                <w:tcPr>
                  <w:tcW w:w="729" w:type="dxa"/>
                  <w:tcBorders>
                    <w:tl2br w:val="nil"/>
                    <w:tr2bl w:val="nil"/>
                  </w:tcBorders>
                  <w:noWrap w:val="0"/>
                  <w:vAlign w:val="center"/>
                </w:tcPr>
                <w:p w14:paraId="0954B293">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1.601</w:t>
                  </w:r>
                </w:p>
              </w:tc>
              <w:tc>
                <w:tcPr>
                  <w:tcW w:w="1186" w:type="dxa"/>
                  <w:vMerge w:val="continue"/>
                  <w:tcBorders>
                    <w:tl2br w:val="nil"/>
                    <w:tr2bl w:val="nil"/>
                  </w:tcBorders>
                  <w:noWrap w:val="0"/>
                  <w:vAlign w:val="center"/>
                </w:tcPr>
                <w:p w14:paraId="6B8D7EF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color w:val="FF0000"/>
                      <w:sz w:val="18"/>
                      <w:szCs w:val="18"/>
                      <w:highlight w:val="none"/>
                      <w:lang w:val="en-US" w:eastAsia="zh-CN"/>
                    </w:rPr>
                  </w:pPr>
                </w:p>
              </w:tc>
              <w:tc>
                <w:tcPr>
                  <w:tcW w:w="382" w:type="dxa"/>
                  <w:tcBorders>
                    <w:tl2br w:val="nil"/>
                    <w:tr2bl w:val="nil"/>
                  </w:tcBorders>
                  <w:noWrap w:val="0"/>
                  <w:vAlign w:val="center"/>
                </w:tcPr>
                <w:p w14:paraId="0FB76D9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6" w:type="dxa"/>
                  <w:vMerge w:val="continue"/>
                  <w:tcBorders>
                    <w:tl2br w:val="nil"/>
                    <w:tr2bl w:val="nil"/>
                  </w:tcBorders>
                  <w:noWrap w:val="0"/>
                  <w:vAlign w:val="center"/>
                </w:tcPr>
                <w:p w14:paraId="4985C8D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kern w:val="0"/>
                      <w:sz w:val="18"/>
                      <w:szCs w:val="18"/>
                      <w:highlight w:val="none"/>
                      <w:lang w:val="en-US" w:eastAsia="zh-CN"/>
                    </w:rPr>
                  </w:pPr>
                </w:p>
              </w:tc>
              <w:tc>
                <w:tcPr>
                  <w:tcW w:w="620" w:type="dxa"/>
                  <w:vMerge w:val="continue"/>
                  <w:tcBorders>
                    <w:tl2br w:val="nil"/>
                    <w:tr2bl w:val="nil"/>
                  </w:tcBorders>
                  <w:noWrap w:val="0"/>
                  <w:vAlign w:val="center"/>
                </w:tcPr>
                <w:p w14:paraId="48FE8F5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FF0000"/>
                      <w:sz w:val="18"/>
                      <w:szCs w:val="18"/>
                      <w:highlight w:val="none"/>
                      <w:lang w:val="en-US" w:eastAsia="zh-CN"/>
                    </w:rPr>
                  </w:pPr>
                </w:p>
              </w:tc>
              <w:tc>
                <w:tcPr>
                  <w:tcW w:w="616" w:type="dxa"/>
                  <w:tcBorders>
                    <w:tl2br w:val="nil"/>
                    <w:tr2bl w:val="nil"/>
                  </w:tcBorders>
                  <w:noWrap w:val="0"/>
                  <w:vAlign w:val="center"/>
                </w:tcPr>
                <w:p w14:paraId="41A94712">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b w:val="0"/>
                      <w:bCs w:val="0"/>
                      <w:color w:val="FF0000"/>
                      <w:sz w:val="18"/>
                      <w:szCs w:val="18"/>
                      <w:highlight w:val="none"/>
                      <w:lang w:val="en-US" w:eastAsia="zh-CN"/>
                    </w:rPr>
                  </w:pPr>
                  <w:r>
                    <w:rPr>
                      <w:rFonts w:hint="eastAsia" w:cs="Times New Roman"/>
                      <w:color w:val="auto"/>
                      <w:kern w:val="0"/>
                      <w:sz w:val="18"/>
                      <w:szCs w:val="18"/>
                      <w:highlight w:val="none"/>
                      <w:lang w:val="en-US" w:eastAsia="zh-CN"/>
                    </w:rPr>
                    <w:t>800</w:t>
                  </w:r>
                </w:p>
              </w:tc>
              <w:tc>
                <w:tcPr>
                  <w:tcW w:w="655" w:type="dxa"/>
                  <w:tcBorders>
                    <w:tl2br w:val="nil"/>
                    <w:tr2bl w:val="nil"/>
                  </w:tcBorders>
                  <w:noWrap w:val="0"/>
                  <w:vAlign w:val="center"/>
                </w:tcPr>
                <w:p w14:paraId="206D3B8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cs="Times New Roman"/>
                      <w:b w:val="0"/>
                      <w:bCs w:val="0"/>
                      <w:color w:val="FF0000"/>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1.601</w:t>
                  </w:r>
                </w:p>
              </w:tc>
              <w:tc>
                <w:tcPr>
                  <w:tcW w:w="330" w:type="dxa"/>
                  <w:vMerge w:val="continue"/>
                  <w:tcBorders>
                    <w:tl2br w:val="nil"/>
                    <w:tr2bl w:val="nil"/>
                  </w:tcBorders>
                  <w:noWrap w:val="0"/>
                  <w:vAlign w:val="center"/>
                </w:tcPr>
                <w:p w14:paraId="0023E88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r>
            <w:tr w14:paraId="5D02007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5" w:type="dxa"/>
                  <w:vMerge w:val="continue"/>
                  <w:tcBorders>
                    <w:tl2br w:val="nil"/>
                    <w:tr2bl w:val="nil"/>
                  </w:tcBorders>
                  <w:noWrap w:val="0"/>
                  <w:vAlign w:val="center"/>
                </w:tcPr>
                <w:p w14:paraId="7F555C9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505" w:type="dxa"/>
                  <w:vMerge w:val="continue"/>
                  <w:tcBorders>
                    <w:tl2br w:val="nil"/>
                    <w:tr2bl w:val="nil"/>
                  </w:tcBorders>
                  <w:noWrap w:val="0"/>
                  <w:vAlign w:val="center"/>
                </w:tcPr>
                <w:p w14:paraId="1483B7B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612" w:type="dxa"/>
                  <w:vMerge w:val="restart"/>
                  <w:tcBorders>
                    <w:tl2br w:val="nil"/>
                    <w:tr2bl w:val="nil"/>
                  </w:tcBorders>
                  <w:noWrap w:val="0"/>
                  <w:vAlign w:val="center"/>
                </w:tcPr>
                <w:p w14:paraId="28EB7F0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i w:val="0"/>
                      <w:iCs w:val="0"/>
                      <w:color w:val="auto"/>
                      <w:spacing w:val="0"/>
                      <w:sz w:val="18"/>
                      <w:szCs w:val="18"/>
                      <w:highlight w:val="none"/>
                      <w:vertAlign w:val="baseline"/>
                      <w:lang w:val="en-US" w:eastAsia="zh-CN"/>
                    </w:rPr>
                  </w:pPr>
                  <w:r>
                    <w:rPr>
                      <w:rFonts w:hint="eastAsia" w:ascii="Times New Roman" w:hAnsi="Times New Roman" w:eastAsia="宋体" w:cs="Times New Roman"/>
                      <w:b w:val="0"/>
                      <w:bCs w:val="0"/>
                      <w:i w:val="0"/>
                      <w:iCs w:val="0"/>
                      <w:color w:val="auto"/>
                      <w:spacing w:val="0"/>
                      <w:sz w:val="18"/>
                      <w:szCs w:val="18"/>
                      <w:highlight w:val="none"/>
                      <w:vertAlign w:val="baseline"/>
                      <w:lang w:val="en-US" w:eastAsia="zh-CN"/>
                    </w:rPr>
                    <w:t>锅炉排污水及软化处理废水</w:t>
                  </w:r>
                </w:p>
              </w:tc>
              <w:tc>
                <w:tcPr>
                  <w:tcW w:w="746" w:type="dxa"/>
                  <w:tcBorders>
                    <w:tl2br w:val="nil"/>
                    <w:tr2bl w:val="nil"/>
                  </w:tcBorders>
                  <w:noWrap w:val="0"/>
                  <w:vAlign w:val="center"/>
                </w:tcPr>
                <w:p w14:paraId="09234B0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pH</w:t>
                  </w:r>
                </w:p>
              </w:tc>
              <w:tc>
                <w:tcPr>
                  <w:tcW w:w="427" w:type="dxa"/>
                  <w:vMerge w:val="restart"/>
                  <w:tcBorders>
                    <w:tl2br w:val="nil"/>
                    <w:tr2bl w:val="nil"/>
                  </w:tcBorders>
                  <w:noWrap w:val="0"/>
                  <w:vAlign w:val="center"/>
                </w:tcPr>
                <w:p w14:paraId="7E3A3F6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r>
                    <w:rPr>
                      <w:rFonts w:hint="eastAsia" w:cs="Times New Roman"/>
                      <w:b w:val="0"/>
                      <w:bCs w:val="0"/>
                      <w:i w:val="0"/>
                      <w:iCs w:val="0"/>
                      <w:color w:val="auto"/>
                      <w:spacing w:val="0"/>
                      <w:kern w:val="0"/>
                      <w:sz w:val="18"/>
                      <w:szCs w:val="18"/>
                      <w:highlight w:val="none"/>
                      <w:lang w:val="en-US" w:eastAsia="zh-CN"/>
                    </w:rPr>
                    <w:t>系数法</w:t>
                  </w:r>
                </w:p>
              </w:tc>
              <w:tc>
                <w:tcPr>
                  <w:tcW w:w="646" w:type="dxa"/>
                  <w:vMerge w:val="restart"/>
                  <w:tcBorders>
                    <w:tl2br w:val="nil"/>
                    <w:tr2bl w:val="nil"/>
                  </w:tcBorders>
                  <w:noWrap w:val="0"/>
                  <w:vAlign w:val="center"/>
                </w:tcPr>
                <w:p w14:paraId="6A19FE6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Cs/>
                      <w:color w:val="auto"/>
                      <w:sz w:val="18"/>
                      <w:szCs w:val="18"/>
                      <w:highlight w:val="none"/>
                      <w:lang w:val="en-US" w:eastAsia="zh-CN"/>
                    </w:rPr>
                  </w:pPr>
                  <w:r>
                    <w:rPr>
                      <w:rFonts w:hint="eastAsia" w:cs="Times New Roman"/>
                      <w:bCs/>
                      <w:color w:val="auto"/>
                      <w:sz w:val="18"/>
                      <w:szCs w:val="18"/>
                      <w:highlight w:val="none"/>
                      <w:lang w:val="en-US" w:eastAsia="zh-CN"/>
                    </w:rPr>
                    <w:t>213</w:t>
                  </w:r>
                </w:p>
              </w:tc>
              <w:tc>
                <w:tcPr>
                  <w:tcW w:w="671" w:type="dxa"/>
                  <w:tcBorders>
                    <w:tl2br w:val="nil"/>
                    <w:tr2bl w:val="nil"/>
                  </w:tcBorders>
                  <w:noWrap w:val="0"/>
                  <w:vAlign w:val="center"/>
                </w:tcPr>
                <w:p w14:paraId="564124BA">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color w:val="auto"/>
                      <w:kern w:val="0"/>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6~9</w:t>
                  </w:r>
                  <w:r>
                    <w:rPr>
                      <w:rFonts w:hint="eastAsia" w:cs="Times New Roman"/>
                      <w:b w:val="0"/>
                      <w:bCs w:val="0"/>
                      <w:color w:val="auto"/>
                      <w:sz w:val="18"/>
                      <w:szCs w:val="18"/>
                      <w:highlight w:val="none"/>
                      <w:lang w:val="en-US" w:eastAsia="zh-CN"/>
                    </w:rPr>
                    <w:t>（无量纲）</w:t>
                  </w:r>
                </w:p>
              </w:tc>
              <w:tc>
                <w:tcPr>
                  <w:tcW w:w="729" w:type="dxa"/>
                  <w:tcBorders>
                    <w:tl2br w:val="nil"/>
                    <w:tr2bl w:val="nil"/>
                  </w:tcBorders>
                  <w:noWrap w:val="0"/>
                  <w:vAlign w:val="center"/>
                </w:tcPr>
                <w:p w14:paraId="07651A7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bCs/>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1186" w:type="dxa"/>
                  <w:vMerge w:val="restart"/>
                  <w:tcBorders>
                    <w:tl2br w:val="nil"/>
                    <w:tr2bl w:val="nil"/>
                  </w:tcBorders>
                  <w:noWrap w:val="0"/>
                  <w:vAlign w:val="center"/>
                </w:tcPr>
                <w:p w14:paraId="4C17B71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洒水抑尘</w:t>
                  </w:r>
                </w:p>
              </w:tc>
              <w:tc>
                <w:tcPr>
                  <w:tcW w:w="382" w:type="dxa"/>
                  <w:tcBorders>
                    <w:tl2br w:val="nil"/>
                    <w:tr2bl w:val="nil"/>
                  </w:tcBorders>
                  <w:noWrap w:val="0"/>
                  <w:vAlign w:val="center"/>
                </w:tcPr>
                <w:p w14:paraId="4537D4E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6" w:type="dxa"/>
                  <w:vMerge w:val="restart"/>
                  <w:tcBorders>
                    <w:tl2br w:val="nil"/>
                    <w:tr2bl w:val="nil"/>
                  </w:tcBorders>
                  <w:noWrap w:val="0"/>
                  <w:vAlign w:val="center"/>
                </w:tcPr>
                <w:p w14:paraId="0C880B2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r>
                    <w:rPr>
                      <w:rFonts w:hint="eastAsia" w:cs="Times New Roman"/>
                      <w:b w:val="0"/>
                      <w:bCs w:val="0"/>
                      <w:color w:val="auto"/>
                      <w:sz w:val="18"/>
                      <w:szCs w:val="18"/>
                      <w:highlight w:val="none"/>
                      <w:lang w:val="en-US" w:eastAsia="zh-CN"/>
                    </w:rPr>
                    <w:t>/</w:t>
                  </w:r>
                </w:p>
              </w:tc>
              <w:tc>
                <w:tcPr>
                  <w:tcW w:w="620" w:type="dxa"/>
                  <w:vMerge w:val="restart"/>
                  <w:tcBorders>
                    <w:tl2br w:val="nil"/>
                    <w:tr2bl w:val="nil"/>
                  </w:tcBorders>
                  <w:noWrap w:val="0"/>
                  <w:vAlign w:val="center"/>
                </w:tcPr>
                <w:p w14:paraId="214A15A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616" w:type="dxa"/>
                  <w:tcBorders>
                    <w:tl2br w:val="nil"/>
                    <w:tr2bl w:val="nil"/>
                  </w:tcBorders>
                  <w:noWrap w:val="0"/>
                  <w:vAlign w:val="center"/>
                </w:tcPr>
                <w:p w14:paraId="0B7C2641">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color w:val="auto"/>
                      <w:kern w:val="0"/>
                      <w:sz w:val="18"/>
                      <w:szCs w:val="18"/>
                      <w:highlight w:val="none"/>
                      <w:lang w:val="en-US" w:eastAsia="zh-CN"/>
                    </w:rPr>
                  </w:pPr>
                  <w:r>
                    <w:rPr>
                      <w:rFonts w:hint="eastAsia" w:cs="Times New Roman"/>
                      <w:b w:val="0"/>
                      <w:bCs w:val="0"/>
                      <w:color w:val="auto"/>
                      <w:sz w:val="18"/>
                      <w:szCs w:val="18"/>
                      <w:highlight w:val="none"/>
                      <w:lang w:val="en-US" w:eastAsia="zh-CN"/>
                    </w:rPr>
                    <w:t>/</w:t>
                  </w:r>
                </w:p>
              </w:tc>
              <w:tc>
                <w:tcPr>
                  <w:tcW w:w="655" w:type="dxa"/>
                  <w:tcBorders>
                    <w:tl2br w:val="nil"/>
                    <w:tr2bl w:val="nil"/>
                  </w:tcBorders>
                  <w:noWrap w:val="0"/>
                  <w:vAlign w:val="center"/>
                </w:tcPr>
                <w:p w14:paraId="1A13869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Cs/>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0" w:type="dxa"/>
                  <w:vMerge w:val="continue"/>
                  <w:tcBorders>
                    <w:tl2br w:val="nil"/>
                    <w:tr2bl w:val="nil"/>
                  </w:tcBorders>
                  <w:noWrap w:val="0"/>
                  <w:vAlign w:val="center"/>
                </w:tcPr>
                <w:p w14:paraId="574BF17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r>
            <w:tr w14:paraId="2F459A1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425" w:type="dxa"/>
                  <w:vMerge w:val="continue"/>
                  <w:tcBorders>
                    <w:tl2br w:val="nil"/>
                    <w:tr2bl w:val="nil"/>
                  </w:tcBorders>
                  <w:noWrap w:val="0"/>
                  <w:vAlign w:val="center"/>
                </w:tcPr>
                <w:p w14:paraId="38D20F8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505" w:type="dxa"/>
                  <w:vMerge w:val="continue"/>
                  <w:tcBorders>
                    <w:tl2br w:val="nil"/>
                    <w:tr2bl w:val="nil"/>
                  </w:tcBorders>
                  <w:noWrap w:val="0"/>
                  <w:vAlign w:val="center"/>
                </w:tcPr>
                <w:p w14:paraId="2FD9A91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612" w:type="dxa"/>
                  <w:vMerge w:val="continue"/>
                  <w:tcBorders>
                    <w:tl2br w:val="nil"/>
                    <w:tr2bl w:val="nil"/>
                  </w:tcBorders>
                  <w:noWrap w:val="0"/>
                  <w:vAlign w:val="center"/>
                </w:tcPr>
                <w:p w14:paraId="6B9269B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i w:val="0"/>
                      <w:iCs w:val="0"/>
                      <w:color w:val="auto"/>
                      <w:spacing w:val="0"/>
                      <w:sz w:val="18"/>
                      <w:szCs w:val="18"/>
                      <w:highlight w:val="none"/>
                      <w:vertAlign w:val="baseline"/>
                      <w:lang w:val="en-US" w:eastAsia="zh-CN"/>
                    </w:rPr>
                  </w:pPr>
                </w:p>
              </w:tc>
              <w:tc>
                <w:tcPr>
                  <w:tcW w:w="746" w:type="dxa"/>
                  <w:tcBorders>
                    <w:tl2br w:val="nil"/>
                    <w:tr2bl w:val="nil"/>
                  </w:tcBorders>
                  <w:noWrap w:val="0"/>
                  <w:vAlign w:val="center"/>
                </w:tcPr>
                <w:p w14:paraId="6EC603D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COD</w:t>
                  </w:r>
                </w:p>
              </w:tc>
              <w:tc>
                <w:tcPr>
                  <w:tcW w:w="427" w:type="dxa"/>
                  <w:vMerge w:val="continue"/>
                  <w:tcBorders>
                    <w:tl2br w:val="nil"/>
                    <w:tr2bl w:val="nil"/>
                  </w:tcBorders>
                  <w:noWrap w:val="0"/>
                  <w:vAlign w:val="center"/>
                </w:tcPr>
                <w:p w14:paraId="23E2916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p>
              </w:tc>
              <w:tc>
                <w:tcPr>
                  <w:tcW w:w="646" w:type="dxa"/>
                  <w:vMerge w:val="continue"/>
                  <w:tcBorders>
                    <w:tl2br w:val="nil"/>
                    <w:tr2bl w:val="nil"/>
                  </w:tcBorders>
                  <w:noWrap w:val="0"/>
                  <w:vAlign w:val="center"/>
                </w:tcPr>
                <w:p w14:paraId="335EE6D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Cs/>
                      <w:color w:val="auto"/>
                      <w:sz w:val="18"/>
                      <w:szCs w:val="18"/>
                      <w:highlight w:val="none"/>
                      <w:lang w:val="en-US" w:eastAsia="zh-CN"/>
                    </w:rPr>
                  </w:pPr>
                </w:p>
              </w:tc>
              <w:tc>
                <w:tcPr>
                  <w:tcW w:w="671" w:type="dxa"/>
                  <w:tcBorders>
                    <w:tl2br w:val="nil"/>
                    <w:tr2bl w:val="nil"/>
                  </w:tcBorders>
                  <w:noWrap w:val="0"/>
                  <w:vAlign w:val="center"/>
                </w:tcPr>
                <w:p w14:paraId="7CB600C1">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color w:val="auto"/>
                      <w:kern w:val="0"/>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8</w:t>
                  </w:r>
                  <w:r>
                    <w:rPr>
                      <w:rFonts w:hint="eastAsia" w:cs="Times New Roman"/>
                      <w:bCs/>
                      <w:color w:val="auto"/>
                      <w:sz w:val="18"/>
                      <w:szCs w:val="18"/>
                      <w:highlight w:val="none"/>
                      <w:lang w:val="en-US" w:eastAsia="zh-CN"/>
                    </w:rPr>
                    <w:t>5</w:t>
                  </w:r>
                  <w:r>
                    <w:rPr>
                      <w:rFonts w:hint="eastAsia" w:ascii="Times New Roman" w:hAnsi="Times New Roman" w:eastAsia="宋体" w:cs="Times New Roman"/>
                      <w:bCs/>
                      <w:color w:val="auto"/>
                      <w:sz w:val="18"/>
                      <w:szCs w:val="18"/>
                      <w:highlight w:val="none"/>
                      <w:lang w:val="en-US" w:eastAsia="zh-CN"/>
                    </w:rPr>
                    <w:t>.</w:t>
                  </w:r>
                  <w:r>
                    <w:rPr>
                      <w:rFonts w:hint="eastAsia" w:cs="Times New Roman"/>
                      <w:bCs/>
                      <w:color w:val="auto"/>
                      <w:sz w:val="18"/>
                      <w:szCs w:val="18"/>
                      <w:highlight w:val="none"/>
                      <w:lang w:val="en-US" w:eastAsia="zh-CN"/>
                    </w:rPr>
                    <w:t>61</w:t>
                  </w:r>
                </w:p>
              </w:tc>
              <w:tc>
                <w:tcPr>
                  <w:tcW w:w="729" w:type="dxa"/>
                  <w:tcBorders>
                    <w:tl2br w:val="nil"/>
                    <w:tr2bl w:val="nil"/>
                  </w:tcBorders>
                  <w:noWrap w:val="0"/>
                  <w:vAlign w:val="center"/>
                </w:tcPr>
                <w:p w14:paraId="6C79D479">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0.018</w:t>
                  </w:r>
                </w:p>
              </w:tc>
              <w:tc>
                <w:tcPr>
                  <w:tcW w:w="1186" w:type="dxa"/>
                  <w:vMerge w:val="continue"/>
                  <w:tcBorders>
                    <w:tl2br w:val="nil"/>
                    <w:tr2bl w:val="nil"/>
                  </w:tcBorders>
                  <w:noWrap w:val="0"/>
                  <w:vAlign w:val="center"/>
                </w:tcPr>
                <w:p w14:paraId="3BD60C1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color w:val="auto"/>
                      <w:sz w:val="18"/>
                      <w:szCs w:val="18"/>
                      <w:highlight w:val="none"/>
                      <w:lang w:val="en-US" w:eastAsia="zh-CN"/>
                    </w:rPr>
                  </w:pPr>
                </w:p>
              </w:tc>
              <w:tc>
                <w:tcPr>
                  <w:tcW w:w="382" w:type="dxa"/>
                  <w:tcBorders>
                    <w:tl2br w:val="nil"/>
                    <w:tr2bl w:val="nil"/>
                  </w:tcBorders>
                  <w:noWrap w:val="0"/>
                  <w:vAlign w:val="center"/>
                </w:tcPr>
                <w:p w14:paraId="7481E7D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6" w:type="dxa"/>
                  <w:vMerge w:val="continue"/>
                  <w:tcBorders>
                    <w:tl2br w:val="nil"/>
                    <w:tr2bl w:val="nil"/>
                  </w:tcBorders>
                  <w:noWrap w:val="0"/>
                  <w:vAlign w:val="center"/>
                </w:tcPr>
                <w:p w14:paraId="096D249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p>
              </w:tc>
              <w:tc>
                <w:tcPr>
                  <w:tcW w:w="620" w:type="dxa"/>
                  <w:vMerge w:val="continue"/>
                  <w:tcBorders>
                    <w:tl2br w:val="nil"/>
                    <w:tr2bl w:val="nil"/>
                  </w:tcBorders>
                  <w:noWrap w:val="0"/>
                  <w:vAlign w:val="center"/>
                </w:tcPr>
                <w:p w14:paraId="22BBCE7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p>
              </w:tc>
              <w:tc>
                <w:tcPr>
                  <w:tcW w:w="616" w:type="dxa"/>
                  <w:tcBorders>
                    <w:tl2br w:val="nil"/>
                    <w:tr2bl w:val="nil"/>
                  </w:tcBorders>
                  <w:noWrap w:val="0"/>
                  <w:vAlign w:val="center"/>
                </w:tcPr>
                <w:p w14:paraId="65FC8D08">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color w:val="auto"/>
                      <w:kern w:val="0"/>
                      <w:sz w:val="18"/>
                      <w:szCs w:val="18"/>
                      <w:highlight w:val="none"/>
                      <w:lang w:val="en-US" w:eastAsia="zh-CN"/>
                    </w:rPr>
                  </w:pPr>
                  <w:r>
                    <w:rPr>
                      <w:rFonts w:hint="eastAsia" w:cs="Times New Roman"/>
                      <w:b w:val="0"/>
                      <w:bCs w:val="0"/>
                      <w:color w:val="auto"/>
                      <w:sz w:val="18"/>
                      <w:szCs w:val="18"/>
                      <w:highlight w:val="none"/>
                      <w:lang w:val="en-US" w:eastAsia="zh-CN"/>
                    </w:rPr>
                    <w:t>/</w:t>
                  </w:r>
                </w:p>
              </w:tc>
              <w:tc>
                <w:tcPr>
                  <w:tcW w:w="655" w:type="dxa"/>
                  <w:tcBorders>
                    <w:tl2br w:val="nil"/>
                    <w:tr2bl w:val="nil"/>
                  </w:tcBorders>
                  <w:noWrap w:val="0"/>
                  <w:vAlign w:val="center"/>
                </w:tcPr>
                <w:p w14:paraId="312D201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Cs/>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0" w:type="dxa"/>
                  <w:vMerge w:val="continue"/>
                  <w:tcBorders>
                    <w:tl2br w:val="nil"/>
                    <w:tr2bl w:val="nil"/>
                  </w:tcBorders>
                  <w:noWrap w:val="0"/>
                  <w:vAlign w:val="center"/>
                </w:tcPr>
                <w:p w14:paraId="104D73C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r>
            <w:tr w14:paraId="1C694CE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425" w:type="dxa"/>
                  <w:vMerge w:val="continue"/>
                  <w:tcBorders>
                    <w:tl2br w:val="nil"/>
                    <w:tr2bl w:val="nil"/>
                  </w:tcBorders>
                  <w:noWrap w:val="0"/>
                  <w:vAlign w:val="center"/>
                </w:tcPr>
                <w:p w14:paraId="033B2F3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505" w:type="dxa"/>
                  <w:vMerge w:val="continue"/>
                  <w:tcBorders>
                    <w:tl2br w:val="nil"/>
                    <w:tr2bl w:val="nil"/>
                  </w:tcBorders>
                  <w:noWrap w:val="0"/>
                  <w:vAlign w:val="center"/>
                </w:tcPr>
                <w:p w14:paraId="5D2DBBA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612" w:type="dxa"/>
                  <w:vMerge w:val="continue"/>
                  <w:tcBorders>
                    <w:tl2br w:val="nil"/>
                    <w:tr2bl w:val="nil"/>
                  </w:tcBorders>
                  <w:noWrap w:val="0"/>
                  <w:vAlign w:val="center"/>
                </w:tcPr>
                <w:p w14:paraId="584BBC4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i w:val="0"/>
                      <w:iCs w:val="0"/>
                      <w:color w:val="auto"/>
                      <w:spacing w:val="0"/>
                      <w:sz w:val="18"/>
                      <w:szCs w:val="18"/>
                      <w:highlight w:val="none"/>
                      <w:vertAlign w:val="baseline"/>
                      <w:lang w:val="en-US" w:eastAsia="zh-CN"/>
                    </w:rPr>
                  </w:pPr>
                </w:p>
              </w:tc>
              <w:tc>
                <w:tcPr>
                  <w:tcW w:w="746" w:type="dxa"/>
                  <w:tcBorders>
                    <w:tl2br w:val="nil"/>
                    <w:tr2bl w:val="nil"/>
                  </w:tcBorders>
                  <w:noWrap w:val="0"/>
                  <w:vAlign w:val="center"/>
                </w:tcPr>
                <w:p w14:paraId="63B4E0E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TDS</w:t>
                  </w:r>
                </w:p>
              </w:tc>
              <w:tc>
                <w:tcPr>
                  <w:tcW w:w="427" w:type="dxa"/>
                  <w:vMerge w:val="continue"/>
                  <w:tcBorders>
                    <w:tl2br w:val="nil"/>
                    <w:tr2bl w:val="nil"/>
                  </w:tcBorders>
                  <w:noWrap w:val="0"/>
                  <w:vAlign w:val="center"/>
                </w:tcPr>
                <w:p w14:paraId="3751558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p>
              </w:tc>
              <w:tc>
                <w:tcPr>
                  <w:tcW w:w="646" w:type="dxa"/>
                  <w:vMerge w:val="continue"/>
                  <w:tcBorders>
                    <w:tl2br w:val="nil"/>
                    <w:tr2bl w:val="nil"/>
                  </w:tcBorders>
                  <w:noWrap w:val="0"/>
                  <w:vAlign w:val="center"/>
                </w:tcPr>
                <w:p w14:paraId="1559D61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Cs/>
                      <w:color w:val="auto"/>
                      <w:sz w:val="18"/>
                      <w:szCs w:val="18"/>
                      <w:highlight w:val="none"/>
                      <w:lang w:val="en-US" w:eastAsia="zh-CN"/>
                    </w:rPr>
                  </w:pPr>
                </w:p>
              </w:tc>
              <w:tc>
                <w:tcPr>
                  <w:tcW w:w="671" w:type="dxa"/>
                  <w:tcBorders>
                    <w:tl2br w:val="nil"/>
                    <w:tr2bl w:val="nil"/>
                  </w:tcBorders>
                  <w:noWrap w:val="0"/>
                  <w:vAlign w:val="center"/>
                </w:tcPr>
                <w:p w14:paraId="0C667166">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color w:val="auto"/>
                      <w:kern w:val="0"/>
                      <w:sz w:val="18"/>
                      <w:szCs w:val="18"/>
                      <w:highlight w:val="none"/>
                      <w:lang w:val="en-US" w:eastAsia="zh-CN"/>
                    </w:rPr>
                  </w:pPr>
                  <w:r>
                    <w:rPr>
                      <w:rFonts w:hint="eastAsia" w:cs="Times New Roman"/>
                      <w:color w:val="auto"/>
                      <w:kern w:val="0"/>
                      <w:sz w:val="18"/>
                      <w:szCs w:val="18"/>
                      <w:highlight w:val="none"/>
                      <w:lang w:val="en-US" w:eastAsia="zh-CN"/>
                    </w:rPr>
                    <w:t>800</w:t>
                  </w:r>
                </w:p>
              </w:tc>
              <w:tc>
                <w:tcPr>
                  <w:tcW w:w="729" w:type="dxa"/>
                  <w:tcBorders>
                    <w:tl2br w:val="nil"/>
                    <w:tr2bl w:val="nil"/>
                  </w:tcBorders>
                  <w:noWrap w:val="0"/>
                  <w:vAlign w:val="center"/>
                </w:tcPr>
                <w:p w14:paraId="5BB5034E">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0.170</w:t>
                  </w:r>
                </w:p>
              </w:tc>
              <w:tc>
                <w:tcPr>
                  <w:tcW w:w="1186" w:type="dxa"/>
                  <w:vMerge w:val="continue"/>
                  <w:tcBorders>
                    <w:tl2br w:val="nil"/>
                    <w:tr2bl w:val="nil"/>
                  </w:tcBorders>
                  <w:noWrap w:val="0"/>
                  <w:vAlign w:val="center"/>
                </w:tcPr>
                <w:p w14:paraId="4120BA8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color w:val="auto"/>
                      <w:sz w:val="18"/>
                      <w:szCs w:val="18"/>
                      <w:highlight w:val="none"/>
                      <w:lang w:val="en-US" w:eastAsia="zh-CN"/>
                    </w:rPr>
                  </w:pPr>
                </w:p>
              </w:tc>
              <w:tc>
                <w:tcPr>
                  <w:tcW w:w="382" w:type="dxa"/>
                  <w:tcBorders>
                    <w:tl2br w:val="nil"/>
                    <w:tr2bl w:val="nil"/>
                  </w:tcBorders>
                  <w:noWrap w:val="0"/>
                  <w:vAlign w:val="center"/>
                </w:tcPr>
                <w:p w14:paraId="787C5A3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6" w:type="dxa"/>
                  <w:vMerge w:val="continue"/>
                  <w:tcBorders>
                    <w:tl2br w:val="nil"/>
                    <w:tr2bl w:val="nil"/>
                  </w:tcBorders>
                  <w:noWrap w:val="0"/>
                  <w:vAlign w:val="center"/>
                </w:tcPr>
                <w:p w14:paraId="51A0C75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p>
              </w:tc>
              <w:tc>
                <w:tcPr>
                  <w:tcW w:w="620" w:type="dxa"/>
                  <w:vMerge w:val="continue"/>
                  <w:tcBorders>
                    <w:tl2br w:val="nil"/>
                    <w:tr2bl w:val="nil"/>
                  </w:tcBorders>
                  <w:noWrap w:val="0"/>
                  <w:vAlign w:val="center"/>
                </w:tcPr>
                <w:p w14:paraId="098C75E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p>
              </w:tc>
              <w:tc>
                <w:tcPr>
                  <w:tcW w:w="616" w:type="dxa"/>
                  <w:tcBorders>
                    <w:tl2br w:val="nil"/>
                    <w:tr2bl w:val="nil"/>
                  </w:tcBorders>
                  <w:noWrap w:val="0"/>
                  <w:vAlign w:val="center"/>
                </w:tcPr>
                <w:p w14:paraId="2287CDFB">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color w:val="auto"/>
                      <w:kern w:val="0"/>
                      <w:sz w:val="18"/>
                      <w:szCs w:val="18"/>
                      <w:highlight w:val="none"/>
                      <w:lang w:val="en-US" w:eastAsia="zh-CN"/>
                    </w:rPr>
                  </w:pPr>
                  <w:r>
                    <w:rPr>
                      <w:rFonts w:hint="eastAsia" w:cs="Times New Roman"/>
                      <w:b w:val="0"/>
                      <w:bCs w:val="0"/>
                      <w:color w:val="auto"/>
                      <w:sz w:val="18"/>
                      <w:szCs w:val="18"/>
                      <w:highlight w:val="none"/>
                      <w:lang w:val="en-US" w:eastAsia="zh-CN"/>
                    </w:rPr>
                    <w:t>/</w:t>
                  </w:r>
                </w:p>
              </w:tc>
              <w:tc>
                <w:tcPr>
                  <w:tcW w:w="655" w:type="dxa"/>
                  <w:tcBorders>
                    <w:tl2br w:val="nil"/>
                    <w:tr2bl w:val="nil"/>
                  </w:tcBorders>
                  <w:noWrap w:val="0"/>
                  <w:vAlign w:val="center"/>
                </w:tcPr>
                <w:p w14:paraId="48016F4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Cs/>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0" w:type="dxa"/>
                  <w:vMerge w:val="continue"/>
                  <w:tcBorders>
                    <w:tl2br w:val="nil"/>
                    <w:tr2bl w:val="nil"/>
                  </w:tcBorders>
                  <w:noWrap w:val="0"/>
                  <w:vAlign w:val="center"/>
                </w:tcPr>
                <w:p w14:paraId="5171A26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r>
            <w:tr w14:paraId="66EC0E3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425" w:type="dxa"/>
                  <w:vMerge w:val="restart"/>
                  <w:tcBorders>
                    <w:tl2br w:val="nil"/>
                    <w:tr2bl w:val="nil"/>
                  </w:tcBorders>
                  <w:noWrap w:val="0"/>
                  <w:vAlign w:val="center"/>
                </w:tcPr>
                <w:p w14:paraId="0341AFE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cs="Times New Roman"/>
                      <w:b w:val="0"/>
                      <w:bCs w:val="0"/>
                      <w:i w:val="0"/>
                      <w:iCs w:val="0"/>
                      <w:color w:val="auto"/>
                      <w:spacing w:val="0"/>
                      <w:sz w:val="18"/>
                      <w:szCs w:val="18"/>
                      <w:highlight w:val="none"/>
                      <w:vertAlign w:val="baseline"/>
                      <w:lang w:val="en-US" w:eastAsia="zh-CN"/>
                    </w:rPr>
                  </w:pPr>
                  <w:r>
                    <w:rPr>
                      <w:rFonts w:hint="eastAsia" w:cs="Times New Roman"/>
                      <w:b w:val="0"/>
                      <w:bCs w:val="0"/>
                      <w:i w:val="0"/>
                      <w:iCs w:val="0"/>
                      <w:color w:val="auto"/>
                      <w:spacing w:val="0"/>
                      <w:sz w:val="18"/>
                      <w:szCs w:val="18"/>
                      <w:highlight w:val="none"/>
                      <w:vertAlign w:val="baseline"/>
                      <w:lang w:val="en-US" w:eastAsia="zh-CN"/>
                    </w:rPr>
                    <w:t>厂区</w:t>
                  </w:r>
                </w:p>
              </w:tc>
              <w:tc>
                <w:tcPr>
                  <w:tcW w:w="505" w:type="dxa"/>
                  <w:vMerge w:val="restart"/>
                  <w:tcBorders>
                    <w:tl2br w:val="nil"/>
                    <w:tr2bl w:val="nil"/>
                  </w:tcBorders>
                  <w:noWrap w:val="0"/>
                  <w:vAlign w:val="center"/>
                </w:tcPr>
                <w:p w14:paraId="61C2F0F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cs="Times New Roman"/>
                      <w:b w:val="0"/>
                      <w:bCs w:val="0"/>
                      <w:i w:val="0"/>
                      <w:iCs w:val="0"/>
                      <w:color w:val="auto"/>
                      <w:spacing w:val="0"/>
                      <w:sz w:val="18"/>
                      <w:szCs w:val="18"/>
                      <w:highlight w:val="none"/>
                      <w:vertAlign w:val="baseline"/>
                      <w:lang w:val="en-US" w:eastAsia="zh-CN"/>
                    </w:rPr>
                  </w:pPr>
                  <w:r>
                    <w:rPr>
                      <w:rFonts w:hint="eastAsia" w:cs="Times New Roman"/>
                      <w:b w:val="0"/>
                      <w:bCs w:val="0"/>
                      <w:i w:val="0"/>
                      <w:iCs w:val="0"/>
                      <w:color w:val="auto"/>
                      <w:spacing w:val="0"/>
                      <w:sz w:val="18"/>
                      <w:szCs w:val="18"/>
                      <w:highlight w:val="none"/>
                      <w:vertAlign w:val="baseline"/>
                      <w:lang w:val="en-US" w:eastAsia="zh-CN"/>
                    </w:rPr>
                    <w:t>厂区</w:t>
                  </w:r>
                </w:p>
              </w:tc>
              <w:tc>
                <w:tcPr>
                  <w:tcW w:w="612" w:type="dxa"/>
                  <w:vMerge w:val="restart"/>
                  <w:tcBorders>
                    <w:tl2br w:val="nil"/>
                    <w:tr2bl w:val="nil"/>
                  </w:tcBorders>
                  <w:noWrap w:val="0"/>
                  <w:vAlign w:val="center"/>
                </w:tcPr>
                <w:p w14:paraId="5D6554F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18"/>
                      <w:szCs w:val="18"/>
                      <w:highlight w:val="none"/>
                      <w:vertAlign w:val="baseline"/>
                      <w:lang w:val="en-US" w:eastAsia="zh-CN"/>
                    </w:rPr>
                  </w:pPr>
                  <w:r>
                    <w:rPr>
                      <w:rFonts w:hint="eastAsia" w:cs="Times New Roman"/>
                      <w:b w:val="0"/>
                      <w:bCs w:val="0"/>
                      <w:i w:val="0"/>
                      <w:iCs w:val="0"/>
                      <w:color w:val="auto"/>
                      <w:spacing w:val="0"/>
                      <w:sz w:val="18"/>
                      <w:szCs w:val="18"/>
                      <w:highlight w:val="none"/>
                      <w:vertAlign w:val="baseline"/>
                      <w:lang w:val="en-US" w:eastAsia="zh-CN"/>
                    </w:rPr>
                    <w:t>综合废水</w:t>
                  </w:r>
                </w:p>
              </w:tc>
              <w:tc>
                <w:tcPr>
                  <w:tcW w:w="746" w:type="dxa"/>
                  <w:tcBorders>
                    <w:tl2br w:val="nil"/>
                    <w:tr2bl w:val="nil"/>
                  </w:tcBorders>
                  <w:noWrap w:val="0"/>
                  <w:vAlign w:val="center"/>
                </w:tcPr>
                <w:p w14:paraId="441EFA6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pH</w:t>
                  </w:r>
                </w:p>
              </w:tc>
              <w:tc>
                <w:tcPr>
                  <w:tcW w:w="427" w:type="dxa"/>
                  <w:vMerge w:val="restart"/>
                  <w:tcBorders>
                    <w:tl2br w:val="nil"/>
                    <w:tr2bl w:val="nil"/>
                  </w:tcBorders>
                  <w:noWrap w:val="0"/>
                  <w:vAlign w:val="center"/>
                </w:tcPr>
                <w:p w14:paraId="137BFC1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r>
                    <w:rPr>
                      <w:rFonts w:hint="eastAsia" w:cs="Times New Roman"/>
                      <w:b w:val="0"/>
                      <w:bCs w:val="0"/>
                      <w:i w:val="0"/>
                      <w:iCs w:val="0"/>
                      <w:color w:val="auto"/>
                      <w:spacing w:val="0"/>
                      <w:kern w:val="0"/>
                      <w:sz w:val="18"/>
                      <w:szCs w:val="18"/>
                      <w:highlight w:val="none"/>
                      <w:lang w:val="en-US" w:eastAsia="zh-CN"/>
                    </w:rPr>
                    <w:t>系数法</w:t>
                  </w:r>
                </w:p>
              </w:tc>
              <w:tc>
                <w:tcPr>
                  <w:tcW w:w="646" w:type="dxa"/>
                  <w:vMerge w:val="restart"/>
                  <w:tcBorders>
                    <w:tl2br w:val="nil"/>
                    <w:tr2bl w:val="nil"/>
                  </w:tcBorders>
                  <w:noWrap w:val="0"/>
                  <w:vAlign w:val="center"/>
                </w:tcPr>
                <w:p w14:paraId="551D139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Cs/>
                      <w:color w:val="auto"/>
                      <w:sz w:val="18"/>
                      <w:szCs w:val="18"/>
                      <w:highlight w:val="none"/>
                      <w:lang w:val="en-US" w:eastAsia="zh-CN"/>
                    </w:rPr>
                  </w:pPr>
                  <w:r>
                    <w:rPr>
                      <w:rFonts w:hint="eastAsia" w:cs="Times New Roman"/>
                      <w:bCs/>
                      <w:color w:val="auto"/>
                      <w:sz w:val="18"/>
                      <w:szCs w:val="18"/>
                      <w:highlight w:val="none"/>
                      <w:lang w:val="en-US" w:eastAsia="zh-CN"/>
                    </w:rPr>
                    <w:t>2028.26</w:t>
                  </w:r>
                </w:p>
              </w:tc>
              <w:tc>
                <w:tcPr>
                  <w:tcW w:w="671" w:type="dxa"/>
                  <w:tcBorders>
                    <w:tl2br w:val="nil"/>
                    <w:tr2bl w:val="nil"/>
                  </w:tcBorders>
                  <w:noWrap w:val="0"/>
                  <w:vAlign w:val="center"/>
                </w:tcPr>
                <w:p w14:paraId="076D9149">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color w:val="auto"/>
                      <w:kern w:val="0"/>
                      <w:sz w:val="18"/>
                      <w:szCs w:val="18"/>
                      <w:highlight w:val="none"/>
                      <w:lang w:val="en-US" w:eastAsia="zh-CN"/>
                    </w:rPr>
                  </w:pPr>
                  <w:r>
                    <w:rPr>
                      <w:rFonts w:hint="eastAsia" w:cs="Times New Roman"/>
                      <w:b w:val="0"/>
                      <w:bCs w:val="0"/>
                      <w:color w:val="auto"/>
                      <w:sz w:val="18"/>
                      <w:szCs w:val="18"/>
                      <w:highlight w:val="none"/>
                      <w:lang w:val="en-US" w:eastAsia="zh-CN"/>
                    </w:rPr>
                    <w:t>6.5（无量纲）</w:t>
                  </w:r>
                </w:p>
              </w:tc>
              <w:tc>
                <w:tcPr>
                  <w:tcW w:w="729" w:type="dxa"/>
                  <w:tcBorders>
                    <w:tl2br w:val="nil"/>
                    <w:tr2bl w:val="nil"/>
                  </w:tcBorders>
                  <w:noWrap w:val="0"/>
                  <w:vAlign w:val="center"/>
                </w:tcPr>
                <w:p w14:paraId="514C240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bCs/>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1186" w:type="dxa"/>
                  <w:vMerge w:val="restart"/>
                  <w:tcBorders>
                    <w:tl2br w:val="nil"/>
                    <w:tr2bl w:val="nil"/>
                  </w:tcBorders>
                  <w:noWrap w:val="0"/>
                  <w:vAlign w:val="center"/>
                </w:tcPr>
                <w:p w14:paraId="4612EE3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排入厂区化粪池，通过10吨</w:t>
                  </w:r>
                  <w:r>
                    <w:rPr>
                      <w:rFonts w:hint="default" w:ascii="Times New Roman" w:hAnsi="Times New Roman" w:eastAsia="宋体" w:cs="Times New Roman"/>
                      <w:b w:val="0"/>
                      <w:bCs w:val="0"/>
                      <w:color w:val="auto"/>
                      <w:sz w:val="18"/>
                      <w:szCs w:val="18"/>
                      <w:highlight w:val="none"/>
                      <w:lang w:val="en-US" w:eastAsia="zh-CN"/>
                    </w:rPr>
                    <w:t>吸污车收集后，运至饶河县西林子乡污水处理站</w:t>
                  </w:r>
                  <w:r>
                    <w:rPr>
                      <w:rFonts w:hint="eastAsia" w:ascii="Times New Roman" w:hAnsi="Times New Roman" w:eastAsia="宋体" w:cs="Times New Roman"/>
                      <w:b w:val="0"/>
                      <w:bCs w:val="0"/>
                      <w:color w:val="auto"/>
                      <w:sz w:val="18"/>
                      <w:szCs w:val="18"/>
                      <w:highlight w:val="none"/>
                      <w:lang w:val="en-US" w:eastAsia="zh-CN"/>
                    </w:rPr>
                    <w:t>。</w:t>
                  </w:r>
                </w:p>
              </w:tc>
              <w:tc>
                <w:tcPr>
                  <w:tcW w:w="382" w:type="dxa"/>
                  <w:tcBorders>
                    <w:tl2br w:val="nil"/>
                    <w:tr2bl w:val="nil"/>
                  </w:tcBorders>
                  <w:noWrap w:val="0"/>
                  <w:vAlign w:val="center"/>
                </w:tcPr>
                <w:p w14:paraId="5257F3C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6" w:type="dxa"/>
                  <w:vMerge w:val="restart"/>
                  <w:tcBorders>
                    <w:tl2br w:val="nil"/>
                    <w:tr2bl w:val="nil"/>
                  </w:tcBorders>
                  <w:noWrap w:val="0"/>
                  <w:vAlign w:val="center"/>
                </w:tcPr>
                <w:p w14:paraId="04C9C06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r>
                    <w:rPr>
                      <w:rFonts w:hint="eastAsia" w:ascii="Times New Roman" w:hAnsi="Times New Roman" w:eastAsia="宋体" w:cs="Times New Roman"/>
                      <w:b w:val="0"/>
                      <w:bCs w:val="0"/>
                      <w:i w:val="0"/>
                      <w:iCs w:val="0"/>
                      <w:color w:val="auto"/>
                      <w:spacing w:val="0"/>
                      <w:kern w:val="0"/>
                      <w:sz w:val="18"/>
                      <w:szCs w:val="18"/>
                      <w:highlight w:val="none"/>
                      <w:lang w:val="en-US" w:eastAsia="zh-CN"/>
                    </w:rPr>
                    <w:t>系数法</w:t>
                  </w:r>
                </w:p>
              </w:tc>
              <w:tc>
                <w:tcPr>
                  <w:tcW w:w="620" w:type="dxa"/>
                  <w:vMerge w:val="restart"/>
                  <w:tcBorders>
                    <w:tl2br w:val="nil"/>
                    <w:tr2bl w:val="nil"/>
                  </w:tcBorders>
                  <w:noWrap w:val="0"/>
                  <w:vAlign w:val="center"/>
                </w:tcPr>
                <w:p w14:paraId="7093C4A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r>
                    <w:rPr>
                      <w:rFonts w:hint="eastAsia" w:cs="Times New Roman"/>
                      <w:bCs/>
                      <w:color w:val="auto"/>
                      <w:sz w:val="18"/>
                      <w:szCs w:val="18"/>
                      <w:highlight w:val="none"/>
                      <w:lang w:val="en-US" w:eastAsia="zh-CN"/>
                    </w:rPr>
                    <w:t>2028.26</w:t>
                  </w:r>
                </w:p>
              </w:tc>
              <w:tc>
                <w:tcPr>
                  <w:tcW w:w="616" w:type="dxa"/>
                  <w:tcBorders>
                    <w:tl2br w:val="nil"/>
                    <w:tr2bl w:val="nil"/>
                  </w:tcBorders>
                  <w:noWrap w:val="0"/>
                  <w:vAlign w:val="center"/>
                </w:tcPr>
                <w:p w14:paraId="67F094C0">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6.5（无量纲）</w:t>
                  </w:r>
                </w:p>
              </w:tc>
              <w:tc>
                <w:tcPr>
                  <w:tcW w:w="655" w:type="dxa"/>
                  <w:tcBorders>
                    <w:tl2br w:val="nil"/>
                    <w:tr2bl w:val="nil"/>
                  </w:tcBorders>
                  <w:noWrap w:val="0"/>
                  <w:vAlign w:val="center"/>
                </w:tcPr>
                <w:p w14:paraId="46BD2ED3">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0" w:type="dxa"/>
                  <w:vMerge w:val="continue"/>
                  <w:tcBorders>
                    <w:tl2br w:val="nil"/>
                    <w:tr2bl w:val="nil"/>
                  </w:tcBorders>
                  <w:noWrap w:val="0"/>
                  <w:vAlign w:val="center"/>
                </w:tcPr>
                <w:p w14:paraId="39AEF89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r>
            <w:tr w14:paraId="7CE9428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425" w:type="dxa"/>
                  <w:vMerge w:val="continue"/>
                  <w:tcBorders>
                    <w:tl2br w:val="nil"/>
                    <w:tr2bl w:val="nil"/>
                  </w:tcBorders>
                  <w:noWrap w:val="0"/>
                  <w:vAlign w:val="center"/>
                </w:tcPr>
                <w:p w14:paraId="24127B9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505" w:type="dxa"/>
                  <w:vMerge w:val="continue"/>
                  <w:tcBorders>
                    <w:tl2br w:val="nil"/>
                    <w:tr2bl w:val="nil"/>
                  </w:tcBorders>
                  <w:noWrap w:val="0"/>
                  <w:vAlign w:val="center"/>
                </w:tcPr>
                <w:p w14:paraId="77D4648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612" w:type="dxa"/>
                  <w:vMerge w:val="continue"/>
                  <w:tcBorders>
                    <w:tl2br w:val="nil"/>
                    <w:tr2bl w:val="nil"/>
                  </w:tcBorders>
                  <w:noWrap w:val="0"/>
                  <w:vAlign w:val="center"/>
                </w:tcPr>
                <w:p w14:paraId="7881203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i w:val="0"/>
                      <w:iCs w:val="0"/>
                      <w:color w:val="auto"/>
                      <w:spacing w:val="0"/>
                      <w:sz w:val="18"/>
                      <w:szCs w:val="18"/>
                      <w:highlight w:val="none"/>
                      <w:vertAlign w:val="baseline"/>
                      <w:lang w:val="en-US" w:eastAsia="zh-CN"/>
                    </w:rPr>
                  </w:pPr>
                </w:p>
              </w:tc>
              <w:tc>
                <w:tcPr>
                  <w:tcW w:w="746" w:type="dxa"/>
                  <w:tcBorders>
                    <w:tl2br w:val="nil"/>
                    <w:tr2bl w:val="nil"/>
                  </w:tcBorders>
                  <w:noWrap w:val="0"/>
                  <w:vAlign w:val="center"/>
                </w:tcPr>
                <w:p w14:paraId="5608C5F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COD</w:t>
                  </w:r>
                  <w:r>
                    <w:rPr>
                      <w:rFonts w:hint="eastAsia" w:cs="Times New Roman"/>
                      <w:color w:val="auto"/>
                      <w:sz w:val="18"/>
                      <w:szCs w:val="18"/>
                      <w:highlight w:val="none"/>
                      <w:vertAlign w:val="subscript"/>
                      <w:lang w:val="en-US" w:eastAsia="zh-CN"/>
                    </w:rPr>
                    <w:t>Cr</w:t>
                  </w:r>
                </w:p>
              </w:tc>
              <w:tc>
                <w:tcPr>
                  <w:tcW w:w="427" w:type="dxa"/>
                  <w:vMerge w:val="continue"/>
                  <w:tcBorders>
                    <w:tl2br w:val="nil"/>
                    <w:tr2bl w:val="nil"/>
                  </w:tcBorders>
                  <w:noWrap w:val="0"/>
                  <w:vAlign w:val="center"/>
                </w:tcPr>
                <w:p w14:paraId="76A37A7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p>
              </w:tc>
              <w:tc>
                <w:tcPr>
                  <w:tcW w:w="646" w:type="dxa"/>
                  <w:vMerge w:val="continue"/>
                  <w:tcBorders>
                    <w:tl2br w:val="nil"/>
                    <w:tr2bl w:val="nil"/>
                  </w:tcBorders>
                  <w:noWrap w:val="0"/>
                  <w:vAlign w:val="center"/>
                </w:tcPr>
                <w:p w14:paraId="52B2B1E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Cs/>
                      <w:color w:val="auto"/>
                      <w:sz w:val="18"/>
                      <w:szCs w:val="18"/>
                      <w:highlight w:val="none"/>
                      <w:lang w:val="en-US" w:eastAsia="zh-CN"/>
                    </w:rPr>
                  </w:pPr>
                </w:p>
              </w:tc>
              <w:tc>
                <w:tcPr>
                  <w:tcW w:w="671" w:type="dxa"/>
                  <w:tcBorders>
                    <w:tl2br w:val="nil"/>
                    <w:tr2bl w:val="nil"/>
                  </w:tcBorders>
                  <w:noWrap w:val="0"/>
                  <w:vAlign w:val="center"/>
                </w:tcPr>
                <w:p w14:paraId="3FA65F6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89.24</w:t>
                  </w:r>
                </w:p>
              </w:tc>
              <w:tc>
                <w:tcPr>
                  <w:tcW w:w="729" w:type="dxa"/>
                  <w:tcBorders>
                    <w:tl2br w:val="nil"/>
                    <w:tr2bl w:val="nil"/>
                  </w:tcBorders>
                  <w:noWrap w:val="0"/>
                  <w:vAlign w:val="center"/>
                </w:tcPr>
                <w:p w14:paraId="65B0CC07">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0.181</w:t>
                  </w:r>
                </w:p>
              </w:tc>
              <w:tc>
                <w:tcPr>
                  <w:tcW w:w="1186" w:type="dxa"/>
                  <w:vMerge w:val="continue"/>
                  <w:tcBorders>
                    <w:tl2br w:val="nil"/>
                    <w:tr2bl w:val="nil"/>
                  </w:tcBorders>
                  <w:noWrap w:val="0"/>
                  <w:vAlign w:val="center"/>
                </w:tcPr>
                <w:p w14:paraId="6C047BC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color w:val="auto"/>
                      <w:sz w:val="18"/>
                      <w:szCs w:val="18"/>
                      <w:highlight w:val="none"/>
                      <w:lang w:val="en-US" w:eastAsia="zh-CN"/>
                    </w:rPr>
                  </w:pPr>
                </w:p>
              </w:tc>
              <w:tc>
                <w:tcPr>
                  <w:tcW w:w="382" w:type="dxa"/>
                  <w:tcBorders>
                    <w:tl2br w:val="nil"/>
                    <w:tr2bl w:val="nil"/>
                  </w:tcBorders>
                  <w:noWrap w:val="0"/>
                  <w:vAlign w:val="center"/>
                </w:tcPr>
                <w:p w14:paraId="52F078B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6" w:type="dxa"/>
                  <w:vMerge w:val="continue"/>
                  <w:tcBorders>
                    <w:tl2br w:val="nil"/>
                    <w:tr2bl w:val="nil"/>
                  </w:tcBorders>
                  <w:noWrap w:val="0"/>
                  <w:vAlign w:val="center"/>
                </w:tcPr>
                <w:p w14:paraId="3DA452C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p>
              </w:tc>
              <w:tc>
                <w:tcPr>
                  <w:tcW w:w="620" w:type="dxa"/>
                  <w:vMerge w:val="continue"/>
                  <w:tcBorders>
                    <w:tl2br w:val="nil"/>
                    <w:tr2bl w:val="nil"/>
                  </w:tcBorders>
                  <w:noWrap w:val="0"/>
                  <w:vAlign w:val="center"/>
                </w:tcPr>
                <w:p w14:paraId="2851CC3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p>
              </w:tc>
              <w:tc>
                <w:tcPr>
                  <w:tcW w:w="616" w:type="dxa"/>
                  <w:tcBorders>
                    <w:tl2br w:val="nil"/>
                    <w:tr2bl w:val="nil"/>
                  </w:tcBorders>
                  <w:noWrap w:val="0"/>
                  <w:vAlign w:val="center"/>
                </w:tcPr>
                <w:p w14:paraId="0EC4C844">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89.24</w:t>
                  </w:r>
                </w:p>
              </w:tc>
              <w:tc>
                <w:tcPr>
                  <w:tcW w:w="655" w:type="dxa"/>
                  <w:tcBorders>
                    <w:tl2br w:val="nil"/>
                    <w:tr2bl w:val="nil"/>
                  </w:tcBorders>
                  <w:noWrap w:val="0"/>
                  <w:vAlign w:val="center"/>
                </w:tcPr>
                <w:p w14:paraId="57B540B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0.181</w:t>
                  </w:r>
                </w:p>
              </w:tc>
              <w:tc>
                <w:tcPr>
                  <w:tcW w:w="330" w:type="dxa"/>
                  <w:vMerge w:val="continue"/>
                  <w:tcBorders>
                    <w:tl2br w:val="nil"/>
                    <w:tr2bl w:val="nil"/>
                  </w:tcBorders>
                  <w:noWrap w:val="0"/>
                  <w:vAlign w:val="center"/>
                </w:tcPr>
                <w:p w14:paraId="78A8792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r>
            <w:tr w14:paraId="3A5D313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425" w:type="dxa"/>
                  <w:vMerge w:val="continue"/>
                  <w:tcBorders>
                    <w:tl2br w:val="nil"/>
                    <w:tr2bl w:val="nil"/>
                  </w:tcBorders>
                  <w:noWrap w:val="0"/>
                  <w:vAlign w:val="center"/>
                </w:tcPr>
                <w:p w14:paraId="1A9C20A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505" w:type="dxa"/>
                  <w:vMerge w:val="continue"/>
                  <w:tcBorders>
                    <w:tl2br w:val="nil"/>
                    <w:tr2bl w:val="nil"/>
                  </w:tcBorders>
                  <w:noWrap w:val="0"/>
                  <w:vAlign w:val="center"/>
                </w:tcPr>
                <w:p w14:paraId="0E0CC80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612" w:type="dxa"/>
                  <w:vMerge w:val="continue"/>
                  <w:tcBorders>
                    <w:tl2br w:val="nil"/>
                    <w:tr2bl w:val="nil"/>
                  </w:tcBorders>
                  <w:noWrap w:val="0"/>
                  <w:vAlign w:val="center"/>
                </w:tcPr>
                <w:p w14:paraId="68FC781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i w:val="0"/>
                      <w:iCs w:val="0"/>
                      <w:color w:val="auto"/>
                      <w:spacing w:val="0"/>
                      <w:sz w:val="18"/>
                      <w:szCs w:val="18"/>
                      <w:highlight w:val="none"/>
                      <w:vertAlign w:val="baseline"/>
                      <w:lang w:val="en-US" w:eastAsia="zh-CN"/>
                    </w:rPr>
                  </w:pPr>
                </w:p>
              </w:tc>
              <w:tc>
                <w:tcPr>
                  <w:tcW w:w="746" w:type="dxa"/>
                  <w:tcBorders>
                    <w:tl2br w:val="nil"/>
                    <w:tr2bl w:val="nil"/>
                  </w:tcBorders>
                  <w:noWrap w:val="0"/>
                  <w:vAlign w:val="center"/>
                </w:tcPr>
                <w:p w14:paraId="581F77F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BOD</w:t>
                  </w:r>
                  <w:r>
                    <w:rPr>
                      <w:rFonts w:hint="eastAsia" w:cs="Times New Roman"/>
                      <w:color w:val="auto"/>
                      <w:sz w:val="18"/>
                      <w:szCs w:val="18"/>
                      <w:highlight w:val="none"/>
                      <w:vertAlign w:val="subscript"/>
                      <w:lang w:val="en-US" w:eastAsia="zh-CN"/>
                    </w:rPr>
                    <w:t>5</w:t>
                  </w:r>
                </w:p>
              </w:tc>
              <w:tc>
                <w:tcPr>
                  <w:tcW w:w="427" w:type="dxa"/>
                  <w:vMerge w:val="continue"/>
                  <w:tcBorders>
                    <w:tl2br w:val="nil"/>
                    <w:tr2bl w:val="nil"/>
                  </w:tcBorders>
                  <w:noWrap w:val="0"/>
                  <w:vAlign w:val="center"/>
                </w:tcPr>
                <w:p w14:paraId="6865E86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p>
              </w:tc>
              <w:tc>
                <w:tcPr>
                  <w:tcW w:w="646" w:type="dxa"/>
                  <w:vMerge w:val="continue"/>
                  <w:tcBorders>
                    <w:tl2br w:val="nil"/>
                    <w:tr2bl w:val="nil"/>
                  </w:tcBorders>
                  <w:noWrap w:val="0"/>
                  <w:vAlign w:val="center"/>
                </w:tcPr>
                <w:p w14:paraId="26013F1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Cs/>
                      <w:color w:val="auto"/>
                      <w:sz w:val="18"/>
                      <w:szCs w:val="18"/>
                      <w:highlight w:val="none"/>
                      <w:lang w:val="en-US" w:eastAsia="zh-CN"/>
                    </w:rPr>
                  </w:pPr>
                </w:p>
              </w:tc>
              <w:tc>
                <w:tcPr>
                  <w:tcW w:w="671" w:type="dxa"/>
                  <w:tcBorders>
                    <w:tl2br w:val="nil"/>
                    <w:tr2bl w:val="nil"/>
                  </w:tcBorders>
                  <w:noWrap w:val="0"/>
                  <w:vAlign w:val="center"/>
                </w:tcPr>
                <w:p w14:paraId="4FC1439C">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3.45</w:t>
                  </w:r>
                </w:p>
              </w:tc>
              <w:tc>
                <w:tcPr>
                  <w:tcW w:w="729" w:type="dxa"/>
                  <w:tcBorders>
                    <w:tl2br w:val="nil"/>
                    <w:tr2bl w:val="nil"/>
                  </w:tcBorders>
                  <w:noWrap w:val="0"/>
                  <w:vAlign w:val="center"/>
                </w:tcPr>
                <w:p w14:paraId="5CC83E8C">
                  <w:pPr>
                    <w:keepNext w:val="0"/>
                    <w:keepLines w:val="0"/>
                    <w:widowControl/>
                    <w:suppressLineNumbers w:val="0"/>
                    <w:jc w:val="center"/>
                    <w:textAlignment w:val="center"/>
                    <w:rPr>
                      <w:rFonts w:hint="eastAsia"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u w:val="none"/>
                      <w:lang w:val="en-US" w:eastAsia="zh-CN" w:bidi="ar"/>
                    </w:rPr>
                    <w:t>0.007</w:t>
                  </w:r>
                </w:p>
              </w:tc>
              <w:tc>
                <w:tcPr>
                  <w:tcW w:w="1186" w:type="dxa"/>
                  <w:vMerge w:val="continue"/>
                  <w:tcBorders>
                    <w:tl2br w:val="nil"/>
                    <w:tr2bl w:val="nil"/>
                  </w:tcBorders>
                  <w:noWrap w:val="0"/>
                  <w:vAlign w:val="center"/>
                </w:tcPr>
                <w:p w14:paraId="2CBA727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color w:val="auto"/>
                      <w:sz w:val="18"/>
                      <w:szCs w:val="18"/>
                      <w:highlight w:val="none"/>
                      <w:lang w:val="en-US" w:eastAsia="zh-CN"/>
                    </w:rPr>
                  </w:pPr>
                </w:p>
              </w:tc>
              <w:tc>
                <w:tcPr>
                  <w:tcW w:w="382" w:type="dxa"/>
                  <w:tcBorders>
                    <w:tl2br w:val="nil"/>
                    <w:tr2bl w:val="nil"/>
                  </w:tcBorders>
                  <w:noWrap w:val="0"/>
                  <w:vAlign w:val="center"/>
                </w:tcPr>
                <w:p w14:paraId="054C787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6" w:type="dxa"/>
                  <w:vMerge w:val="continue"/>
                  <w:tcBorders>
                    <w:tl2br w:val="nil"/>
                    <w:tr2bl w:val="nil"/>
                  </w:tcBorders>
                  <w:noWrap w:val="0"/>
                  <w:vAlign w:val="center"/>
                </w:tcPr>
                <w:p w14:paraId="2A5351B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p>
              </w:tc>
              <w:tc>
                <w:tcPr>
                  <w:tcW w:w="620" w:type="dxa"/>
                  <w:vMerge w:val="continue"/>
                  <w:tcBorders>
                    <w:tl2br w:val="nil"/>
                    <w:tr2bl w:val="nil"/>
                  </w:tcBorders>
                  <w:noWrap w:val="0"/>
                  <w:vAlign w:val="center"/>
                </w:tcPr>
                <w:p w14:paraId="274207B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p>
              </w:tc>
              <w:tc>
                <w:tcPr>
                  <w:tcW w:w="616" w:type="dxa"/>
                  <w:tcBorders>
                    <w:tl2br w:val="nil"/>
                    <w:tr2bl w:val="nil"/>
                  </w:tcBorders>
                  <w:noWrap w:val="0"/>
                  <w:vAlign w:val="center"/>
                </w:tcPr>
                <w:p w14:paraId="0725BF9E">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3.45</w:t>
                  </w:r>
                </w:p>
              </w:tc>
              <w:tc>
                <w:tcPr>
                  <w:tcW w:w="655" w:type="dxa"/>
                  <w:tcBorders>
                    <w:tl2br w:val="nil"/>
                    <w:tr2bl w:val="nil"/>
                  </w:tcBorders>
                  <w:noWrap w:val="0"/>
                  <w:vAlign w:val="center"/>
                </w:tcPr>
                <w:p w14:paraId="3659F964">
                  <w:pPr>
                    <w:keepNext w:val="0"/>
                    <w:keepLines w:val="0"/>
                    <w:widowControl/>
                    <w:suppressLineNumbers w:val="0"/>
                    <w:jc w:val="center"/>
                    <w:textAlignment w:val="center"/>
                    <w:rPr>
                      <w:rFonts w:hint="eastAsia" w:cs="Times New Roman"/>
                      <w:b w:val="0"/>
                      <w:bCs w:val="0"/>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u w:val="none"/>
                      <w:lang w:val="en-US" w:eastAsia="zh-CN" w:bidi="ar"/>
                    </w:rPr>
                    <w:t>0.007</w:t>
                  </w:r>
                </w:p>
              </w:tc>
              <w:tc>
                <w:tcPr>
                  <w:tcW w:w="330" w:type="dxa"/>
                  <w:vMerge w:val="continue"/>
                  <w:tcBorders>
                    <w:tl2br w:val="nil"/>
                    <w:tr2bl w:val="nil"/>
                  </w:tcBorders>
                  <w:noWrap w:val="0"/>
                  <w:vAlign w:val="center"/>
                </w:tcPr>
                <w:p w14:paraId="070FECE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r>
            <w:tr w14:paraId="30942DC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425" w:type="dxa"/>
                  <w:vMerge w:val="continue"/>
                  <w:tcBorders>
                    <w:tl2br w:val="nil"/>
                    <w:tr2bl w:val="nil"/>
                  </w:tcBorders>
                  <w:noWrap w:val="0"/>
                  <w:vAlign w:val="center"/>
                </w:tcPr>
                <w:p w14:paraId="047CDBA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505" w:type="dxa"/>
                  <w:vMerge w:val="continue"/>
                  <w:tcBorders>
                    <w:tl2br w:val="nil"/>
                    <w:tr2bl w:val="nil"/>
                  </w:tcBorders>
                  <w:noWrap w:val="0"/>
                  <w:vAlign w:val="center"/>
                </w:tcPr>
                <w:p w14:paraId="2839A7B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612" w:type="dxa"/>
                  <w:vMerge w:val="continue"/>
                  <w:tcBorders>
                    <w:tl2br w:val="nil"/>
                    <w:tr2bl w:val="nil"/>
                  </w:tcBorders>
                  <w:noWrap w:val="0"/>
                  <w:vAlign w:val="center"/>
                </w:tcPr>
                <w:p w14:paraId="0D56151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i w:val="0"/>
                      <w:iCs w:val="0"/>
                      <w:color w:val="auto"/>
                      <w:spacing w:val="0"/>
                      <w:sz w:val="18"/>
                      <w:szCs w:val="18"/>
                      <w:highlight w:val="none"/>
                      <w:vertAlign w:val="baseline"/>
                      <w:lang w:val="en-US" w:eastAsia="zh-CN"/>
                    </w:rPr>
                  </w:pPr>
                </w:p>
              </w:tc>
              <w:tc>
                <w:tcPr>
                  <w:tcW w:w="746" w:type="dxa"/>
                  <w:tcBorders>
                    <w:tl2br w:val="nil"/>
                    <w:tr2bl w:val="nil"/>
                  </w:tcBorders>
                  <w:noWrap w:val="0"/>
                  <w:vAlign w:val="center"/>
                </w:tcPr>
                <w:p w14:paraId="1DB2DB8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NH</w:t>
                  </w:r>
                  <w:r>
                    <w:rPr>
                      <w:rFonts w:hint="default" w:ascii="Times New Roman" w:hAnsi="Times New Roman" w:cs="Times New Roman"/>
                      <w:color w:val="auto"/>
                      <w:sz w:val="18"/>
                      <w:szCs w:val="18"/>
                      <w:highlight w:val="none"/>
                      <w:vertAlign w:val="subscript"/>
                      <w:lang w:val="en-US" w:eastAsia="zh-CN"/>
                    </w:rPr>
                    <w:t>3</w:t>
                  </w:r>
                  <w:r>
                    <w:rPr>
                      <w:rFonts w:hint="default" w:ascii="Times New Roman" w:hAnsi="Times New Roman" w:cs="Times New Roman"/>
                      <w:color w:val="auto"/>
                      <w:sz w:val="18"/>
                      <w:szCs w:val="18"/>
                      <w:highlight w:val="none"/>
                      <w:lang w:val="en-US" w:eastAsia="zh-CN"/>
                    </w:rPr>
                    <w:t>-N</w:t>
                  </w:r>
                </w:p>
              </w:tc>
              <w:tc>
                <w:tcPr>
                  <w:tcW w:w="427" w:type="dxa"/>
                  <w:vMerge w:val="continue"/>
                  <w:tcBorders>
                    <w:tl2br w:val="nil"/>
                    <w:tr2bl w:val="nil"/>
                  </w:tcBorders>
                  <w:noWrap w:val="0"/>
                  <w:vAlign w:val="center"/>
                </w:tcPr>
                <w:p w14:paraId="7B3A94D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p>
              </w:tc>
              <w:tc>
                <w:tcPr>
                  <w:tcW w:w="646" w:type="dxa"/>
                  <w:vMerge w:val="continue"/>
                  <w:tcBorders>
                    <w:tl2br w:val="nil"/>
                    <w:tr2bl w:val="nil"/>
                  </w:tcBorders>
                  <w:noWrap w:val="0"/>
                  <w:vAlign w:val="center"/>
                </w:tcPr>
                <w:p w14:paraId="1B3408D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Cs/>
                      <w:color w:val="auto"/>
                      <w:sz w:val="18"/>
                      <w:szCs w:val="18"/>
                      <w:highlight w:val="none"/>
                      <w:lang w:val="en-US" w:eastAsia="zh-CN"/>
                    </w:rPr>
                  </w:pPr>
                </w:p>
              </w:tc>
              <w:tc>
                <w:tcPr>
                  <w:tcW w:w="671" w:type="dxa"/>
                  <w:tcBorders>
                    <w:tl2br w:val="nil"/>
                    <w:tr2bl w:val="nil"/>
                  </w:tcBorders>
                  <w:noWrap w:val="0"/>
                  <w:vAlign w:val="center"/>
                </w:tcPr>
                <w:p w14:paraId="4BBC9FF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0.49</w:t>
                  </w:r>
                </w:p>
              </w:tc>
              <w:tc>
                <w:tcPr>
                  <w:tcW w:w="729" w:type="dxa"/>
                  <w:tcBorders>
                    <w:tl2br w:val="nil"/>
                    <w:tr2bl w:val="nil"/>
                  </w:tcBorders>
                  <w:noWrap w:val="0"/>
                  <w:vAlign w:val="center"/>
                </w:tcPr>
                <w:p w14:paraId="5AAD433A">
                  <w:pPr>
                    <w:keepNext w:val="0"/>
                    <w:keepLines w:val="0"/>
                    <w:widowControl/>
                    <w:suppressLineNumbers w:val="0"/>
                    <w:jc w:val="center"/>
                    <w:textAlignment w:val="center"/>
                    <w:rPr>
                      <w:rFonts w:hint="eastAsia"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u w:val="none"/>
                      <w:lang w:val="en-US" w:eastAsia="zh-CN" w:bidi="ar"/>
                    </w:rPr>
                    <w:t>0.001</w:t>
                  </w:r>
                </w:p>
              </w:tc>
              <w:tc>
                <w:tcPr>
                  <w:tcW w:w="1186" w:type="dxa"/>
                  <w:vMerge w:val="continue"/>
                  <w:tcBorders>
                    <w:tl2br w:val="nil"/>
                    <w:tr2bl w:val="nil"/>
                  </w:tcBorders>
                  <w:noWrap w:val="0"/>
                  <w:vAlign w:val="center"/>
                </w:tcPr>
                <w:p w14:paraId="50F0E61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color w:val="auto"/>
                      <w:sz w:val="18"/>
                      <w:szCs w:val="18"/>
                      <w:highlight w:val="none"/>
                      <w:lang w:val="en-US" w:eastAsia="zh-CN"/>
                    </w:rPr>
                  </w:pPr>
                </w:p>
              </w:tc>
              <w:tc>
                <w:tcPr>
                  <w:tcW w:w="382" w:type="dxa"/>
                  <w:tcBorders>
                    <w:tl2br w:val="nil"/>
                    <w:tr2bl w:val="nil"/>
                  </w:tcBorders>
                  <w:noWrap w:val="0"/>
                  <w:vAlign w:val="center"/>
                </w:tcPr>
                <w:p w14:paraId="7450450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6" w:type="dxa"/>
                  <w:vMerge w:val="continue"/>
                  <w:tcBorders>
                    <w:tl2br w:val="nil"/>
                    <w:tr2bl w:val="nil"/>
                  </w:tcBorders>
                  <w:noWrap w:val="0"/>
                  <w:vAlign w:val="center"/>
                </w:tcPr>
                <w:p w14:paraId="5E69AE7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p>
              </w:tc>
              <w:tc>
                <w:tcPr>
                  <w:tcW w:w="620" w:type="dxa"/>
                  <w:vMerge w:val="continue"/>
                  <w:tcBorders>
                    <w:tl2br w:val="nil"/>
                    <w:tr2bl w:val="nil"/>
                  </w:tcBorders>
                  <w:noWrap w:val="0"/>
                  <w:vAlign w:val="center"/>
                </w:tcPr>
                <w:p w14:paraId="0BCFE9B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p>
              </w:tc>
              <w:tc>
                <w:tcPr>
                  <w:tcW w:w="616" w:type="dxa"/>
                  <w:tcBorders>
                    <w:tl2br w:val="nil"/>
                    <w:tr2bl w:val="nil"/>
                  </w:tcBorders>
                  <w:noWrap w:val="0"/>
                  <w:vAlign w:val="center"/>
                </w:tcPr>
                <w:p w14:paraId="615D8348">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0.49</w:t>
                  </w:r>
                </w:p>
              </w:tc>
              <w:tc>
                <w:tcPr>
                  <w:tcW w:w="655" w:type="dxa"/>
                  <w:tcBorders>
                    <w:tl2br w:val="nil"/>
                    <w:tr2bl w:val="nil"/>
                  </w:tcBorders>
                  <w:noWrap w:val="0"/>
                  <w:vAlign w:val="center"/>
                </w:tcPr>
                <w:p w14:paraId="170CCBA6">
                  <w:pPr>
                    <w:keepNext w:val="0"/>
                    <w:keepLines w:val="0"/>
                    <w:widowControl/>
                    <w:suppressLineNumbers w:val="0"/>
                    <w:jc w:val="center"/>
                    <w:textAlignment w:val="center"/>
                    <w:rPr>
                      <w:rFonts w:hint="eastAsia" w:cs="Times New Roman"/>
                      <w:b w:val="0"/>
                      <w:bCs w:val="0"/>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u w:val="none"/>
                      <w:lang w:val="en-US" w:eastAsia="zh-CN" w:bidi="ar"/>
                    </w:rPr>
                    <w:t>0.001</w:t>
                  </w:r>
                </w:p>
              </w:tc>
              <w:tc>
                <w:tcPr>
                  <w:tcW w:w="330" w:type="dxa"/>
                  <w:vMerge w:val="continue"/>
                  <w:tcBorders>
                    <w:tl2br w:val="nil"/>
                    <w:tr2bl w:val="nil"/>
                  </w:tcBorders>
                  <w:noWrap w:val="0"/>
                  <w:vAlign w:val="center"/>
                </w:tcPr>
                <w:p w14:paraId="1BB113F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r>
            <w:tr w14:paraId="5EACBBE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425" w:type="dxa"/>
                  <w:vMerge w:val="continue"/>
                  <w:tcBorders>
                    <w:tl2br w:val="nil"/>
                    <w:tr2bl w:val="nil"/>
                  </w:tcBorders>
                  <w:noWrap w:val="0"/>
                  <w:vAlign w:val="center"/>
                </w:tcPr>
                <w:p w14:paraId="07BA501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505" w:type="dxa"/>
                  <w:vMerge w:val="continue"/>
                  <w:tcBorders>
                    <w:tl2br w:val="nil"/>
                    <w:tr2bl w:val="nil"/>
                  </w:tcBorders>
                  <w:noWrap w:val="0"/>
                  <w:vAlign w:val="center"/>
                </w:tcPr>
                <w:p w14:paraId="4EF3F39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612" w:type="dxa"/>
                  <w:vMerge w:val="continue"/>
                  <w:tcBorders>
                    <w:tl2br w:val="nil"/>
                    <w:tr2bl w:val="nil"/>
                  </w:tcBorders>
                  <w:noWrap w:val="0"/>
                  <w:vAlign w:val="center"/>
                </w:tcPr>
                <w:p w14:paraId="41CB0D1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i w:val="0"/>
                      <w:iCs w:val="0"/>
                      <w:color w:val="auto"/>
                      <w:spacing w:val="0"/>
                      <w:sz w:val="18"/>
                      <w:szCs w:val="18"/>
                      <w:highlight w:val="none"/>
                      <w:vertAlign w:val="baseline"/>
                      <w:lang w:val="en-US" w:eastAsia="zh-CN"/>
                    </w:rPr>
                  </w:pPr>
                </w:p>
              </w:tc>
              <w:tc>
                <w:tcPr>
                  <w:tcW w:w="746" w:type="dxa"/>
                  <w:tcBorders>
                    <w:tl2br w:val="nil"/>
                    <w:tr2bl w:val="nil"/>
                  </w:tcBorders>
                  <w:noWrap w:val="0"/>
                  <w:vAlign w:val="center"/>
                </w:tcPr>
                <w:p w14:paraId="3159001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TN</w:t>
                  </w:r>
                </w:p>
              </w:tc>
              <w:tc>
                <w:tcPr>
                  <w:tcW w:w="427" w:type="dxa"/>
                  <w:vMerge w:val="continue"/>
                  <w:tcBorders>
                    <w:tl2br w:val="nil"/>
                    <w:tr2bl w:val="nil"/>
                  </w:tcBorders>
                  <w:noWrap w:val="0"/>
                  <w:vAlign w:val="center"/>
                </w:tcPr>
                <w:p w14:paraId="6723CA3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p>
              </w:tc>
              <w:tc>
                <w:tcPr>
                  <w:tcW w:w="646" w:type="dxa"/>
                  <w:vMerge w:val="continue"/>
                  <w:tcBorders>
                    <w:tl2br w:val="nil"/>
                    <w:tr2bl w:val="nil"/>
                  </w:tcBorders>
                  <w:noWrap w:val="0"/>
                  <w:vAlign w:val="center"/>
                </w:tcPr>
                <w:p w14:paraId="616DE2A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Cs/>
                      <w:color w:val="auto"/>
                      <w:sz w:val="18"/>
                      <w:szCs w:val="18"/>
                      <w:highlight w:val="none"/>
                      <w:lang w:val="en-US" w:eastAsia="zh-CN"/>
                    </w:rPr>
                  </w:pPr>
                </w:p>
              </w:tc>
              <w:tc>
                <w:tcPr>
                  <w:tcW w:w="671" w:type="dxa"/>
                  <w:tcBorders>
                    <w:tl2br w:val="nil"/>
                    <w:tr2bl w:val="nil"/>
                  </w:tcBorders>
                  <w:noWrap w:val="0"/>
                  <w:vAlign w:val="center"/>
                </w:tcPr>
                <w:p w14:paraId="2BB6F84F">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0.49</w:t>
                  </w:r>
                </w:p>
              </w:tc>
              <w:tc>
                <w:tcPr>
                  <w:tcW w:w="729" w:type="dxa"/>
                  <w:tcBorders>
                    <w:tl2br w:val="nil"/>
                    <w:tr2bl w:val="nil"/>
                  </w:tcBorders>
                  <w:noWrap w:val="0"/>
                  <w:vAlign w:val="center"/>
                </w:tcPr>
                <w:p w14:paraId="65C7A759">
                  <w:pPr>
                    <w:keepNext w:val="0"/>
                    <w:keepLines w:val="0"/>
                    <w:widowControl/>
                    <w:suppressLineNumbers w:val="0"/>
                    <w:jc w:val="center"/>
                    <w:textAlignment w:val="center"/>
                    <w:rPr>
                      <w:rFonts w:hint="eastAsia"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u w:val="none"/>
                      <w:lang w:val="en-US" w:eastAsia="zh-CN" w:bidi="ar"/>
                    </w:rPr>
                    <w:t>0.001</w:t>
                  </w:r>
                </w:p>
              </w:tc>
              <w:tc>
                <w:tcPr>
                  <w:tcW w:w="1186" w:type="dxa"/>
                  <w:vMerge w:val="continue"/>
                  <w:tcBorders>
                    <w:tl2br w:val="nil"/>
                    <w:tr2bl w:val="nil"/>
                  </w:tcBorders>
                  <w:noWrap w:val="0"/>
                  <w:vAlign w:val="center"/>
                </w:tcPr>
                <w:p w14:paraId="5BBAF4C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color w:val="auto"/>
                      <w:sz w:val="18"/>
                      <w:szCs w:val="18"/>
                      <w:highlight w:val="none"/>
                      <w:lang w:val="en-US" w:eastAsia="zh-CN"/>
                    </w:rPr>
                  </w:pPr>
                </w:p>
              </w:tc>
              <w:tc>
                <w:tcPr>
                  <w:tcW w:w="382" w:type="dxa"/>
                  <w:tcBorders>
                    <w:tl2br w:val="nil"/>
                    <w:tr2bl w:val="nil"/>
                  </w:tcBorders>
                  <w:noWrap w:val="0"/>
                  <w:vAlign w:val="center"/>
                </w:tcPr>
                <w:p w14:paraId="6E2AD32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6" w:type="dxa"/>
                  <w:vMerge w:val="continue"/>
                  <w:tcBorders>
                    <w:tl2br w:val="nil"/>
                    <w:tr2bl w:val="nil"/>
                  </w:tcBorders>
                  <w:noWrap w:val="0"/>
                  <w:vAlign w:val="center"/>
                </w:tcPr>
                <w:p w14:paraId="5B5D6E5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p>
              </w:tc>
              <w:tc>
                <w:tcPr>
                  <w:tcW w:w="620" w:type="dxa"/>
                  <w:vMerge w:val="continue"/>
                  <w:tcBorders>
                    <w:tl2br w:val="nil"/>
                    <w:tr2bl w:val="nil"/>
                  </w:tcBorders>
                  <w:noWrap w:val="0"/>
                  <w:vAlign w:val="center"/>
                </w:tcPr>
                <w:p w14:paraId="1F3DD0A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p>
              </w:tc>
              <w:tc>
                <w:tcPr>
                  <w:tcW w:w="616" w:type="dxa"/>
                  <w:tcBorders>
                    <w:tl2br w:val="nil"/>
                    <w:tr2bl w:val="nil"/>
                  </w:tcBorders>
                  <w:noWrap w:val="0"/>
                  <w:vAlign w:val="center"/>
                </w:tcPr>
                <w:p w14:paraId="11C1ACF6">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0.49</w:t>
                  </w:r>
                </w:p>
              </w:tc>
              <w:tc>
                <w:tcPr>
                  <w:tcW w:w="655" w:type="dxa"/>
                  <w:tcBorders>
                    <w:tl2br w:val="nil"/>
                    <w:tr2bl w:val="nil"/>
                  </w:tcBorders>
                  <w:noWrap w:val="0"/>
                  <w:vAlign w:val="center"/>
                </w:tcPr>
                <w:p w14:paraId="6522F915">
                  <w:pPr>
                    <w:keepNext w:val="0"/>
                    <w:keepLines w:val="0"/>
                    <w:widowControl/>
                    <w:suppressLineNumbers w:val="0"/>
                    <w:jc w:val="center"/>
                    <w:textAlignment w:val="center"/>
                    <w:rPr>
                      <w:rFonts w:hint="eastAsia" w:cs="Times New Roman"/>
                      <w:b w:val="0"/>
                      <w:bCs w:val="0"/>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u w:val="none"/>
                      <w:lang w:val="en-US" w:eastAsia="zh-CN" w:bidi="ar"/>
                    </w:rPr>
                    <w:t>0.001</w:t>
                  </w:r>
                </w:p>
              </w:tc>
              <w:tc>
                <w:tcPr>
                  <w:tcW w:w="330" w:type="dxa"/>
                  <w:vMerge w:val="continue"/>
                  <w:tcBorders>
                    <w:tl2br w:val="nil"/>
                    <w:tr2bl w:val="nil"/>
                  </w:tcBorders>
                  <w:noWrap w:val="0"/>
                  <w:vAlign w:val="center"/>
                </w:tcPr>
                <w:p w14:paraId="249FD0E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r>
            <w:tr w14:paraId="23DC4DB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425" w:type="dxa"/>
                  <w:vMerge w:val="continue"/>
                  <w:tcBorders>
                    <w:tl2br w:val="nil"/>
                    <w:tr2bl w:val="nil"/>
                  </w:tcBorders>
                  <w:noWrap w:val="0"/>
                  <w:vAlign w:val="center"/>
                </w:tcPr>
                <w:p w14:paraId="0599EAA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505" w:type="dxa"/>
                  <w:vMerge w:val="continue"/>
                  <w:tcBorders>
                    <w:tl2br w:val="nil"/>
                    <w:tr2bl w:val="nil"/>
                  </w:tcBorders>
                  <w:noWrap w:val="0"/>
                  <w:vAlign w:val="center"/>
                </w:tcPr>
                <w:p w14:paraId="384082B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612" w:type="dxa"/>
                  <w:vMerge w:val="continue"/>
                  <w:tcBorders>
                    <w:tl2br w:val="nil"/>
                    <w:tr2bl w:val="nil"/>
                  </w:tcBorders>
                  <w:noWrap w:val="0"/>
                  <w:vAlign w:val="center"/>
                </w:tcPr>
                <w:p w14:paraId="780D650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i w:val="0"/>
                      <w:iCs w:val="0"/>
                      <w:color w:val="auto"/>
                      <w:spacing w:val="0"/>
                      <w:sz w:val="18"/>
                      <w:szCs w:val="18"/>
                      <w:highlight w:val="none"/>
                      <w:vertAlign w:val="baseline"/>
                      <w:lang w:val="en-US" w:eastAsia="zh-CN"/>
                    </w:rPr>
                  </w:pPr>
                </w:p>
              </w:tc>
              <w:tc>
                <w:tcPr>
                  <w:tcW w:w="746" w:type="dxa"/>
                  <w:tcBorders>
                    <w:tl2br w:val="nil"/>
                    <w:tr2bl w:val="nil"/>
                  </w:tcBorders>
                  <w:noWrap w:val="0"/>
                  <w:vAlign w:val="center"/>
                </w:tcPr>
                <w:p w14:paraId="59FE8F1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TP</w:t>
                  </w:r>
                </w:p>
              </w:tc>
              <w:tc>
                <w:tcPr>
                  <w:tcW w:w="427" w:type="dxa"/>
                  <w:vMerge w:val="continue"/>
                  <w:tcBorders>
                    <w:tl2br w:val="nil"/>
                    <w:tr2bl w:val="nil"/>
                  </w:tcBorders>
                  <w:noWrap w:val="0"/>
                  <w:vAlign w:val="center"/>
                </w:tcPr>
                <w:p w14:paraId="0F3CD16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p>
              </w:tc>
              <w:tc>
                <w:tcPr>
                  <w:tcW w:w="646" w:type="dxa"/>
                  <w:vMerge w:val="continue"/>
                  <w:tcBorders>
                    <w:tl2br w:val="nil"/>
                    <w:tr2bl w:val="nil"/>
                  </w:tcBorders>
                  <w:noWrap w:val="0"/>
                  <w:vAlign w:val="center"/>
                </w:tcPr>
                <w:p w14:paraId="11B7020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Cs/>
                      <w:color w:val="auto"/>
                      <w:sz w:val="18"/>
                      <w:szCs w:val="18"/>
                      <w:highlight w:val="none"/>
                      <w:lang w:val="en-US" w:eastAsia="zh-CN"/>
                    </w:rPr>
                  </w:pPr>
                </w:p>
              </w:tc>
              <w:tc>
                <w:tcPr>
                  <w:tcW w:w="671" w:type="dxa"/>
                  <w:tcBorders>
                    <w:tl2br w:val="nil"/>
                    <w:tr2bl w:val="nil"/>
                  </w:tcBorders>
                  <w:noWrap w:val="0"/>
                  <w:vAlign w:val="center"/>
                </w:tcPr>
                <w:p w14:paraId="530E941B">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0.05</w:t>
                  </w:r>
                </w:p>
              </w:tc>
              <w:tc>
                <w:tcPr>
                  <w:tcW w:w="729" w:type="dxa"/>
                  <w:tcBorders>
                    <w:tl2br w:val="nil"/>
                    <w:tr2bl w:val="nil"/>
                  </w:tcBorders>
                  <w:noWrap w:val="0"/>
                  <w:vAlign w:val="center"/>
                </w:tcPr>
                <w:p w14:paraId="57CCD4E2">
                  <w:pPr>
                    <w:keepNext w:val="0"/>
                    <w:keepLines w:val="0"/>
                    <w:widowControl/>
                    <w:suppressLineNumbers w:val="0"/>
                    <w:jc w:val="center"/>
                    <w:textAlignment w:val="center"/>
                    <w:rPr>
                      <w:rFonts w:hint="eastAsia"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u w:val="none"/>
                      <w:lang w:val="en-US" w:eastAsia="zh-CN" w:bidi="ar"/>
                    </w:rPr>
                    <w:t>0.0001</w:t>
                  </w:r>
                </w:p>
              </w:tc>
              <w:tc>
                <w:tcPr>
                  <w:tcW w:w="1186" w:type="dxa"/>
                  <w:vMerge w:val="continue"/>
                  <w:tcBorders>
                    <w:tl2br w:val="nil"/>
                    <w:tr2bl w:val="nil"/>
                  </w:tcBorders>
                  <w:noWrap w:val="0"/>
                  <w:vAlign w:val="center"/>
                </w:tcPr>
                <w:p w14:paraId="206AA06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color w:val="auto"/>
                      <w:sz w:val="18"/>
                      <w:szCs w:val="18"/>
                      <w:highlight w:val="none"/>
                      <w:lang w:val="en-US" w:eastAsia="zh-CN"/>
                    </w:rPr>
                  </w:pPr>
                </w:p>
              </w:tc>
              <w:tc>
                <w:tcPr>
                  <w:tcW w:w="382" w:type="dxa"/>
                  <w:tcBorders>
                    <w:tl2br w:val="nil"/>
                    <w:tr2bl w:val="nil"/>
                  </w:tcBorders>
                  <w:noWrap w:val="0"/>
                  <w:vAlign w:val="center"/>
                </w:tcPr>
                <w:p w14:paraId="7DD1214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6" w:type="dxa"/>
                  <w:vMerge w:val="continue"/>
                  <w:tcBorders>
                    <w:tl2br w:val="nil"/>
                    <w:tr2bl w:val="nil"/>
                  </w:tcBorders>
                  <w:noWrap w:val="0"/>
                  <w:vAlign w:val="center"/>
                </w:tcPr>
                <w:p w14:paraId="16EA214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p>
              </w:tc>
              <w:tc>
                <w:tcPr>
                  <w:tcW w:w="620" w:type="dxa"/>
                  <w:vMerge w:val="continue"/>
                  <w:tcBorders>
                    <w:tl2br w:val="nil"/>
                    <w:tr2bl w:val="nil"/>
                  </w:tcBorders>
                  <w:noWrap w:val="0"/>
                  <w:vAlign w:val="center"/>
                </w:tcPr>
                <w:p w14:paraId="0589981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p>
              </w:tc>
              <w:tc>
                <w:tcPr>
                  <w:tcW w:w="616" w:type="dxa"/>
                  <w:tcBorders>
                    <w:tl2br w:val="nil"/>
                    <w:tr2bl w:val="nil"/>
                  </w:tcBorders>
                  <w:noWrap w:val="0"/>
                  <w:vAlign w:val="center"/>
                </w:tcPr>
                <w:p w14:paraId="6CBD8723">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0.05</w:t>
                  </w:r>
                </w:p>
              </w:tc>
              <w:tc>
                <w:tcPr>
                  <w:tcW w:w="655" w:type="dxa"/>
                  <w:tcBorders>
                    <w:tl2br w:val="nil"/>
                    <w:tr2bl w:val="nil"/>
                  </w:tcBorders>
                  <w:noWrap w:val="0"/>
                  <w:vAlign w:val="center"/>
                </w:tcPr>
                <w:p w14:paraId="5C0DA8F4">
                  <w:pPr>
                    <w:keepNext w:val="0"/>
                    <w:keepLines w:val="0"/>
                    <w:widowControl/>
                    <w:suppressLineNumbers w:val="0"/>
                    <w:jc w:val="center"/>
                    <w:textAlignment w:val="center"/>
                    <w:rPr>
                      <w:rFonts w:hint="eastAsia" w:cs="Times New Roman"/>
                      <w:b w:val="0"/>
                      <w:bCs w:val="0"/>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u w:val="none"/>
                      <w:lang w:val="en-US" w:eastAsia="zh-CN" w:bidi="ar"/>
                    </w:rPr>
                    <w:t>0.0001</w:t>
                  </w:r>
                </w:p>
              </w:tc>
              <w:tc>
                <w:tcPr>
                  <w:tcW w:w="330" w:type="dxa"/>
                  <w:vMerge w:val="continue"/>
                  <w:tcBorders>
                    <w:tl2br w:val="nil"/>
                    <w:tr2bl w:val="nil"/>
                  </w:tcBorders>
                  <w:noWrap w:val="0"/>
                  <w:vAlign w:val="center"/>
                </w:tcPr>
                <w:p w14:paraId="5DF3F50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r>
            <w:tr w14:paraId="5E2408C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425" w:type="dxa"/>
                  <w:vMerge w:val="continue"/>
                  <w:tcBorders>
                    <w:tl2br w:val="nil"/>
                    <w:tr2bl w:val="nil"/>
                  </w:tcBorders>
                  <w:noWrap w:val="0"/>
                  <w:vAlign w:val="center"/>
                </w:tcPr>
                <w:p w14:paraId="326B24C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505" w:type="dxa"/>
                  <w:vMerge w:val="continue"/>
                  <w:tcBorders>
                    <w:tl2br w:val="nil"/>
                    <w:tr2bl w:val="nil"/>
                  </w:tcBorders>
                  <w:noWrap w:val="0"/>
                  <w:vAlign w:val="center"/>
                </w:tcPr>
                <w:p w14:paraId="07A6A24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FF0000"/>
                      <w:spacing w:val="0"/>
                      <w:sz w:val="18"/>
                      <w:szCs w:val="18"/>
                      <w:highlight w:val="none"/>
                      <w:vertAlign w:val="baseline"/>
                      <w:lang w:val="en-US" w:eastAsia="zh-CN"/>
                    </w:rPr>
                  </w:pPr>
                </w:p>
              </w:tc>
              <w:tc>
                <w:tcPr>
                  <w:tcW w:w="612" w:type="dxa"/>
                  <w:vMerge w:val="continue"/>
                  <w:tcBorders>
                    <w:tl2br w:val="nil"/>
                    <w:tr2bl w:val="nil"/>
                  </w:tcBorders>
                  <w:noWrap w:val="0"/>
                  <w:vAlign w:val="center"/>
                </w:tcPr>
                <w:p w14:paraId="57B765A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i w:val="0"/>
                      <w:iCs w:val="0"/>
                      <w:color w:val="auto"/>
                      <w:spacing w:val="0"/>
                      <w:sz w:val="18"/>
                      <w:szCs w:val="18"/>
                      <w:highlight w:val="none"/>
                      <w:vertAlign w:val="baseline"/>
                      <w:lang w:val="en-US" w:eastAsia="zh-CN"/>
                    </w:rPr>
                  </w:pPr>
                </w:p>
              </w:tc>
              <w:tc>
                <w:tcPr>
                  <w:tcW w:w="746" w:type="dxa"/>
                  <w:tcBorders>
                    <w:tl2br w:val="nil"/>
                    <w:tr2bl w:val="nil"/>
                  </w:tcBorders>
                  <w:noWrap w:val="0"/>
                  <w:vAlign w:val="center"/>
                </w:tcPr>
                <w:p w14:paraId="1D3ADDD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TDS</w:t>
                  </w:r>
                </w:p>
              </w:tc>
              <w:tc>
                <w:tcPr>
                  <w:tcW w:w="427" w:type="dxa"/>
                  <w:vMerge w:val="continue"/>
                  <w:tcBorders>
                    <w:tl2br w:val="nil"/>
                    <w:tr2bl w:val="nil"/>
                  </w:tcBorders>
                  <w:noWrap w:val="0"/>
                  <w:vAlign w:val="center"/>
                </w:tcPr>
                <w:p w14:paraId="6CBF98E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p>
              </w:tc>
              <w:tc>
                <w:tcPr>
                  <w:tcW w:w="646" w:type="dxa"/>
                  <w:vMerge w:val="continue"/>
                  <w:tcBorders>
                    <w:tl2br w:val="nil"/>
                    <w:tr2bl w:val="nil"/>
                  </w:tcBorders>
                  <w:noWrap w:val="0"/>
                  <w:vAlign w:val="center"/>
                </w:tcPr>
                <w:p w14:paraId="5552EE8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Cs/>
                      <w:color w:val="auto"/>
                      <w:sz w:val="18"/>
                      <w:szCs w:val="18"/>
                      <w:highlight w:val="none"/>
                      <w:lang w:val="en-US" w:eastAsia="zh-CN"/>
                    </w:rPr>
                  </w:pPr>
                </w:p>
              </w:tc>
              <w:tc>
                <w:tcPr>
                  <w:tcW w:w="671" w:type="dxa"/>
                  <w:tcBorders>
                    <w:tl2br w:val="nil"/>
                    <w:tr2bl w:val="nil"/>
                  </w:tcBorders>
                  <w:noWrap w:val="0"/>
                  <w:vAlign w:val="center"/>
                </w:tcPr>
                <w:p w14:paraId="64C5E8E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789.35</w:t>
                  </w:r>
                </w:p>
              </w:tc>
              <w:tc>
                <w:tcPr>
                  <w:tcW w:w="729" w:type="dxa"/>
                  <w:tcBorders>
                    <w:tl2br w:val="nil"/>
                    <w:tr2bl w:val="nil"/>
                  </w:tcBorders>
                  <w:noWrap w:val="0"/>
                  <w:vAlign w:val="center"/>
                </w:tcPr>
                <w:p w14:paraId="02EDF70A">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1.601</w:t>
                  </w:r>
                </w:p>
              </w:tc>
              <w:tc>
                <w:tcPr>
                  <w:tcW w:w="1186" w:type="dxa"/>
                  <w:vMerge w:val="continue"/>
                  <w:tcBorders>
                    <w:tl2br w:val="nil"/>
                    <w:tr2bl w:val="nil"/>
                  </w:tcBorders>
                  <w:noWrap w:val="0"/>
                  <w:vAlign w:val="center"/>
                </w:tcPr>
                <w:p w14:paraId="69D3D1F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ascii="Times New Roman" w:hAnsi="Times New Roman" w:eastAsia="宋体" w:cs="Times New Roman"/>
                      <w:b w:val="0"/>
                      <w:bCs w:val="0"/>
                      <w:color w:val="auto"/>
                      <w:sz w:val="18"/>
                      <w:szCs w:val="18"/>
                      <w:highlight w:val="none"/>
                      <w:lang w:val="en-US" w:eastAsia="zh-CN"/>
                    </w:rPr>
                  </w:pPr>
                </w:p>
              </w:tc>
              <w:tc>
                <w:tcPr>
                  <w:tcW w:w="382" w:type="dxa"/>
                  <w:tcBorders>
                    <w:tl2br w:val="nil"/>
                    <w:tr2bl w:val="nil"/>
                  </w:tcBorders>
                  <w:noWrap w:val="0"/>
                  <w:vAlign w:val="center"/>
                </w:tcPr>
                <w:p w14:paraId="019BD55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336" w:type="dxa"/>
                  <w:vMerge w:val="continue"/>
                  <w:tcBorders>
                    <w:tl2br w:val="nil"/>
                    <w:tr2bl w:val="nil"/>
                  </w:tcBorders>
                  <w:noWrap w:val="0"/>
                  <w:vAlign w:val="center"/>
                </w:tcPr>
                <w:p w14:paraId="3EBC9D5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18"/>
                      <w:szCs w:val="18"/>
                      <w:highlight w:val="none"/>
                      <w:lang w:val="en-US" w:eastAsia="zh-CN"/>
                    </w:rPr>
                  </w:pPr>
                </w:p>
              </w:tc>
              <w:tc>
                <w:tcPr>
                  <w:tcW w:w="620" w:type="dxa"/>
                  <w:vMerge w:val="continue"/>
                  <w:tcBorders>
                    <w:tl2br w:val="nil"/>
                    <w:tr2bl w:val="nil"/>
                  </w:tcBorders>
                  <w:noWrap w:val="0"/>
                  <w:vAlign w:val="center"/>
                </w:tcPr>
                <w:p w14:paraId="7ED7665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p>
              </w:tc>
              <w:tc>
                <w:tcPr>
                  <w:tcW w:w="616" w:type="dxa"/>
                  <w:tcBorders>
                    <w:tl2br w:val="nil"/>
                    <w:tr2bl w:val="nil"/>
                  </w:tcBorders>
                  <w:noWrap w:val="0"/>
                  <w:vAlign w:val="center"/>
                </w:tcPr>
                <w:p w14:paraId="790925DC">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789.35</w:t>
                  </w:r>
                </w:p>
              </w:tc>
              <w:tc>
                <w:tcPr>
                  <w:tcW w:w="655" w:type="dxa"/>
                  <w:tcBorders>
                    <w:tl2br w:val="nil"/>
                    <w:tr2bl w:val="nil"/>
                  </w:tcBorders>
                  <w:noWrap w:val="0"/>
                  <w:vAlign w:val="center"/>
                </w:tcPr>
                <w:p w14:paraId="03F3554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1.601</w:t>
                  </w:r>
                </w:p>
              </w:tc>
              <w:tc>
                <w:tcPr>
                  <w:tcW w:w="330" w:type="dxa"/>
                  <w:vMerge w:val="continue"/>
                  <w:tcBorders>
                    <w:tl2br w:val="nil"/>
                    <w:tr2bl w:val="nil"/>
                  </w:tcBorders>
                  <w:noWrap w:val="0"/>
                  <w:vAlign w:val="center"/>
                </w:tcPr>
                <w:p w14:paraId="4E534DB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FF0000"/>
                      <w:sz w:val="18"/>
                      <w:szCs w:val="18"/>
                      <w:highlight w:val="none"/>
                      <w:lang w:val="en-US" w:eastAsia="zh-CN"/>
                    </w:rPr>
                  </w:pPr>
                </w:p>
              </w:tc>
            </w:tr>
          </w:tbl>
          <w:p w14:paraId="50B9AF23">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82" w:firstLineChars="200"/>
              <w:jc w:val="both"/>
              <w:textAlignment w:val="auto"/>
              <w:rPr>
                <w:rFonts w:hint="eastAsia" w:cs="Times New Roman"/>
                <w:b/>
                <w:bCs/>
                <w:color w:val="auto"/>
                <w:sz w:val="24"/>
                <w:szCs w:val="24"/>
                <w:highlight w:val="none"/>
                <w:lang w:val="en-US" w:eastAsia="zh-CN"/>
              </w:rPr>
            </w:pPr>
          </w:p>
          <w:p w14:paraId="1C02C760">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82" w:firstLineChars="200"/>
              <w:jc w:val="both"/>
              <w:textAlignment w:val="auto"/>
              <w:rPr>
                <w:rFonts w:hint="default"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（四）废水间接排放依托可行性</w:t>
            </w:r>
          </w:p>
          <w:p w14:paraId="6F262F9B">
            <w:pPr>
              <w:pStyle w:val="57"/>
              <w:bidi w:val="0"/>
              <w:jc w:val="both"/>
              <w:rPr>
                <w:rFonts w:hint="eastAsia"/>
                <w:lang w:val="en-US" w:eastAsia="zh-CN"/>
              </w:rPr>
            </w:pPr>
            <w:r>
              <w:rPr>
                <w:rFonts w:hint="default" w:ascii="Times New Roman" w:hAnsi="Times New Roman" w:eastAsia="宋体" w:cs="Times New Roman"/>
                <w:bCs/>
                <w:sz w:val="24"/>
                <w:szCs w:val="24"/>
                <w:lang w:val="en-US" w:eastAsia="zh-CN"/>
              </w:rPr>
              <w:t>饶河县西林子乡污水处理站位于西林子村的南部，桥东街南侧，小安河北侧</w:t>
            </w:r>
            <w:r>
              <w:rPr>
                <w:rFonts w:hint="eastAsia" w:ascii="Times New Roman" w:hAnsi="Times New Roman" w:eastAsia="宋体" w:cs="Times New Roman"/>
                <w:bCs/>
                <w:sz w:val="24"/>
                <w:szCs w:val="24"/>
                <w:lang w:val="en-US" w:eastAsia="zh-CN"/>
              </w:rPr>
              <w:t>，该污水处理站负责</w:t>
            </w:r>
            <w:r>
              <w:rPr>
                <w:rFonts w:hint="default" w:ascii="Times New Roman" w:hAnsi="Times New Roman" w:eastAsia="宋体" w:cs="Times New Roman"/>
                <w:bCs/>
                <w:sz w:val="24"/>
                <w:szCs w:val="24"/>
                <w:lang w:val="en-US" w:eastAsia="zh-CN"/>
              </w:rPr>
              <w:t>四排赫哲族乡四排赫哲族村</w:t>
            </w:r>
            <w:r>
              <w:rPr>
                <w:rFonts w:hint="eastAsia" w:ascii="Times New Roman" w:hAnsi="Times New Roman" w:eastAsia="宋体" w:cs="Times New Roman"/>
                <w:bCs/>
                <w:sz w:val="24"/>
                <w:szCs w:val="24"/>
                <w:lang w:val="en-US" w:eastAsia="zh-CN"/>
              </w:rPr>
              <w:t>等11个村屯的全部污水。</w:t>
            </w:r>
            <w:r>
              <w:rPr>
                <w:rFonts w:hint="default" w:ascii="Times New Roman" w:hAnsi="Times New Roman" w:eastAsia="宋体" w:cs="Times New Roman"/>
                <w:bCs/>
                <w:sz w:val="24"/>
                <w:szCs w:val="24"/>
                <w:lang w:val="en-US" w:eastAsia="zh-CN"/>
              </w:rPr>
              <w:t>设计</w:t>
            </w:r>
            <w:r>
              <w:rPr>
                <w:rFonts w:hint="default" w:ascii="Times New Roman" w:hAnsi="Times New Roman" w:eastAsia="宋体" w:cs="Times New Roman"/>
                <w:bCs/>
                <w:sz w:val="24"/>
                <w:szCs w:val="24"/>
              </w:rPr>
              <w:t>污水处理</w:t>
            </w:r>
            <w:r>
              <w:rPr>
                <w:rFonts w:hint="default" w:ascii="Times New Roman" w:hAnsi="Times New Roman" w:eastAsia="宋体" w:cs="Times New Roman"/>
                <w:bCs/>
                <w:sz w:val="24"/>
                <w:szCs w:val="24"/>
                <w:lang w:val="en-US" w:eastAsia="zh-CN"/>
              </w:rPr>
              <w:t>能力</w:t>
            </w:r>
            <w:r>
              <w:rPr>
                <w:rFonts w:hint="default" w:ascii="Times New Roman" w:hAnsi="Times New Roman" w:eastAsia="宋体" w:cs="Times New Roman"/>
                <w:bCs/>
                <w:sz w:val="24"/>
                <w:szCs w:val="24"/>
              </w:rPr>
              <w:t>为150</w:t>
            </w:r>
            <w:r>
              <w:rPr>
                <w:rFonts w:hint="default" w:ascii="Times New Roman" w:hAnsi="Times New Roman" w:eastAsia="宋体" w:cs="Times New Roman"/>
                <w:bCs/>
                <w:sz w:val="24"/>
                <w:szCs w:val="24"/>
                <w:lang w:val="en-US" w:eastAsia="zh-CN"/>
              </w:rPr>
              <w:t>m</w:t>
            </w:r>
            <w:r>
              <w:rPr>
                <w:rFonts w:hint="default" w:ascii="Times New Roman" w:hAnsi="Times New Roman" w:eastAsia="宋体" w:cs="Times New Roman"/>
                <w:bCs/>
                <w:sz w:val="24"/>
                <w:szCs w:val="24"/>
                <w:vertAlign w:val="superscript"/>
                <w:lang w:val="en-US" w:eastAsia="zh-CN"/>
              </w:rPr>
              <w:t>3</w:t>
            </w:r>
            <w:r>
              <w:rPr>
                <w:rFonts w:hint="default" w:ascii="Times New Roman" w:hAnsi="Times New Roman" w:eastAsia="宋体" w:cs="Times New Roman"/>
                <w:bCs/>
                <w:sz w:val="24"/>
                <w:szCs w:val="24"/>
                <w:vertAlign w:val="baseline"/>
                <w:lang w:val="en-US" w:eastAsia="zh-CN"/>
              </w:rPr>
              <w:t>/d</w:t>
            </w:r>
            <w:r>
              <w:rPr>
                <w:rFonts w:hint="default" w:ascii="Times New Roman" w:hAnsi="Times New Roman" w:eastAsia="宋体" w:cs="Times New Roman"/>
                <w:bCs/>
                <w:sz w:val="24"/>
                <w:szCs w:val="24"/>
                <w:lang w:val="en-US" w:eastAsia="zh-CN"/>
              </w:rPr>
              <w:t>，实际污水处理</w:t>
            </w:r>
            <w:r>
              <w:rPr>
                <w:rFonts w:hint="default" w:ascii="Times New Roman" w:hAnsi="Times New Roman" w:cs="Times New Roman"/>
                <w:bCs/>
                <w:sz w:val="24"/>
                <w:szCs w:val="24"/>
                <w:lang w:val="en-US" w:eastAsia="zh-CN"/>
              </w:rPr>
              <w:t>量120m</w:t>
            </w:r>
            <w:r>
              <w:rPr>
                <w:rFonts w:hint="default" w:ascii="Times New Roman" w:hAnsi="Times New Roman" w:cs="Times New Roman"/>
                <w:bCs/>
                <w:sz w:val="24"/>
                <w:szCs w:val="24"/>
                <w:vertAlign w:val="superscript"/>
                <w:lang w:val="en-US" w:eastAsia="zh-CN"/>
              </w:rPr>
              <w:t>3</w:t>
            </w:r>
            <w:r>
              <w:rPr>
                <w:rFonts w:hint="default" w:ascii="Times New Roman" w:hAnsi="Times New Roman" w:cs="Times New Roman"/>
                <w:bCs/>
                <w:sz w:val="24"/>
                <w:szCs w:val="24"/>
                <w:lang w:val="en-US" w:eastAsia="zh-CN"/>
              </w:rPr>
              <w:t>/d</w:t>
            </w:r>
            <w:r>
              <w:rPr>
                <w:rFonts w:hint="eastAsia" w:ascii="Times New Roman" w:hAnsi="Times New Roman" w:cs="Times New Roman"/>
                <w:bCs/>
                <w:sz w:val="24"/>
                <w:szCs w:val="24"/>
                <w:lang w:val="en-US" w:eastAsia="zh-CN"/>
              </w:rPr>
              <w:t>；</w:t>
            </w:r>
            <w:r>
              <w:rPr>
                <w:rFonts w:hint="default" w:ascii="Times New Roman" w:hAnsi="Times New Roman" w:eastAsia="宋体" w:cs="Times New Roman"/>
                <w:bCs/>
                <w:sz w:val="24"/>
                <w:szCs w:val="24"/>
                <w:lang w:val="en-US" w:eastAsia="zh-CN"/>
              </w:rPr>
              <w:t>采用</w:t>
            </w:r>
            <w:r>
              <w:rPr>
                <w:rFonts w:hint="eastAsia" w:ascii="Times New Roman" w:hAnsi="Times New Roman" w:eastAsia="宋体" w:cs="Times New Roman"/>
                <w:bCs/>
                <w:sz w:val="24"/>
                <w:szCs w:val="24"/>
                <w:lang w:val="en-US" w:eastAsia="zh-CN"/>
              </w:rPr>
              <w:t>“</w:t>
            </w:r>
            <w:r>
              <w:rPr>
                <w:rFonts w:hint="default" w:ascii="Times New Roman" w:hAnsi="Times New Roman" w:eastAsia="宋体" w:cs="Times New Roman"/>
                <w:bCs/>
                <w:sz w:val="24"/>
                <w:szCs w:val="24"/>
                <w:lang w:val="en-US" w:eastAsia="zh-CN"/>
              </w:rPr>
              <w:t>预处理+EBIS+深度处理+消毒</w:t>
            </w:r>
            <w:r>
              <w:rPr>
                <w:rFonts w:hint="eastAsia" w:ascii="Times New Roman" w:hAnsi="Times New Roman" w:eastAsia="宋体" w:cs="Times New Roman"/>
                <w:bCs/>
                <w:sz w:val="24"/>
                <w:szCs w:val="24"/>
                <w:lang w:val="en-US" w:eastAsia="zh-CN"/>
              </w:rPr>
              <w:t>”</w:t>
            </w:r>
            <w:r>
              <w:rPr>
                <w:rFonts w:hint="default" w:ascii="Times New Roman" w:hAnsi="Times New Roman" w:eastAsia="宋体" w:cs="Times New Roman"/>
                <w:bCs/>
                <w:sz w:val="24"/>
                <w:szCs w:val="24"/>
                <w:lang w:val="en-US" w:eastAsia="zh-CN"/>
              </w:rPr>
              <w:t>工艺，</w:t>
            </w:r>
            <w:r>
              <w:rPr>
                <w:rFonts w:hint="eastAsia" w:ascii="Times New Roman" w:hAnsi="Times New Roman" w:cs="Times New Roman"/>
                <w:bCs/>
                <w:sz w:val="24"/>
                <w:szCs w:val="24"/>
                <w:lang w:val="en-US" w:eastAsia="zh-CN"/>
              </w:rPr>
              <w:t>污水处理站进水水质指标分别为COD350mg/L、BOD</w:t>
            </w:r>
            <w:r>
              <w:rPr>
                <w:rFonts w:hint="eastAsia" w:ascii="Times New Roman" w:hAnsi="Times New Roman" w:cs="Times New Roman"/>
                <w:bCs/>
                <w:sz w:val="24"/>
                <w:szCs w:val="24"/>
                <w:vertAlign w:val="subscript"/>
                <w:lang w:val="en-US" w:eastAsia="zh-CN"/>
              </w:rPr>
              <w:t>5</w:t>
            </w:r>
            <w:r>
              <w:rPr>
                <w:rFonts w:hint="eastAsia" w:ascii="Times New Roman" w:hAnsi="Times New Roman" w:cs="Times New Roman"/>
                <w:bCs/>
                <w:sz w:val="24"/>
                <w:szCs w:val="24"/>
                <w:lang w:val="en-US" w:eastAsia="zh-CN"/>
              </w:rPr>
              <w:t>200mg/L、</w:t>
            </w:r>
            <w:r>
              <w:rPr>
                <w:rFonts w:hint="default" w:ascii="Times New Roman" w:hAnsi="Times New Roman" w:eastAsia="宋体" w:cs="Times New Roman"/>
                <w:bCs/>
                <w:sz w:val="24"/>
                <w:szCs w:val="24"/>
                <w:lang w:val="en-US" w:eastAsia="zh-CN"/>
              </w:rPr>
              <w:t>NH</w:t>
            </w:r>
            <w:r>
              <w:rPr>
                <w:rFonts w:hint="default" w:ascii="Times New Roman" w:hAnsi="Times New Roman" w:eastAsia="宋体" w:cs="Times New Roman"/>
                <w:bCs/>
                <w:sz w:val="24"/>
                <w:szCs w:val="24"/>
                <w:vertAlign w:val="subscript"/>
                <w:lang w:val="en-US" w:eastAsia="zh-CN"/>
              </w:rPr>
              <w:t>3</w:t>
            </w:r>
            <w:r>
              <w:rPr>
                <w:rFonts w:hint="default" w:ascii="Times New Roman" w:hAnsi="Times New Roman" w:eastAsia="宋体" w:cs="Times New Roman"/>
                <w:bCs/>
                <w:sz w:val="24"/>
                <w:szCs w:val="24"/>
                <w:lang w:val="en-US" w:eastAsia="zh-CN"/>
              </w:rPr>
              <w:t>-N</w:t>
            </w:r>
            <w:r>
              <w:rPr>
                <w:rFonts w:hint="eastAsia" w:ascii="Times New Roman" w:hAnsi="Times New Roman" w:eastAsia="宋体" w:cs="Times New Roman"/>
                <w:bCs/>
                <w:sz w:val="24"/>
                <w:szCs w:val="24"/>
                <w:lang w:val="en-US" w:eastAsia="zh-CN"/>
              </w:rPr>
              <w:t>35mg/L</w:t>
            </w:r>
            <w:r>
              <w:rPr>
                <w:rFonts w:hint="eastAsia" w:ascii="Times New Roman" w:hAnsi="Times New Roman" w:cs="Times New Roman"/>
                <w:bCs/>
                <w:sz w:val="24"/>
                <w:szCs w:val="24"/>
                <w:lang w:val="en-US" w:eastAsia="zh-CN"/>
              </w:rPr>
              <w:t>、SS200mg/L、TN45mg/L、TP4.5mg/L，</w:t>
            </w:r>
            <w:r>
              <w:rPr>
                <w:rFonts w:hint="default" w:ascii="Times New Roman" w:hAnsi="Times New Roman" w:eastAsia="宋体" w:cs="Times New Roman"/>
                <w:bCs/>
                <w:sz w:val="24"/>
                <w:szCs w:val="24"/>
                <w:lang w:val="en-US" w:eastAsia="zh-CN"/>
              </w:rPr>
              <w:t>污水处理站出水水质达到《城镇污水处理厂污染物排放标准》（GB18918-2002）及修改单中一级A标准，</w:t>
            </w:r>
            <w:r>
              <w:rPr>
                <w:rFonts w:hint="default" w:ascii="Times New Roman" w:hAnsi="Times New Roman" w:cs="Times New Roman"/>
                <w:bCs/>
                <w:sz w:val="24"/>
                <w:szCs w:val="24"/>
                <w:lang w:val="en-US" w:eastAsia="zh-CN"/>
              </w:rPr>
              <w:t>排入小安河。</w:t>
            </w:r>
          </w:p>
          <w:p w14:paraId="25591A2E">
            <w:pPr>
              <w:pStyle w:val="57"/>
              <w:bidi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 xml:space="preserve">表4-9  </w:t>
            </w:r>
            <w:r>
              <w:rPr>
                <w:rFonts w:hint="default" w:ascii="Times New Roman" w:hAnsi="Times New Roman" w:eastAsia="宋体" w:cs="Times New Roman"/>
                <w:b/>
                <w:bCs/>
                <w:color w:val="auto"/>
                <w:kern w:val="2"/>
                <w:sz w:val="21"/>
                <w:szCs w:val="21"/>
                <w:highlight w:val="none"/>
                <w:lang w:val="en-US" w:eastAsia="zh-CN" w:bidi="ar-SA"/>
              </w:rPr>
              <w:t>饶河县西林子乡污水处理站</w:t>
            </w:r>
            <w:r>
              <w:rPr>
                <w:rFonts w:hint="eastAsia" w:ascii="Times New Roman" w:hAnsi="Times New Roman" w:eastAsia="宋体" w:cs="Times New Roman"/>
                <w:b/>
                <w:bCs/>
                <w:color w:val="auto"/>
                <w:kern w:val="2"/>
                <w:sz w:val="21"/>
                <w:szCs w:val="21"/>
                <w:highlight w:val="none"/>
                <w:lang w:val="en-US" w:eastAsia="zh-CN" w:bidi="ar-SA"/>
              </w:rPr>
              <w:t>进水水质浓度值</w:t>
            </w:r>
          </w:p>
          <w:tbl>
            <w:tblPr>
              <w:tblStyle w:val="21"/>
              <w:tblW w:w="0" w:type="auto"/>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69"/>
              <w:gridCol w:w="2975"/>
              <w:gridCol w:w="2515"/>
              <w:gridCol w:w="1931"/>
            </w:tblGrid>
            <w:tr w14:paraId="3DFE51F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9" w:type="dxa"/>
                  <w:tcBorders>
                    <w:tl2br w:val="nil"/>
                    <w:tr2bl w:val="nil"/>
                  </w:tcBorders>
                  <w:vAlign w:val="center"/>
                </w:tcPr>
                <w:p w14:paraId="67A4F591">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sz w:val="21"/>
                      <w:szCs w:val="21"/>
                      <w:vertAlign w:val="baseline"/>
                      <w:lang w:val="en-US" w:eastAsia="zh-CN"/>
                    </w:rPr>
                  </w:pPr>
                  <w:r>
                    <w:rPr>
                      <w:rFonts w:hint="eastAsia"/>
                      <w:b/>
                      <w:bCs/>
                      <w:sz w:val="21"/>
                      <w:szCs w:val="21"/>
                      <w:vertAlign w:val="baseline"/>
                      <w:lang w:val="en-US" w:eastAsia="zh-CN"/>
                    </w:rPr>
                    <w:t>污染因子</w:t>
                  </w:r>
                </w:p>
              </w:tc>
              <w:tc>
                <w:tcPr>
                  <w:tcW w:w="2975" w:type="dxa"/>
                  <w:tcBorders>
                    <w:tl2br w:val="nil"/>
                    <w:tr2bl w:val="nil"/>
                  </w:tcBorders>
                  <w:vAlign w:val="center"/>
                </w:tcPr>
                <w:p w14:paraId="366D0DB2">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bCs/>
                      <w:sz w:val="21"/>
                      <w:szCs w:val="21"/>
                      <w:vertAlign w:val="baseline"/>
                      <w:lang w:val="en-US" w:eastAsia="zh-CN"/>
                    </w:rPr>
                  </w:pPr>
                  <w:r>
                    <w:rPr>
                      <w:rFonts w:hint="default" w:ascii="Times New Roman" w:hAnsi="Times New Roman" w:eastAsia="宋体" w:cs="Times New Roman"/>
                      <w:b/>
                      <w:bCs/>
                      <w:sz w:val="21"/>
                      <w:szCs w:val="21"/>
                      <w:lang w:val="en-US" w:eastAsia="zh-CN"/>
                    </w:rPr>
                    <w:t>饶河县西林子乡污水处理站</w:t>
                  </w:r>
                </w:p>
              </w:tc>
              <w:tc>
                <w:tcPr>
                  <w:tcW w:w="2515" w:type="dxa"/>
                  <w:tcBorders>
                    <w:tl2br w:val="nil"/>
                    <w:tr2bl w:val="nil"/>
                  </w:tcBorders>
                  <w:vAlign w:val="center"/>
                </w:tcPr>
                <w:p w14:paraId="1AA4F37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bCs/>
                      <w:sz w:val="21"/>
                      <w:szCs w:val="21"/>
                      <w:vertAlign w:val="baseline"/>
                      <w:lang w:val="en-US" w:eastAsia="zh-CN"/>
                    </w:rPr>
                  </w:pPr>
                  <w:r>
                    <w:rPr>
                      <w:rFonts w:hint="eastAsia" w:cs="Times New Roman"/>
                      <w:b/>
                      <w:bCs/>
                      <w:snapToGrid w:val="0"/>
                      <w:color w:val="auto"/>
                      <w:sz w:val="21"/>
                      <w:szCs w:val="21"/>
                      <w:highlight w:val="none"/>
                      <w:lang w:val="en-US" w:eastAsia="zh-CN"/>
                    </w:rPr>
                    <w:t>厂区</w:t>
                  </w:r>
                  <w:r>
                    <w:rPr>
                      <w:rFonts w:hint="default" w:ascii="Times New Roman" w:hAnsi="Times New Roman" w:cs="Times New Roman"/>
                      <w:b/>
                      <w:bCs/>
                      <w:snapToGrid w:val="0"/>
                      <w:color w:val="auto"/>
                      <w:sz w:val="21"/>
                      <w:szCs w:val="21"/>
                      <w:highlight w:val="none"/>
                      <w:lang w:val="en-US" w:eastAsia="zh-CN"/>
                    </w:rPr>
                    <w:t>综合污水水质</w:t>
                  </w:r>
                </w:p>
              </w:tc>
              <w:tc>
                <w:tcPr>
                  <w:tcW w:w="1931" w:type="dxa"/>
                  <w:tcBorders>
                    <w:tl2br w:val="nil"/>
                    <w:tr2bl w:val="nil"/>
                  </w:tcBorders>
                  <w:vAlign w:val="center"/>
                </w:tcPr>
                <w:p w14:paraId="03744C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bCs/>
                      <w:sz w:val="21"/>
                      <w:szCs w:val="21"/>
                      <w:vertAlign w:val="baseline"/>
                      <w:lang w:val="en-US" w:eastAsia="zh-CN"/>
                    </w:rPr>
                  </w:pPr>
                  <w:r>
                    <w:rPr>
                      <w:rFonts w:hint="default" w:ascii="Times New Roman" w:hAnsi="Times New Roman" w:cs="Times New Roman"/>
                      <w:b/>
                      <w:bCs/>
                      <w:snapToGrid w:val="0"/>
                      <w:color w:val="auto"/>
                      <w:sz w:val="21"/>
                      <w:szCs w:val="21"/>
                      <w:highlight w:val="none"/>
                      <w:lang w:val="en-US" w:eastAsia="zh-CN"/>
                    </w:rPr>
                    <w:t>是否符合进水浓度</w:t>
                  </w:r>
                </w:p>
              </w:tc>
            </w:tr>
            <w:tr w14:paraId="754921F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9" w:type="dxa"/>
                  <w:tcBorders>
                    <w:tl2br w:val="nil"/>
                    <w:tr2bl w:val="nil"/>
                  </w:tcBorders>
                  <w:vAlign w:val="center"/>
                </w:tcPr>
                <w:p w14:paraId="43C4805C">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val="0"/>
                      <w:bCs w:val="0"/>
                      <w:sz w:val="21"/>
                      <w:szCs w:val="21"/>
                      <w:vertAlign w:val="baseline"/>
                      <w:lang w:val="en-US" w:eastAsia="zh-CN"/>
                    </w:rPr>
                  </w:pPr>
                  <w:r>
                    <w:rPr>
                      <w:rFonts w:hint="eastAsia"/>
                      <w:b w:val="0"/>
                      <w:bCs w:val="0"/>
                      <w:sz w:val="21"/>
                      <w:szCs w:val="21"/>
                      <w:vertAlign w:val="baseline"/>
                      <w:lang w:val="en-US" w:eastAsia="zh-CN"/>
                    </w:rPr>
                    <w:t>COD</w:t>
                  </w:r>
                </w:p>
              </w:tc>
              <w:tc>
                <w:tcPr>
                  <w:tcW w:w="2975" w:type="dxa"/>
                  <w:tcBorders>
                    <w:tl2br w:val="nil"/>
                    <w:tr2bl w:val="nil"/>
                  </w:tcBorders>
                  <w:vAlign w:val="center"/>
                </w:tcPr>
                <w:p w14:paraId="12B7798F">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350mg/L</w:t>
                  </w:r>
                </w:p>
              </w:tc>
              <w:tc>
                <w:tcPr>
                  <w:tcW w:w="2515" w:type="dxa"/>
                  <w:tcBorders>
                    <w:tl2br w:val="nil"/>
                    <w:tr2bl w:val="nil"/>
                  </w:tcBorders>
                  <w:vAlign w:val="center"/>
                </w:tcPr>
                <w:p w14:paraId="35DF6E71">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89.24mg/L</w:t>
                  </w:r>
                </w:p>
              </w:tc>
              <w:tc>
                <w:tcPr>
                  <w:tcW w:w="1931" w:type="dxa"/>
                  <w:tcBorders>
                    <w:tl2br w:val="nil"/>
                    <w:tr2bl w:val="nil"/>
                  </w:tcBorders>
                  <w:vAlign w:val="center"/>
                </w:tcPr>
                <w:p w14:paraId="32A6224A">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val="0"/>
                      <w:bCs w:val="0"/>
                      <w:sz w:val="21"/>
                      <w:szCs w:val="21"/>
                      <w:vertAlign w:val="baseline"/>
                      <w:lang w:val="en-US" w:eastAsia="zh-CN"/>
                    </w:rPr>
                  </w:pPr>
                  <w:r>
                    <w:rPr>
                      <w:rFonts w:hint="eastAsia"/>
                      <w:b w:val="0"/>
                      <w:bCs w:val="0"/>
                      <w:sz w:val="21"/>
                      <w:szCs w:val="21"/>
                      <w:vertAlign w:val="baseline"/>
                      <w:lang w:val="en-US" w:eastAsia="zh-CN"/>
                    </w:rPr>
                    <w:t>符合</w:t>
                  </w:r>
                </w:p>
              </w:tc>
            </w:tr>
            <w:tr w14:paraId="2B5B3CE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9" w:type="dxa"/>
                  <w:tcBorders>
                    <w:tl2br w:val="nil"/>
                    <w:tr2bl w:val="nil"/>
                  </w:tcBorders>
                  <w:vAlign w:val="center"/>
                </w:tcPr>
                <w:p w14:paraId="50701862">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val="0"/>
                      <w:bCs w:val="0"/>
                      <w:sz w:val="21"/>
                      <w:szCs w:val="21"/>
                      <w:vertAlign w:val="baseline"/>
                      <w:lang w:val="en-US" w:eastAsia="zh-CN"/>
                    </w:rPr>
                  </w:pPr>
                  <w:r>
                    <w:rPr>
                      <w:rFonts w:hint="eastAsia" w:ascii="Times New Roman" w:hAnsi="Times New Roman" w:cs="Times New Roman"/>
                      <w:bCs/>
                      <w:sz w:val="21"/>
                      <w:szCs w:val="21"/>
                      <w:lang w:val="en-US" w:eastAsia="zh-CN"/>
                    </w:rPr>
                    <w:t>BOD</w:t>
                  </w:r>
                  <w:r>
                    <w:rPr>
                      <w:rFonts w:hint="eastAsia" w:ascii="Times New Roman" w:hAnsi="Times New Roman" w:cs="Times New Roman"/>
                      <w:bCs/>
                      <w:sz w:val="21"/>
                      <w:szCs w:val="21"/>
                      <w:vertAlign w:val="subscript"/>
                      <w:lang w:val="en-US" w:eastAsia="zh-CN"/>
                    </w:rPr>
                    <w:t>5</w:t>
                  </w:r>
                </w:p>
              </w:tc>
              <w:tc>
                <w:tcPr>
                  <w:tcW w:w="2975" w:type="dxa"/>
                  <w:tcBorders>
                    <w:tl2br w:val="nil"/>
                    <w:tr2bl w:val="nil"/>
                  </w:tcBorders>
                  <w:vAlign w:val="center"/>
                </w:tcPr>
                <w:p w14:paraId="5FB9B1D0">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200mg/L</w:t>
                  </w:r>
                </w:p>
              </w:tc>
              <w:tc>
                <w:tcPr>
                  <w:tcW w:w="2515" w:type="dxa"/>
                  <w:tcBorders>
                    <w:tl2br w:val="nil"/>
                    <w:tr2bl w:val="nil"/>
                  </w:tcBorders>
                  <w:vAlign w:val="center"/>
                </w:tcPr>
                <w:p w14:paraId="6C25B9A7">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3.45mg/L</w:t>
                  </w:r>
                </w:p>
              </w:tc>
              <w:tc>
                <w:tcPr>
                  <w:tcW w:w="1931" w:type="dxa"/>
                  <w:tcBorders>
                    <w:tl2br w:val="nil"/>
                    <w:tr2bl w:val="nil"/>
                  </w:tcBorders>
                  <w:vAlign w:val="center"/>
                </w:tcPr>
                <w:p w14:paraId="4F885A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val="0"/>
                      <w:bCs w:val="0"/>
                      <w:sz w:val="21"/>
                      <w:szCs w:val="21"/>
                      <w:vertAlign w:val="baseline"/>
                      <w:lang w:val="en-US" w:eastAsia="zh-CN"/>
                    </w:rPr>
                  </w:pPr>
                  <w:r>
                    <w:rPr>
                      <w:rFonts w:hint="eastAsia"/>
                      <w:b w:val="0"/>
                      <w:bCs w:val="0"/>
                      <w:sz w:val="21"/>
                      <w:szCs w:val="21"/>
                      <w:vertAlign w:val="baseline"/>
                      <w:lang w:val="en-US" w:eastAsia="zh-CN"/>
                    </w:rPr>
                    <w:t>符合</w:t>
                  </w:r>
                </w:p>
              </w:tc>
            </w:tr>
            <w:tr w14:paraId="4D2AA5F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9" w:type="dxa"/>
                  <w:tcBorders>
                    <w:tl2br w:val="nil"/>
                    <w:tr2bl w:val="nil"/>
                  </w:tcBorders>
                  <w:vAlign w:val="center"/>
                </w:tcPr>
                <w:p w14:paraId="23DF7E1B">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val="0"/>
                      <w:bCs w:val="0"/>
                      <w:sz w:val="21"/>
                      <w:szCs w:val="21"/>
                      <w:vertAlign w:val="baseline"/>
                      <w:lang w:val="en-US" w:eastAsia="zh-CN"/>
                    </w:rPr>
                  </w:pPr>
                  <w:r>
                    <w:rPr>
                      <w:rFonts w:hint="default" w:ascii="Times New Roman" w:hAnsi="Times New Roman" w:eastAsia="宋体" w:cs="Times New Roman"/>
                      <w:bCs/>
                      <w:sz w:val="21"/>
                      <w:szCs w:val="21"/>
                      <w:lang w:val="en-US" w:eastAsia="zh-CN"/>
                    </w:rPr>
                    <w:t>NH</w:t>
                  </w:r>
                  <w:r>
                    <w:rPr>
                      <w:rFonts w:hint="default" w:ascii="Times New Roman" w:hAnsi="Times New Roman" w:eastAsia="宋体" w:cs="Times New Roman"/>
                      <w:bCs/>
                      <w:sz w:val="21"/>
                      <w:szCs w:val="21"/>
                      <w:vertAlign w:val="subscript"/>
                      <w:lang w:val="en-US" w:eastAsia="zh-CN"/>
                    </w:rPr>
                    <w:t>3</w:t>
                  </w:r>
                  <w:r>
                    <w:rPr>
                      <w:rFonts w:hint="default" w:ascii="Times New Roman" w:hAnsi="Times New Roman" w:eastAsia="宋体" w:cs="Times New Roman"/>
                      <w:bCs/>
                      <w:sz w:val="21"/>
                      <w:szCs w:val="21"/>
                      <w:lang w:val="en-US" w:eastAsia="zh-CN"/>
                    </w:rPr>
                    <w:t>-N</w:t>
                  </w:r>
                </w:p>
              </w:tc>
              <w:tc>
                <w:tcPr>
                  <w:tcW w:w="2975" w:type="dxa"/>
                  <w:tcBorders>
                    <w:tl2br w:val="nil"/>
                    <w:tr2bl w:val="nil"/>
                  </w:tcBorders>
                  <w:vAlign w:val="center"/>
                </w:tcPr>
                <w:p w14:paraId="24633935">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35mg/L</w:t>
                  </w:r>
                </w:p>
              </w:tc>
              <w:tc>
                <w:tcPr>
                  <w:tcW w:w="2515" w:type="dxa"/>
                  <w:tcBorders>
                    <w:tl2br w:val="nil"/>
                    <w:tr2bl w:val="nil"/>
                  </w:tcBorders>
                  <w:vAlign w:val="center"/>
                </w:tcPr>
                <w:p w14:paraId="244BC7EB">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0.49mg/L</w:t>
                  </w:r>
                </w:p>
              </w:tc>
              <w:tc>
                <w:tcPr>
                  <w:tcW w:w="1931" w:type="dxa"/>
                  <w:tcBorders>
                    <w:tl2br w:val="nil"/>
                    <w:tr2bl w:val="nil"/>
                  </w:tcBorders>
                  <w:vAlign w:val="center"/>
                </w:tcPr>
                <w:p w14:paraId="1F8015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val="0"/>
                      <w:bCs w:val="0"/>
                      <w:sz w:val="21"/>
                      <w:szCs w:val="21"/>
                      <w:vertAlign w:val="baseline"/>
                      <w:lang w:val="en-US" w:eastAsia="zh-CN"/>
                    </w:rPr>
                  </w:pPr>
                  <w:r>
                    <w:rPr>
                      <w:rFonts w:hint="eastAsia"/>
                      <w:b w:val="0"/>
                      <w:bCs w:val="0"/>
                      <w:sz w:val="21"/>
                      <w:szCs w:val="21"/>
                      <w:vertAlign w:val="baseline"/>
                      <w:lang w:val="en-US" w:eastAsia="zh-CN"/>
                    </w:rPr>
                    <w:t>符合</w:t>
                  </w:r>
                </w:p>
              </w:tc>
            </w:tr>
            <w:tr w14:paraId="7BEA924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9" w:type="dxa"/>
                  <w:tcBorders>
                    <w:tl2br w:val="nil"/>
                    <w:tr2bl w:val="nil"/>
                  </w:tcBorders>
                  <w:vAlign w:val="center"/>
                </w:tcPr>
                <w:p w14:paraId="2A4BEE06">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val="0"/>
                      <w:bCs w:val="0"/>
                      <w:sz w:val="21"/>
                      <w:szCs w:val="21"/>
                      <w:vertAlign w:val="baseline"/>
                      <w:lang w:val="en-US" w:eastAsia="zh-CN"/>
                    </w:rPr>
                  </w:pPr>
                  <w:r>
                    <w:rPr>
                      <w:rFonts w:hint="eastAsia" w:ascii="Times New Roman" w:hAnsi="Times New Roman" w:cs="Times New Roman"/>
                      <w:bCs/>
                      <w:sz w:val="21"/>
                      <w:szCs w:val="21"/>
                      <w:lang w:val="en-US" w:eastAsia="zh-CN"/>
                    </w:rPr>
                    <w:t>SS</w:t>
                  </w:r>
                </w:p>
              </w:tc>
              <w:tc>
                <w:tcPr>
                  <w:tcW w:w="2975" w:type="dxa"/>
                  <w:tcBorders>
                    <w:tl2br w:val="nil"/>
                    <w:tr2bl w:val="nil"/>
                  </w:tcBorders>
                  <w:vAlign w:val="center"/>
                </w:tcPr>
                <w:p w14:paraId="62840364">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200mg/L</w:t>
                  </w:r>
                </w:p>
              </w:tc>
              <w:tc>
                <w:tcPr>
                  <w:tcW w:w="2515" w:type="dxa"/>
                  <w:tcBorders>
                    <w:tl2br w:val="nil"/>
                    <w:tr2bl w:val="nil"/>
                  </w:tcBorders>
                  <w:vAlign w:val="center"/>
                </w:tcPr>
                <w:p w14:paraId="5B86F6C3">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w:t>
                  </w:r>
                </w:p>
              </w:tc>
              <w:tc>
                <w:tcPr>
                  <w:tcW w:w="1931" w:type="dxa"/>
                  <w:tcBorders>
                    <w:tl2br w:val="nil"/>
                    <w:tr2bl w:val="nil"/>
                  </w:tcBorders>
                  <w:vAlign w:val="center"/>
                </w:tcPr>
                <w:p w14:paraId="74DF98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val="0"/>
                      <w:bCs w:val="0"/>
                      <w:sz w:val="21"/>
                      <w:szCs w:val="21"/>
                      <w:vertAlign w:val="baseline"/>
                      <w:lang w:val="en-US" w:eastAsia="zh-CN"/>
                    </w:rPr>
                  </w:pPr>
                  <w:r>
                    <w:rPr>
                      <w:rFonts w:hint="eastAsia"/>
                      <w:b w:val="0"/>
                      <w:bCs w:val="0"/>
                      <w:sz w:val="21"/>
                      <w:szCs w:val="21"/>
                      <w:vertAlign w:val="baseline"/>
                      <w:lang w:val="en-US" w:eastAsia="zh-CN"/>
                    </w:rPr>
                    <w:t>符合</w:t>
                  </w:r>
                </w:p>
              </w:tc>
            </w:tr>
            <w:tr w14:paraId="2784C4F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9" w:type="dxa"/>
                  <w:tcBorders>
                    <w:tl2br w:val="nil"/>
                    <w:tr2bl w:val="nil"/>
                  </w:tcBorders>
                  <w:vAlign w:val="center"/>
                </w:tcPr>
                <w:p w14:paraId="573F5C12">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val="0"/>
                      <w:bCs w:val="0"/>
                      <w:sz w:val="21"/>
                      <w:szCs w:val="21"/>
                      <w:vertAlign w:val="baseline"/>
                      <w:lang w:val="en-US" w:eastAsia="zh-CN"/>
                    </w:rPr>
                  </w:pPr>
                  <w:r>
                    <w:rPr>
                      <w:rFonts w:hint="eastAsia" w:ascii="Times New Roman" w:hAnsi="Times New Roman" w:cs="Times New Roman"/>
                      <w:bCs/>
                      <w:sz w:val="21"/>
                      <w:szCs w:val="21"/>
                      <w:lang w:val="en-US" w:eastAsia="zh-CN"/>
                    </w:rPr>
                    <w:t>TN</w:t>
                  </w:r>
                </w:p>
              </w:tc>
              <w:tc>
                <w:tcPr>
                  <w:tcW w:w="2975" w:type="dxa"/>
                  <w:tcBorders>
                    <w:tl2br w:val="nil"/>
                    <w:tr2bl w:val="nil"/>
                  </w:tcBorders>
                  <w:vAlign w:val="center"/>
                </w:tcPr>
                <w:p w14:paraId="0EEBA1F1">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45mg/L</w:t>
                  </w:r>
                </w:p>
              </w:tc>
              <w:tc>
                <w:tcPr>
                  <w:tcW w:w="2515" w:type="dxa"/>
                  <w:tcBorders>
                    <w:tl2br w:val="nil"/>
                    <w:tr2bl w:val="nil"/>
                  </w:tcBorders>
                  <w:vAlign w:val="center"/>
                </w:tcPr>
                <w:p w14:paraId="1BB19F64">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0.05mg/L</w:t>
                  </w:r>
                </w:p>
              </w:tc>
              <w:tc>
                <w:tcPr>
                  <w:tcW w:w="1931" w:type="dxa"/>
                  <w:tcBorders>
                    <w:tl2br w:val="nil"/>
                    <w:tr2bl w:val="nil"/>
                  </w:tcBorders>
                  <w:vAlign w:val="center"/>
                </w:tcPr>
                <w:p w14:paraId="07596F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val="0"/>
                      <w:bCs w:val="0"/>
                      <w:sz w:val="21"/>
                      <w:szCs w:val="21"/>
                      <w:vertAlign w:val="baseline"/>
                      <w:lang w:val="en-US" w:eastAsia="zh-CN"/>
                    </w:rPr>
                  </w:pPr>
                  <w:r>
                    <w:rPr>
                      <w:rFonts w:hint="eastAsia"/>
                      <w:b w:val="0"/>
                      <w:bCs w:val="0"/>
                      <w:sz w:val="21"/>
                      <w:szCs w:val="21"/>
                      <w:vertAlign w:val="baseline"/>
                      <w:lang w:val="en-US" w:eastAsia="zh-CN"/>
                    </w:rPr>
                    <w:t>符合</w:t>
                  </w:r>
                </w:p>
              </w:tc>
            </w:tr>
            <w:tr w14:paraId="125ADB6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9" w:type="dxa"/>
                  <w:tcBorders>
                    <w:tl2br w:val="nil"/>
                    <w:tr2bl w:val="nil"/>
                  </w:tcBorders>
                  <w:vAlign w:val="center"/>
                </w:tcPr>
                <w:p w14:paraId="2D153053">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val="0"/>
                      <w:bCs w:val="0"/>
                      <w:sz w:val="21"/>
                      <w:szCs w:val="21"/>
                      <w:vertAlign w:val="baseline"/>
                      <w:lang w:val="en-US" w:eastAsia="zh-CN"/>
                    </w:rPr>
                  </w:pPr>
                  <w:r>
                    <w:rPr>
                      <w:rFonts w:hint="eastAsia" w:ascii="Times New Roman" w:hAnsi="Times New Roman" w:cs="Times New Roman"/>
                      <w:bCs/>
                      <w:sz w:val="21"/>
                      <w:szCs w:val="21"/>
                      <w:lang w:val="en-US" w:eastAsia="zh-CN"/>
                    </w:rPr>
                    <w:t>TP</w:t>
                  </w:r>
                </w:p>
              </w:tc>
              <w:tc>
                <w:tcPr>
                  <w:tcW w:w="2975" w:type="dxa"/>
                  <w:tcBorders>
                    <w:tl2br w:val="nil"/>
                    <w:tr2bl w:val="nil"/>
                  </w:tcBorders>
                  <w:vAlign w:val="center"/>
                </w:tcPr>
                <w:p w14:paraId="5F5DAA6F">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4.5mg/L</w:t>
                  </w:r>
                </w:p>
              </w:tc>
              <w:tc>
                <w:tcPr>
                  <w:tcW w:w="2515" w:type="dxa"/>
                  <w:tcBorders>
                    <w:tl2br w:val="nil"/>
                    <w:tr2bl w:val="nil"/>
                  </w:tcBorders>
                  <w:vAlign w:val="center"/>
                </w:tcPr>
                <w:p w14:paraId="4314A88F">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789.35mg/L</w:t>
                  </w:r>
                </w:p>
              </w:tc>
              <w:tc>
                <w:tcPr>
                  <w:tcW w:w="1931" w:type="dxa"/>
                  <w:tcBorders>
                    <w:tl2br w:val="nil"/>
                    <w:tr2bl w:val="nil"/>
                  </w:tcBorders>
                  <w:vAlign w:val="center"/>
                </w:tcPr>
                <w:p w14:paraId="24C75F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val="0"/>
                      <w:bCs w:val="0"/>
                      <w:sz w:val="21"/>
                      <w:szCs w:val="21"/>
                      <w:vertAlign w:val="baseline"/>
                      <w:lang w:val="en-US" w:eastAsia="zh-CN"/>
                    </w:rPr>
                  </w:pPr>
                  <w:r>
                    <w:rPr>
                      <w:rFonts w:hint="eastAsia"/>
                      <w:b w:val="0"/>
                      <w:bCs w:val="0"/>
                      <w:sz w:val="21"/>
                      <w:szCs w:val="21"/>
                      <w:vertAlign w:val="baseline"/>
                      <w:lang w:val="en-US" w:eastAsia="zh-CN"/>
                    </w:rPr>
                    <w:t>符合</w:t>
                  </w:r>
                </w:p>
              </w:tc>
            </w:tr>
          </w:tbl>
          <w:p w14:paraId="640C1209">
            <w:pPr>
              <w:pStyle w:val="57"/>
              <w:keepNext w:val="0"/>
              <w:keepLines w:val="0"/>
              <w:pageBreakBefore w:val="0"/>
              <w:widowControl w:val="0"/>
              <w:kinsoku/>
              <w:wordWrap/>
              <w:overflowPunct/>
              <w:topLinePunct w:val="0"/>
              <w:autoSpaceDE/>
              <w:autoSpaceDN/>
              <w:bidi w:val="0"/>
              <w:adjustRightInd/>
              <w:snapToGrid/>
              <w:spacing w:before="157" w:beforeLines="50"/>
              <w:ind w:left="0" w:leftChars="0" w:firstLine="480" w:firstLineChars="200"/>
              <w:textAlignment w:val="auto"/>
              <w:rPr>
                <w:rFonts w:hint="eastAsia" w:ascii="Times New Roman" w:hAnsi="Times New Roman" w:cs="Times New Roman"/>
                <w:bCs/>
                <w:sz w:val="24"/>
                <w:szCs w:val="24"/>
                <w:lang w:val="en-US" w:eastAsia="zh-CN"/>
              </w:rPr>
            </w:pPr>
            <w:r>
              <w:rPr>
                <w:rFonts w:hint="eastAsia"/>
                <w:lang w:val="en-US" w:eastAsia="zh-CN"/>
              </w:rPr>
              <w:t>根据上述分析可知，项目综合废水排放浓度符合</w:t>
            </w:r>
            <w:r>
              <w:rPr>
                <w:rFonts w:hint="default" w:ascii="Times New Roman" w:hAnsi="Times New Roman" w:eastAsia="宋体" w:cs="Times New Roman"/>
                <w:lang w:val="en-US" w:eastAsia="zh-CN"/>
              </w:rPr>
              <w:t>饶河县西林子乡污水处理站</w:t>
            </w:r>
            <w:r>
              <w:rPr>
                <w:rFonts w:hint="eastAsia" w:ascii="Times New Roman" w:hAnsi="Times New Roman" w:eastAsia="宋体" w:cs="Times New Roman"/>
                <w:lang w:val="en-US" w:eastAsia="zh-CN"/>
              </w:rPr>
              <w:t>进水水质要求</w:t>
            </w:r>
            <w:r>
              <w:rPr>
                <w:rFonts w:hint="eastAsia"/>
                <w:lang w:val="en-US" w:eastAsia="zh-CN"/>
              </w:rPr>
              <w:t>，同时项目日污水排放量约为9.52</w:t>
            </w:r>
            <w:r>
              <w:rPr>
                <w:rFonts w:hint="default" w:ascii="Times New Roman" w:hAnsi="Times New Roman" w:cs="Times New Roman"/>
                <w:bCs/>
                <w:sz w:val="24"/>
                <w:szCs w:val="24"/>
                <w:lang w:val="en-US" w:eastAsia="zh-CN"/>
              </w:rPr>
              <w:t>m</w:t>
            </w:r>
            <w:r>
              <w:rPr>
                <w:rFonts w:hint="default" w:ascii="Times New Roman" w:hAnsi="Times New Roman" w:cs="Times New Roman"/>
                <w:bCs/>
                <w:sz w:val="24"/>
                <w:szCs w:val="24"/>
                <w:vertAlign w:val="superscript"/>
                <w:lang w:val="en-US" w:eastAsia="zh-CN"/>
              </w:rPr>
              <w:t>3</w:t>
            </w:r>
            <w:r>
              <w:rPr>
                <w:rFonts w:hint="default" w:ascii="Times New Roman" w:hAnsi="Times New Roman" w:cs="Times New Roman"/>
                <w:bCs/>
                <w:sz w:val="24"/>
                <w:szCs w:val="24"/>
                <w:lang w:val="en-US" w:eastAsia="zh-CN"/>
              </w:rPr>
              <w:t>/d</w:t>
            </w:r>
            <w:r>
              <w:rPr>
                <w:rFonts w:hint="eastAsia" w:ascii="Times New Roman" w:hAnsi="Times New Roman" w:cs="Times New Roman"/>
                <w:bCs/>
                <w:sz w:val="24"/>
                <w:szCs w:val="24"/>
                <w:lang w:val="en-US" w:eastAsia="zh-CN"/>
              </w:rPr>
              <w:t>，仅占剩余处理31.7％，因此项目综合废水间接排放符合依托条件，合理可行。</w:t>
            </w:r>
          </w:p>
          <w:p w14:paraId="707964E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bidi="ar"/>
              </w:rPr>
            </w:pPr>
            <w:r>
              <w:rPr>
                <w:rFonts w:hint="eastAsia" w:cs="Times New Roman"/>
                <w:color w:val="auto"/>
                <w:sz w:val="24"/>
                <w:highlight w:val="none"/>
                <w:lang w:val="en-US" w:eastAsia="zh-CN" w:bidi="ar"/>
              </w:rPr>
              <w:t>本项目以雇用污水接收单位专用车辆或同类机构专业车辆拉运本项目污水，承接服务单位应具备污水拉运相关合法手续，保证拉运车辆符合要求；保持车辆整洁，定期检查维护；运输途中不得随意倾倒污水；应当按照规划路线和时间进行作业，不得擅自修改；定期对车辆进行消毒，保证卫生无明显异味。本项目运营管理单位对污水拉运水量、时间、水质检测数据等资料进行记录并存档；配合生态环境管理部门的监督性检查工作。</w:t>
            </w:r>
          </w:p>
          <w:p w14:paraId="04B67A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（五）废水污染治理设施及排放口信息</w:t>
            </w:r>
          </w:p>
          <w:p w14:paraId="6266D63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项目综合废水</w:t>
            </w:r>
            <w:r>
              <w:rPr>
                <w:rFonts w:hint="eastAsia"/>
                <w:sz w:val="24"/>
                <w:szCs w:val="24"/>
                <w:lang w:val="en-US" w:eastAsia="zh-CN"/>
              </w:rPr>
              <w:t>排</w:t>
            </w:r>
            <w:r>
              <w:rPr>
                <w:rFonts w:hint="eastAsia" w:ascii="Times New Roman" w:hAnsi="Times New Roman" w:eastAsia="宋体" w:cs="Times New Roman"/>
                <w:b w:val="0"/>
                <w:bCs w:val="0"/>
                <w:color w:val="auto"/>
                <w:sz w:val="24"/>
                <w:szCs w:val="24"/>
                <w:highlight w:val="none"/>
                <w:lang w:val="en-US" w:eastAsia="zh-CN"/>
              </w:rPr>
              <w:t>入厂区化粪池，通过10吨</w:t>
            </w:r>
            <w:r>
              <w:rPr>
                <w:rFonts w:hint="default" w:ascii="Times New Roman" w:hAnsi="Times New Roman" w:eastAsia="宋体" w:cs="Times New Roman"/>
                <w:b w:val="0"/>
                <w:bCs w:val="0"/>
                <w:color w:val="auto"/>
                <w:sz w:val="24"/>
                <w:szCs w:val="24"/>
                <w:highlight w:val="none"/>
                <w:lang w:val="en-US" w:eastAsia="zh-CN"/>
              </w:rPr>
              <w:t>吸污车收集后，运至饶河县西林子乡污水处理站</w:t>
            </w:r>
            <w:r>
              <w:rPr>
                <w:rFonts w:hint="eastAsia"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污水处理站出水水质达到《城镇污水处理厂污染物排放标准》（GB18918-2002）及修改单中一级A标准，排入小安河</w:t>
            </w:r>
            <w:r>
              <w:rPr>
                <w:rFonts w:hint="eastAsia" w:ascii="Times New Roman" w:hAnsi="Times New Roman" w:eastAsia="宋体" w:cs="Times New Roman"/>
                <w:b w:val="0"/>
                <w:bCs w:val="0"/>
                <w:color w:val="auto"/>
                <w:sz w:val="24"/>
                <w:szCs w:val="24"/>
                <w:highlight w:val="none"/>
                <w:lang w:val="en-US" w:eastAsia="zh-CN"/>
              </w:rPr>
              <w:t>。属于间接排放，废水间接排放口为化粪池出水口，基本信息详见下表。</w:t>
            </w:r>
          </w:p>
          <w:p w14:paraId="4F856FC1">
            <w:pPr>
              <w:pStyle w:val="58"/>
              <w:rPr>
                <w:rFonts w:hint="default"/>
              </w:rPr>
            </w:pPr>
            <w:r>
              <w:rPr>
                <w:rFonts w:hint="default"/>
              </w:rPr>
              <w:t>表</w:t>
            </w:r>
            <w:r>
              <w:t>4-</w:t>
            </w:r>
            <w:r>
              <w:rPr>
                <w:rFonts w:hint="eastAsia"/>
                <w:lang w:val="en-US" w:eastAsia="zh-CN"/>
              </w:rPr>
              <w:t>10</w:t>
            </w:r>
            <w:r>
              <w:t xml:space="preserve">  </w:t>
            </w:r>
            <w:r>
              <w:rPr>
                <w:rFonts w:hint="default"/>
              </w:rPr>
              <w:t>废水类别</w:t>
            </w:r>
            <w:r>
              <w:t>、</w:t>
            </w:r>
            <w:r>
              <w:rPr>
                <w:rFonts w:hint="default"/>
              </w:rPr>
              <w:t>污染物及污染治理设施</w:t>
            </w:r>
            <w:r>
              <w:t>信息表</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56"/>
              <w:gridCol w:w="529"/>
              <w:gridCol w:w="955"/>
              <w:gridCol w:w="591"/>
              <w:gridCol w:w="477"/>
              <w:gridCol w:w="713"/>
              <w:gridCol w:w="720"/>
              <w:gridCol w:w="617"/>
              <w:gridCol w:w="694"/>
              <w:gridCol w:w="609"/>
              <w:gridCol w:w="2530"/>
            </w:tblGrid>
            <w:tr w14:paraId="35C251C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443" w:type="dxa"/>
                  <w:vMerge w:val="restart"/>
                  <w:tcBorders>
                    <w:tl2br w:val="nil"/>
                    <w:tr2bl w:val="nil"/>
                  </w:tcBorders>
                  <w:vAlign w:val="center"/>
                </w:tcPr>
                <w:p w14:paraId="4D1D31D4">
                  <w:pPr>
                    <w:pStyle w:val="59"/>
                    <w:rPr>
                      <w:rFonts w:hint="default"/>
                      <w:b/>
                      <w:bCs w:val="0"/>
                      <w:sz w:val="18"/>
                      <w:szCs w:val="18"/>
                    </w:rPr>
                  </w:pPr>
                  <w:r>
                    <w:rPr>
                      <w:b/>
                      <w:bCs w:val="0"/>
                      <w:sz w:val="18"/>
                      <w:szCs w:val="18"/>
                    </w:rPr>
                    <w:t>序号</w:t>
                  </w:r>
                </w:p>
              </w:tc>
              <w:tc>
                <w:tcPr>
                  <w:tcW w:w="514" w:type="dxa"/>
                  <w:vMerge w:val="restart"/>
                  <w:tcBorders>
                    <w:tl2br w:val="nil"/>
                    <w:tr2bl w:val="nil"/>
                  </w:tcBorders>
                  <w:vAlign w:val="center"/>
                </w:tcPr>
                <w:p w14:paraId="740D6F60">
                  <w:pPr>
                    <w:pStyle w:val="59"/>
                    <w:rPr>
                      <w:rFonts w:hint="default"/>
                      <w:b/>
                      <w:bCs w:val="0"/>
                      <w:sz w:val="18"/>
                      <w:szCs w:val="18"/>
                    </w:rPr>
                  </w:pPr>
                  <w:r>
                    <w:rPr>
                      <w:b/>
                      <w:bCs w:val="0"/>
                      <w:sz w:val="18"/>
                      <w:szCs w:val="18"/>
                    </w:rPr>
                    <w:t>废水类别</w:t>
                  </w:r>
                </w:p>
              </w:tc>
              <w:tc>
                <w:tcPr>
                  <w:tcW w:w="929" w:type="dxa"/>
                  <w:vMerge w:val="restart"/>
                  <w:tcBorders>
                    <w:tl2br w:val="nil"/>
                    <w:tr2bl w:val="nil"/>
                  </w:tcBorders>
                  <w:vAlign w:val="center"/>
                </w:tcPr>
                <w:p w14:paraId="42769C27">
                  <w:pPr>
                    <w:pStyle w:val="59"/>
                    <w:rPr>
                      <w:rFonts w:hint="default"/>
                      <w:b/>
                      <w:bCs w:val="0"/>
                      <w:sz w:val="18"/>
                      <w:szCs w:val="18"/>
                    </w:rPr>
                  </w:pPr>
                  <w:r>
                    <w:rPr>
                      <w:b/>
                      <w:bCs w:val="0"/>
                      <w:sz w:val="18"/>
                      <w:szCs w:val="18"/>
                    </w:rPr>
                    <w:t>污染物种类</w:t>
                  </w:r>
                </w:p>
              </w:tc>
              <w:tc>
                <w:tcPr>
                  <w:tcW w:w="575" w:type="dxa"/>
                  <w:vMerge w:val="restart"/>
                  <w:tcBorders>
                    <w:tl2br w:val="nil"/>
                    <w:tr2bl w:val="nil"/>
                  </w:tcBorders>
                  <w:vAlign w:val="center"/>
                </w:tcPr>
                <w:p w14:paraId="5B515BC2">
                  <w:pPr>
                    <w:pStyle w:val="59"/>
                    <w:rPr>
                      <w:rFonts w:hint="default"/>
                      <w:b/>
                      <w:bCs w:val="0"/>
                      <w:sz w:val="18"/>
                      <w:szCs w:val="18"/>
                    </w:rPr>
                  </w:pPr>
                  <w:r>
                    <w:rPr>
                      <w:b/>
                      <w:bCs w:val="0"/>
                      <w:sz w:val="18"/>
                      <w:szCs w:val="18"/>
                    </w:rPr>
                    <w:t>排放去向</w:t>
                  </w:r>
                </w:p>
              </w:tc>
              <w:tc>
                <w:tcPr>
                  <w:tcW w:w="464" w:type="dxa"/>
                  <w:vMerge w:val="restart"/>
                  <w:tcBorders>
                    <w:tl2br w:val="nil"/>
                    <w:tr2bl w:val="nil"/>
                  </w:tcBorders>
                  <w:vAlign w:val="center"/>
                </w:tcPr>
                <w:p w14:paraId="5B3A0847">
                  <w:pPr>
                    <w:pStyle w:val="59"/>
                    <w:rPr>
                      <w:rFonts w:hint="default"/>
                      <w:b/>
                      <w:bCs w:val="0"/>
                      <w:sz w:val="18"/>
                      <w:szCs w:val="18"/>
                    </w:rPr>
                  </w:pPr>
                  <w:r>
                    <w:rPr>
                      <w:b/>
                      <w:bCs w:val="0"/>
                      <w:sz w:val="18"/>
                      <w:szCs w:val="18"/>
                    </w:rPr>
                    <w:t>排放规律</w:t>
                  </w:r>
                </w:p>
              </w:tc>
              <w:tc>
                <w:tcPr>
                  <w:tcW w:w="1993" w:type="dxa"/>
                  <w:gridSpan w:val="3"/>
                  <w:tcBorders>
                    <w:tl2br w:val="nil"/>
                    <w:tr2bl w:val="nil"/>
                  </w:tcBorders>
                  <w:vAlign w:val="center"/>
                </w:tcPr>
                <w:p w14:paraId="5C5C6DB9">
                  <w:pPr>
                    <w:pStyle w:val="59"/>
                    <w:rPr>
                      <w:rFonts w:hint="default"/>
                      <w:b/>
                      <w:bCs w:val="0"/>
                      <w:sz w:val="18"/>
                      <w:szCs w:val="18"/>
                    </w:rPr>
                  </w:pPr>
                  <w:r>
                    <w:rPr>
                      <w:b/>
                      <w:bCs w:val="0"/>
                      <w:sz w:val="18"/>
                      <w:szCs w:val="18"/>
                    </w:rPr>
                    <w:t>污染治理设施</w:t>
                  </w:r>
                </w:p>
              </w:tc>
              <w:tc>
                <w:tcPr>
                  <w:tcW w:w="675" w:type="dxa"/>
                  <w:vMerge w:val="restart"/>
                  <w:tcBorders>
                    <w:tl2br w:val="nil"/>
                    <w:tr2bl w:val="nil"/>
                  </w:tcBorders>
                  <w:vAlign w:val="center"/>
                </w:tcPr>
                <w:p w14:paraId="60EA3B8E">
                  <w:pPr>
                    <w:pStyle w:val="59"/>
                    <w:rPr>
                      <w:rFonts w:hint="default"/>
                      <w:b/>
                      <w:bCs w:val="0"/>
                      <w:sz w:val="18"/>
                      <w:szCs w:val="18"/>
                    </w:rPr>
                  </w:pPr>
                  <w:r>
                    <w:rPr>
                      <w:b/>
                      <w:bCs w:val="0"/>
                      <w:sz w:val="18"/>
                      <w:szCs w:val="18"/>
                    </w:rPr>
                    <w:t>排放口编号</w:t>
                  </w:r>
                </w:p>
              </w:tc>
              <w:tc>
                <w:tcPr>
                  <w:tcW w:w="592" w:type="dxa"/>
                  <w:vMerge w:val="restart"/>
                  <w:tcBorders>
                    <w:tl2br w:val="nil"/>
                    <w:tr2bl w:val="nil"/>
                  </w:tcBorders>
                  <w:vAlign w:val="center"/>
                </w:tcPr>
                <w:p w14:paraId="14FB9F44">
                  <w:pPr>
                    <w:pStyle w:val="59"/>
                    <w:rPr>
                      <w:rFonts w:hint="default"/>
                      <w:b/>
                      <w:bCs w:val="0"/>
                      <w:sz w:val="18"/>
                      <w:szCs w:val="18"/>
                    </w:rPr>
                  </w:pPr>
                  <w:r>
                    <w:rPr>
                      <w:b/>
                      <w:bCs w:val="0"/>
                      <w:sz w:val="18"/>
                      <w:szCs w:val="18"/>
                    </w:rPr>
                    <w:t>排放口设施是否符合要求</w:t>
                  </w:r>
                </w:p>
              </w:tc>
              <w:tc>
                <w:tcPr>
                  <w:tcW w:w="2460" w:type="dxa"/>
                  <w:vMerge w:val="restart"/>
                  <w:tcBorders>
                    <w:tl2br w:val="nil"/>
                    <w:tr2bl w:val="nil"/>
                  </w:tcBorders>
                  <w:vAlign w:val="center"/>
                </w:tcPr>
                <w:p w14:paraId="14199DAA">
                  <w:pPr>
                    <w:pStyle w:val="59"/>
                    <w:rPr>
                      <w:rFonts w:hint="default"/>
                      <w:sz w:val="18"/>
                      <w:szCs w:val="18"/>
                    </w:rPr>
                  </w:pPr>
                  <w:r>
                    <w:rPr>
                      <w:b/>
                      <w:bCs w:val="0"/>
                      <w:sz w:val="18"/>
                      <w:szCs w:val="18"/>
                    </w:rPr>
                    <w:t>排放口类型</w:t>
                  </w:r>
                </w:p>
              </w:tc>
            </w:tr>
            <w:tr w14:paraId="09B2726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454" w:hRule="atLeast"/>
                <w:jc w:val="center"/>
              </w:trPr>
              <w:tc>
                <w:tcPr>
                  <w:tcW w:w="443" w:type="dxa"/>
                  <w:vMerge w:val="continue"/>
                  <w:tcBorders>
                    <w:tl2br w:val="nil"/>
                    <w:tr2bl w:val="nil"/>
                  </w:tcBorders>
                  <w:vAlign w:val="center"/>
                </w:tcPr>
                <w:p w14:paraId="7AC93DE0">
                  <w:pPr>
                    <w:pStyle w:val="59"/>
                    <w:rPr>
                      <w:rFonts w:hint="default"/>
                      <w:b/>
                      <w:bCs w:val="0"/>
                      <w:sz w:val="18"/>
                      <w:szCs w:val="18"/>
                    </w:rPr>
                  </w:pPr>
                </w:p>
              </w:tc>
              <w:tc>
                <w:tcPr>
                  <w:tcW w:w="514" w:type="dxa"/>
                  <w:vMerge w:val="continue"/>
                  <w:tcBorders>
                    <w:tl2br w:val="nil"/>
                    <w:tr2bl w:val="nil"/>
                  </w:tcBorders>
                  <w:vAlign w:val="center"/>
                </w:tcPr>
                <w:p w14:paraId="1557A5C0">
                  <w:pPr>
                    <w:pStyle w:val="59"/>
                    <w:rPr>
                      <w:rFonts w:hint="default"/>
                      <w:b/>
                      <w:bCs w:val="0"/>
                      <w:sz w:val="18"/>
                      <w:szCs w:val="18"/>
                    </w:rPr>
                  </w:pPr>
                </w:p>
              </w:tc>
              <w:tc>
                <w:tcPr>
                  <w:tcW w:w="929" w:type="dxa"/>
                  <w:vMerge w:val="continue"/>
                  <w:tcBorders>
                    <w:tl2br w:val="nil"/>
                    <w:tr2bl w:val="nil"/>
                  </w:tcBorders>
                  <w:vAlign w:val="center"/>
                </w:tcPr>
                <w:p w14:paraId="5E7E7577">
                  <w:pPr>
                    <w:pStyle w:val="59"/>
                    <w:rPr>
                      <w:rFonts w:hint="default"/>
                      <w:b/>
                      <w:bCs w:val="0"/>
                      <w:sz w:val="18"/>
                      <w:szCs w:val="18"/>
                    </w:rPr>
                  </w:pPr>
                </w:p>
              </w:tc>
              <w:tc>
                <w:tcPr>
                  <w:tcW w:w="575" w:type="dxa"/>
                  <w:vMerge w:val="continue"/>
                  <w:tcBorders>
                    <w:tl2br w:val="nil"/>
                    <w:tr2bl w:val="nil"/>
                  </w:tcBorders>
                  <w:vAlign w:val="center"/>
                </w:tcPr>
                <w:p w14:paraId="346D3158">
                  <w:pPr>
                    <w:pStyle w:val="59"/>
                    <w:rPr>
                      <w:rFonts w:hint="default"/>
                      <w:b/>
                      <w:bCs w:val="0"/>
                      <w:sz w:val="18"/>
                      <w:szCs w:val="18"/>
                    </w:rPr>
                  </w:pPr>
                </w:p>
              </w:tc>
              <w:tc>
                <w:tcPr>
                  <w:tcW w:w="464" w:type="dxa"/>
                  <w:vMerge w:val="continue"/>
                  <w:tcBorders>
                    <w:tl2br w:val="nil"/>
                    <w:tr2bl w:val="nil"/>
                  </w:tcBorders>
                  <w:vAlign w:val="center"/>
                </w:tcPr>
                <w:p w14:paraId="5C0AD203">
                  <w:pPr>
                    <w:pStyle w:val="59"/>
                    <w:rPr>
                      <w:rFonts w:hint="default"/>
                      <w:b/>
                      <w:bCs w:val="0"/>
                      <w:sz w:val="18"/>
                      <w:szCs w:val="18"/>
                    </w:rPr>
                  </w:pPr>
                </w:p>
              </w:tc>
              <w:tc>
                <w:tcPr>
                  <w:tcW w:w="693" w:type="dxa"/>
                  <w:tcBorders>
                    <w:tl2br w:val="nil"/>
                    <w:tr2bl w:val="nil"/>
                  </w:tcBorders>
                  <w:vAlign w:val="center"/>
                </w:tcPr>
                <w:p w14:paraId="26279D26">
                  <w:pPr>
                    <w:pStyle w:val="59"/>
                    <w:rPr>
                      <w:rFonts w:hint="default"/>
                      <w:b/>
                      <w:bCs w:val="0"/>
                      <w:sz w:val="18"/>
                      <w:szCs w:val="18"/>
                    </w:rPr>
                  </w:pPr>
                  <w:r>
                    <w:rPr>
                      <w:b/>
                      <w:bCs w:val="0"/>
                      <w:sz w:val="18"/>
                      <w:szCs w:val="18"/>
                    </w:rPr>
                    <w:t>污染治理设施编号</w:t>
                  </w:r>
                </w:p>
              </w:tc>
              <w:tc>
                <w:tcPr>
                  <w:tcW w:w="700" w:type="dxa"/>
                  <w:tcBorders>
                    <w:tl2br w:val="nil"/>
                    <w:tr2bl w:val="nil"/>
                  </w:tcBorders>
                  <w:vAlign w:val="center"/>
                </w:tcPr>
                <w:p w14:paraId="58C48F66">
                  <w:pPr>
                    <w:pStyle w:val="59"/>
                    <w:rPr>
                      <w:rFonts w:hint="default"/>
                      <w:b/>
                      <w:bCs w:val="0"/>
                      <w:sz w:val="18"/>
                      <w:szCs w:val="18"/>
                    </w:rPr>
                  </w:pPr>
                  <w:r>
                    <w:rPr>
                      <w:b/>
                      <w:bCs w:val="0"/>
                      <w:sz w:val="18"/>
                      <w:szCs w:val="18"/>
                    </w:rPr>
                    <w:t>污染治理设施名称</w:t>
                  </w:r>
                </w:p>
              </w:tc>
              <w:tc>
                <w:tcPr>
                  <w:tcW w:w="600" w:type="dxa"/>
                  <w:tcBorders>
                    <w:tl2br w:val="nil"/>
                    <w:tr2bl w:val="nil"/>
                  </w:tcBorders>
                  <w:vAlign w:val="center"/>
                </w:tcPr>
                <w:p w14:paraId="07BE18AB">
                  <w:pPr>
                    <w:pStyle w:val="59"/>
                    <w:rPr>
                      <w:rFonts w:hint="default"/>
                      <w:b/>
                      <w:bCs w:val="0"/>
                      <w:sz w:val="18"/>
                      <w:szCs w:val="18"/>
                    </w:rPr>
                  </w:pPr>
                  <w:r>
                    <w:rPr>
                      <w:b/>
                      <w:bCs w:val="0"/>
                      <w:sz w:val="18"/>
                      <w:szCs w:val="18"/>
                    </w:rPr>
                    <w:t>污染治理设施工艺</w:t>
                  </w:r>
                </w:p>
              </w:tc>
              <w:tc>
                <w:tcPr>
                  <w:tcW w:w="675" w:type="dxa"/>
                  <w:vMerge w:val="continue"/>
                  <w:tcBorders>
                    <w:tl2br w:val="nil"/>
                    <w:tr2bl w:val="nil"/>
                  </w:tcBorders>
                  <w:vAlign w:val="center"/>
                </w:tcPr>
                <w:p w14:paraId="22C51F15">
                  <w:pPr>
                    <w:pStyle w:val="59"/>
                    <w:rPr>
                      <w:rFonts w:hint="default"/>
                      <w:sz w:val="18"/>
                      <w:szCs w:val="18"/>
                    </w:rPr>
                  </w:pPr>
                </w:p>
              </w:tc>
              <w:tc>
                <w:tcPr>
                  <w:tcW w:w="592" w:type="dxa"/>
                  <w:vMerge w:val="continue"/>
                  <w:tcBorders>
                    <w:tl2br w:val="nil"/>
                    <w:tr2bl w:val="nil"/>
                  </w:tcBorders>
                  <w:vAlign w:val="center"/>
                </w:tcPr>
                <w:p w14:paraId="7F461CA0">
                  <w:pPr>
                    <w:pStyle w:val="59"/>
                    <w:rPr>
                      <w:rFonts w:hint="default"/>
                      <w:sz w:val="18"/>
                      <w:szCs w:val="18"/>
                    </w:rPr>
                  </w:pPr>
                </w:p>
              </w:tc>
              <w:tc>
                <w:tcPr>
                  <w:tcW w:w="2460" w:type="dxa"/>
                  <w:vMerge w:val="continue"/>
                  <w:tcBorders>
                    <w:tl2br w:val="nil"/>
                    <w:tr2bl w:val="nil"/>
                  </w:tcBorders>
                  <w:vAlign w:val="center"/>
                </w:tcPr>
                <w:p w14:paraId="3FC52893">
                  <w:pPr>
                    <w:pStyle w:val="59"/>
                    <w:rPr>
                      <w:rFonts w:hint="default"/>
                      <w:sz w:val="18"/>
                      <w:szCs w:val="18"/>
                    </w:rPr>
                  </w:pPr>
                </w:p>
              </w:tc>
            </w:tr>
            <w:tr w14:paraId="1C9927E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04" w:hRule="atLeast"/>
                <w:jc w:val="center"/>
              </w:trPr>
              <w:tc>
                <w:tcPr>
                  <w:tcW w:w="443" w:type="dxa"/>
                  <w:tcBorders>
                    <w:tl2br w:val="nil"/>
                    <w:tr2bl w:val="nil"/>
                  </w:tcBorders>
                  <w:vAlign w:val="center"/>
                </w:tcPr>
                <w:p w14:paraId="1DDAF16C">
                  <w:pPr>
                    <w:pStyle w:val="59"/>
                    <w:rPr>
                      <w:rFonts w:hint="default"/>
                      <w:sz w:val="18"/>
                      <w:szCs w:val="18"/>
                    </w:rPr>
                  </w:pPr>
                  <w:r>
                    <w:rPr>
                      <w:sz w:val="18"/>
                      <w:szCs w:val="18"/>
                    </w:rPr>
                    <w:t>1</w:t>
                  </w:r>
                </w:p>
              </w:tc>
              <w:tc>
                <w:tcPr>
                  <w:tcW w:w="514" w:type="dxa"/>
                  <w:tcBorders>
                    <w:tl2br w:val="nil"/>
                    <w:tr2bl w:val="nil"/>
                  </w:tcBorders>
                  <w:vAlign w:val="center"/>
                </w:tcPr>
                <w:p w14:paraId="736C6B36">
                  <w:pPr>
                    <w:pStyle w:val="59"/>
                    <w:rPr>
                      <w:rFonts w:hint="default" w:eastAsia="宋体"/>
                      <w:sz w:val="18"/>
                      <w:szCs w:val="18"/>
                      <w:lang w:val="en-US" w:eastAsia="zh-CN"/>
                    </w:rPr>
                  </w:pPr>
                  <w:r>
                    <w:rPr>
                      <w:rFonts w:hint="eastAsia"/>
                      <w:bCs w:val="0"/>
                      <w:sz w:val="18"/>
                      <w:szCs w:val="18"/>
                      <w:lang w:val="en-US" w:eastAsia="zh-CN"/>
                    </w:rPr>
                    <w:t>综合废水</w:t>
                  </w:r>
                </w:p>
              </w:tc>
              <w:tc>
                <w:tcPr>
                  <w:tcW w:w="929" w:type="dxa"/>
                  <w:tcBorders>
                    <w:tl2br w:val="nil"/>
                    <w:tr2bl w:val="nil"/>
                  </w:tcBorders>
                  <w:vAlign w:val="center"/>
                </w:tcPr>
                <w:p w14:paraId="2159F28D">
                  <w:pPr>
                    <w:pStyle w:val="59"/>
                    <w:rPr>
                      <w:rFonts w:hint="default" w:eastAsia="宋体"/>
                      <w:sz w:val="18"/>
                      <w:szCs w:val="18"/>
                      <w:lang w:val="en-US" w:eastAsia="zh-CN"/>
                    </w:rPr>
                  </w:pPr>
                  <w:r>
                    <w:rPr>
                      <w:sz w:val="18"/>
                      <w:szCs w:val="18"/>
                    </w:rPr>
                    <w:t>pH、COD、BOD</w:t>
                  </w:r>
                  <w:r>
                    <w:rPr>
                      <w:sz w:val="18"/>
                      <w:szCs w:val="18"/>
                      <w:vertAlign w:val="subscript"/>
                    </w:rPr>
                    <w:t>5</w:t>
                  </w:r>
                  <w:r>
                    <w:rPr>
                      <w:sz w:val="18"/>
                      <w:szCs w:val="18"/>
                    </w:rPr>
                    <w:t>、SS、氨氮、TP、TN</w:t>
                  </w:r>
                  <w:r>
                    <w:rPr>
                      <w:rFonts w:hint="eastAsia"/>
                      <w:sz w:val="18"/>
                      <w:szCs w:val="18"/>
                      <w:lang w:eastAsia="zh-CN"/>
                    </w:rPr>
                    <w:t>、</w:t>
                  </w:r>
                  <w:r>
                    <w:rPr>
                      <w:rFonts w:hint="eastAsia"/>
                      <w:sz w:val="18"/>
                      <w:szCs w:val="18"/>
                      <w:lang w:val="en-US" w:eastAsia="zh-CN"/>
                    </w:rPr>
                    <w:t>TDS</w:t>
                  </w:r>
                </w:p>
              </w:tc>
              <w:tc>
                <w:tcPr>
                  <w:tcW w:w="575" w:type="dxa"/>
                  <w:tcBorders>
                    <w:tl2br w:val="nil"/>
                    <w:tr2bl w:val="nil"/>
                  </w:tcBorders>
                  <w:vAlign w:val="center"/>
                </w:tcPr>
                <w:p w14:paraId="12BACF7C">
                  <w:pPr>
                    <w:pStyle w:val="59"/>
                    <w:rPr>
                      <w:rFonts w:hint="default"/>
                      <w:sz w:val="18"/>
                      <w:szCs w:val="18"/>
                    </w:rPr>
                  </w:pPr>
                  <w:r>
                    <w:rPr>
                      <w:sz w:val="18"/>
                      <w:szCs w:val="18"/>
                    </w:rPr>
                    <w:t>进入城市污水处理厂</w:t>
                  </w:r>
                </w:p>
              </w:tc>
              <w:tc>
                <w:tcPr>
                  <w:tcW w:w="464" w:type="dxa"/>
                  <w:tcBorders>
                    <w:tl2br w:val="nil"/>
                    <w:tr2bl w:val="nil"/>
                  </w:tcBorders>
                  <w:vAlign w:val="center"/>
                </w:tcPr>
                <w:p w14:paraId="23B68DBB">
                  <w:pPr>
                    <w:pStyle w:val="59"/>
                    <w:rPr>
                      <w:rFonts w:hint="default"/>
                      <w:sz w:val="18"/>
                      <w:szCs w:val="18"/>
                    </w:rPr>
                  </w:pPr>
                  <w:r>
                    <w:rPr>
                      <w:sz w:val="18"/>
                      <w:szCs w:val="18"/>
                    </w:rPr>
                    <w:t>间断排放</w:t>
                  </w:r>
                </w:p>
              </w:tc>
              <w:tc>
                <w:tcPr>
                  <w:tcW w:w="693" w:type="dxa"/>
                  <w:tcBorders>
                    <w:tl2br w:val="nil"/>
                    <w:tr2bl w:val="nil"/>
                  </w:tcBorders>
                  <w:vAlign w:val="center"/>
                </w:tcPr>
                <w:p w14:paraId="2D6815ED">
                  <w:pPr>
                    <w:pStyle w:val="59"/>
                    <w:rPr>
                      <w:rFonts w:hint="default"/>
                      <w:sz w:val="18"/>
                      <w:szCs w:val="18"/>
                    </w:rPr>
                  </w:pPr>
                  <w:r>
                    <w:rPr>
                      <w:sz w:val="18"/>
                      <w:szCs w:val="18"/>
                    </w:rPr>
                    <w:t>/</w:t>
                  </w:r>
                </w:p>
              </w:tc>
              <w:tc>
                <w:tcPr>
                  <w:tcW w:w="700" w:type="dxa"/>
                  <w:tcBorders>
                    <w:tl2br w:val="nil"/>
                    <w:tr2bl w:val="nil"/>
                  </w:tcBorders>
                  <w:vAlign w:val="center"/>
                </w:tcPr>
                <w:p w14:paraId="0D1DFA85">
                  <w:pPr>
                    <w:pStyle w:val="59"/>
                    <w:rPr>
                      <w:rFonts w:hint="default"/>
                      <w:sz w:val="18"/>
                      <w:szCs w:val="18"/>
                    </w:rPr>
                  </w:pPr>
                  <w:r>
                    <w:rPr>
                      <w:sz w:val="18"/>
                      <w:szCs w:val="18"/>
                    </w:rPr>
                    <w:t>/</w:t>
                  </w:r>
                </w:p>
              </w:tc>
              <w:tc>
                <w:tcPr>
                  <w:tcW w:w="600" w:type="dxa"/>
                  <w:tcBorders>
                    <w:tl2br w:val="nil"/>
                    <w:tr2bl w:val="nil"/>
                  </w:tcBorders>
                  <w:vAlign w:val="center"/>
                </w:tcPr>
                <w:p w14:paraId="5220767D">
                  <w:pPr>
                    <w:pStyle w:val="59"/>
                    <w:rPr>
                      <w:rFonts w:hint="default"/>
                      <w:sz w:val="18"/>
                      <w:szCs w:val="18"/>
                    </w:rPr>
                  </w:pPr>
                  <w:r>
                    <w:rPr>
                      <w:sz w:val="18"/>
                      <w:szCs w:val="18"/>
                    </w:rPr>
                    <w:t>/</w:t>
                  </w:r>
                </w:p>
              </w:tc>
              <w:tc>
                <w:tcPr>
                  <w:tcW w:w="675" w:type="dxa"/>
                  <w:tcBorders>
                    <w:tl2br w:val="nil"/>
                    <w:tr2bl w:val="nil"/>
                  </w:tcBorders>
                  <w:vAlign w:val="center"/>
                </w:tcPr>
                <w:p w14:paraId="426E7FC3">
                  <w:pPr>
                    <w:pStyle w:val="59"/>
                    <w:rPr>
                      <w:rFonts w:hint="default"/>
                      <w:sz w:val="18"/>
                      <w:szCs w:val="18"/>
                    </w:rPr>
                  </w:pPr>
                  <w:r>
                    <w:rPr>
                      <w:sz w:val="18"/>
                      <w:szCs w:val="18"/>
                    </w:rPr>
                    <w:t>DW001</w:t>
                  </w:r>
                </w:p>
              </w:tc>
              <w:tc>
                <w:tcPr>
                  <w:tcW w:w="592" w:type="dxa"/>
                  <w:tcBorders>
                    <w:tl2br w:val="nil"/>
                    <w:tr2bl w:val="nil"/>
                  </w:tcBorders>
                  <w:vAlign w:val="center"/>
                </w:tcPr>
                <w:p w14:paraId="24283A54">
                  <w:pPr>
                    <w:pStyle w:val="59"/>
                    <w:rPr>
                      <w:rFonts w:hint="default"/>
                      <w:sz w:val="18"/>
                      <w:szCs w:val="18"/>
                    </w:rPr>
                  </w:pPr>
                  <w:r>
                    <w:rPr>
                      <w:sz w:val="18"/>
                      <w:szCs w:val="18"/>
                    </w:rPr>
                    <w:sym w:font="Wingdings 2" w:char="0052"/>
                  </w:r>
                  <w:r>
                    <w:rPr>
                      <w:sz w:val="18"/>
                      <w:szCs w:val="18"/>
                    </w:rPr>
                    <w:t>是</w:t>
                  </w:r>
                </w:p>
                <w:p w14:paraId="36525DDE">
                  <w:pPr>
                    <w:pStyle w:val="59"/>
                    <w:rPr>
                      <w:rFonts w:hint="default"/>
                      <w:sz w:val="18"/>
                      <w:szCs w:val="18"/>
                    </w:rPr>
                  </w:pPr>
                  <w:r>
                    <w:rPr>
                      <w:sz w:val="18"/>
                      <w:szCs w:val="18"/>
                    </w:rPr>
                    <w:t>□否</w:t>
                  </w:r>
                </w:p>
              </w:tc>
              <w:tc>
                <w:tcPr>
                  <w:tcW w:w="2460" w:type="dxa"/>
                  <w:tcBorders>
                    <w:tl2br w:val="nil"/>
                    <w:tr2bl w:val="nil"/>
                  </w:tcBorders>
                  <w:vAlign w:val="center"/>
                </w:tcPr>
                <w:p w14:paraId="10E7CDB7">
                  <w:pPr>
                    <w:pStyle w:val="59"/>
                    <w:rPr>
                      <w:rFonts w:hint="default"/>
                      <w:sz w:val="18"/>
                      <w:szCs w:val="18"/>
                    </w:rPr>
                  </w:pPr>
                  <w:r>
                    <w:rPr>
                      <w:sz w:val="18"/>
                      <w:szCs w:val="18"/>
                    </w:rPr>
                    <w:sym w:font="Wingdings 2" w:char="0052"/>
                  </w:r>
                  <w:r>
                    <w:rPr>
                      <w:sz w:val="18"/>
                      <w:szCs w:val="18"/>
                    </w:rPr>
                    <w:t>企业总排</w:t>
                  </w:r>
                </w:p>
                <w:p w14:paraId="27CBA492">
                  <w:pPr>
                    <w:pStyle w:val="59"/>
                    <w:rPr>
                      <w:rFonts w:hint="default"/>
                      <w:sz w:val="18"/>
                      <w:szCs w:val="18"/>
                    </w:rPr>
                  </w:pPr>
                  <w:r>
                    <w:rPr>
                      <w:sz w:val="18"/>
                      <w:szCs w:val="18"/>
                    </w:rPr>
                    <w:t>□雨水排放</w:t>
                  </w:r>
                </w:p>
                <w:p w14:paraId="4A754CA1">
                  <w:pPr>
                    <w:pStyle w:val="59"/>
                    <w:rPr>
                      <w:rFonts w:hint="default"/>
                      <w:sz w:val="18"/>
                      <w:szCs w:val="18"/>
                    </w:rPr>
                  </w:pPr>
                  <w:r>
                    <w:rPr>
                      <w:sz w:val="18"/>
                      <w:szCs w:val="18"/>
                    </w:rPr>
                    <w:t>□清净下水排放</w:t>
                  </w:r>
                </w:p>
                <w:p w14:paraId="1109A34B">
                  <w:pPr>
                    <w:pStyle w:val="59"/>
                    <w:rPr>
                      <w:rFonts w:hint="default"/>
                      <w:sz w:val="18"/>
                      <w:szCs w:val="18"/>
                    </w:rPr>
                  </w:pPr>
                  <w:r>
                    <w:rPr>
                      <w:sz w:val="18"/>
                      <w:szCs w:val="18"/>
                    </w:rPr>
                    <w:t>□温排水排放</w:t>
                  </w:r>
                </w:p>
                <w:p w14:paraId="39CA2FD1">
                  <w:pPr>
                    <w:pStyle w:val="59"/>
                    <w:rPr>
                      <w:rFonts w:hint="default"/>
                      <w:sz w:val="18"/>
                      <w:szCs w:val="18"/>
                    </w:rPr>
                  </w:pPr>
                  <w:r>
                    <w:rPr>
                      <w:sz w:val="18"/>
                      <w:szCs w:val="18"/>
                    </w:rPr>
                    <w:t>□车间或车间处理设施排放口</w:t>
                  </w:r>
                </w:p>
              </w:tc>
            </w:tr>
          </w:tbl>
          <w:p w14:paraId="33D5601D">
            <w:pPr>
              <w:pStyle w:val="58"/>
              <w:spacing w:before="120" w:beforeLines="50"/>
              <w:rPr>
                <w:rFonts w:hint="default"/>
              </w:rPr>
            </w:pPr>
            <w:r>
              <w:rPr>
                <w:rFonts w:hint="default"/>
              </w:rPr>
              <w:t>表</w:t>
            </w:r>
            <w:r>
              <w:t>4-</w:t>
            </w:r>
            <w:r>
              <w:rPr>
                <w:rFonts w:hint="eastAsia"/>
                <w:lang w:val="en-US" w:eastAsia="zh-CN"/>
              </w:rPr>
              <w:t>11</w:t>
            </w:r>
            <w:r>
              <w:t xml:space="preserve">  废水间接排放口基本情况表</w:t>
            </w:r>
          </w:p>
          <w:tbl>
            <w:tblPr>
              <w:tblStyle w:val="20"/>
              <w:tblW w:w="498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20"/>
              <w:gridCol w:w="829"/>
              <w:gridCol w:w="859"/>
              <w:gridCol w:w="905"/>
              <w:gridCol w:w="911"/>
              <w:gridCol w:w="752"/>
              <w:gridCol w:w="690"/>
              <w:gridCol w:w="511"/>
              <w:gridCol w:w="571"/>
              <w:gridCol w:w="942"/>
              <w:gridCol w:w="1479"/>
            </w:tblGrid>
            <w:tr w14:paraId="05AB0FE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236" w:type="pct"/>
                  <w:vMerge w:val="restart"/>
                  <w:tcBorders>
                    <w:tl2br w:val="nil"/>
                    <w:tr2bl w:val="nil"/>
                  </w:tcBorders>
                  <w:vAlign w:val="center"/>
                </w:tcPr>
                <w:p w14:paraId="1BD50796">
                  <w:pPr>
                    <w:pStyle w:val="59"/>
                    <w:rPr>
                      <w:rFonts w:hint="default"/>
                      <w:b/>
                      <w:bCs w:val="0"/>
                      <w:sz w:val="18"/>
                      <w:szCs w:val="18"/>
                    </w:rPr>
                  </w:pPr>
                  <w:r>
                    <w:rPr>
                      <w:rFonts w:hint="default"/>
                      <w:b/>
                      <w:bCs w:val="0"/>
                      <w:sz w:val="18"/>
                      <w:szCs w:val="18"/>
                    </w:rPr>
                    <w:t>序号</w:t>
                  </w:r>
                </w:p>
              </w:tc>
              <w:tc>
                <w:tcPr>
                  <w:tcW w:w="467" w:type="pct"/>
                  <w:vMerge w:val="restart"/>
                  <w:tcBorders>
                    <w:tl2br w:val="nil"/>
                    <w:tr2bl w:val="nil"/>
                  </w:tcBorders>
                  <w:vAlign w:val="center"/>
                </w:tcPr>
                <w:p w14:paraId="5690D12B">
                  <w:pPr>
                    <w:pStyle w:val="59"/>
                    <w:rPr>
                      <w:rFonts w:hint="default"/>
                      <w:b/>
                      <w:bCs w:val="0"/>
                      <w:sz w:val="18"/>
                      <w:szCs w:val="18"/>
                    </w:rPr>
                  </w:pPr>
                  <w:r>
                    <w:rPr>
                      <w:rFonts w:hint="default"/>
                      <w:b/>
                      <w:bCs w:val="0"/>
                      <w:sz w:val="18"/>
                      <w:szCs w:val="18"/>
                    </w:rPr>
                    <w:t>排放口编号</w:t>
                  </w:r>
                </w:p>
              </w:tc>
              <w:tc>
                <w:tcPr>
                  <w:tcW w:w="994" w:type="pct"/>
                  <w:gridSpan w:val="2"/>
                  <w:tcBorders>
                    <w:tl2br w:val="nil"/>
                    <w:tr2bl w:val="nil"/>
                  </w:tcBorders>
                  <w:vAlign w:val="center"/>
                </w:tcPr>
                <w:p w14:paraId="0CB549FF">
                  <w:pPr>
                    <w:pStyle w:val="59"/>
                    <w:rPr>
                      <w:rFonts w:hint="default"/>
                      <w:b/>
                      <w:bCs w:val="0"/>
                      <w:sz w:val="18"/>
                      <w:szCs w:val="18"/>
                    </w:rPr>
                  </w:pPr>
                  <w:r>
                    <w:rPr>
                      <w:rFonts w:hint="default"/>
                      <w:b/>
                      <w:bCs w:val="0"/>
                      <w:sz w:val="18"/>
                      <w:szCs w:val="18"/>
                    </w:rPr>
                    <w:t>排放口地理坐标</w:t>
                  </w:r>
                </w:p>
              </w:tc>
              <w:tc>
                <w:tcPr>
                  <w:tcW w:w="513" w:type="pct"/>
                  <w:vMerge w:val="restart"/>
                  <w:tcBorders>
                    <w:tl2br w:val="nil"/>
                    <w:tr2bl w:val="nil"/>
                  </w:tcBorders>
                  <w:vAlign w:val="center"/>
                </w:tcPr>
                <w:p w14:paraId="21E47A47">
                  <w:pPr>
                    <w:pStyle w:val="59"/>
                    <w:rPr>
                      <w:rFonts w:hint="default"/>
                      <w:b/>
                      <w:bCs w:val="0"/>
                      <w:sz w:val="18"/>
                      <w:szCs w:val="18"/>
                    </w:rPr>
                  </w:pPr>
                  <w:r>
                    <w:rPr>
                      <w:rFonts w:hint="default"/>
                      <w:b/>
                      <w:bCs w:val="0"/>
                      <w:sz w:val="18"/>
                      <w:szCs w:val="18"/>
                    </w:rPr>
                    <w:t>废水排放量/（t/a）</w:t>
                  </w:r>
                </w:p>
              </w:tc>
              <w:tc>
                <w:tcPr>
                  <w:tcW w:w="423" w:type="pct"/>
                  <w:vMerge w:val="restart"/>
                  <w:tcBorders>
                    <w:tl2br w:val="nil"/>
                    <w:tr2bl w:val="nil"/>
                  </w:tcBorders>
                  <w:vAlign w:val="center"/>
                </w:tcPr>
                <w:p w14:paraId="5533C9F0">
                  <w:pPr>
                    <w:pStyle w:val="59"/>
                    <w:rPr>
                      <w:rFonts w:hint="default"/>
                      <w:b/>
                      <w:bCs w:val="0"/>
                      <w:sz w:val="18"/>
                      <w:szCs w:val="18"/>
                    </w:rPr>
                  </w:pPr>
                  <w:r>
                    <w:rPr>
                      <w:rFonts w:hint="default"/>
                      <w:b/>
                      <w:bCs w:val="0"/>
                      <w:sz w:val="18"/>
                      <w:szCs w:val="18"/>
                    </w:rPr>
                    <w:t>排放去向</w:t>
                  </w:r>
                </w:p>
              </w:tc>
              <w:tc>
                <w:tcPr>
                  <w:tcW w:w="388" w:type="pct"/>
                  <w:vMerge w:val="restart"/>
                  <w:tcBorders>
                    <w:tl2br w:val="nil"/>
                    <w:tr2bl w:val="nil"/>
                  </w:tcBorders>
                  <w:vAlign w:val="center"/>
                </w:tcPr>
                <w:p w14:paraId="3ED6D55A">
                  <w:pPr>
                    <w:pStyle w:val="59"/>
                    <w:rPr>
                      <w:rFonts w:hint="default"/>
                      <w:b/>
                      <w:bCs w:val="0"/>
                      <w:sz w:val="18"/>
                      <w:szCs w:val="18"/>
                    </w:rPr>
                  </w:pPr>
                  <w:r>
                    <w:rPr>
                      <w:rFonts w:hint="default"/>
                      <w:b/>
                      <w:bCs w:val="0"/>
                      <w:sz w:val="18"/>
                      <w:szCs w:val="18"/>
                    </w:rPr>
                    <w:t>排放规律</w:t>
                  </w:r>
                </w:p>
              </w:tc>
              <w:tc>
                <w:tcPr>
                  <w:tcW w:w="288" w:type="pct"/>
                  <w:vMerge w:val="restart"/>
                  <w:tcBorders>
                    <w:tl2br w:val="nil"/>
                    <w:tr2bl w:val="nil"/>
                  </w:tcBorders>
                  <w:vAlign w:val="center"/>
                </w:tcPr>
                <w:p w14:paraId="52C3BD61">
                  <w:pPr>
                    <w:pStyle w:val="59"/>
                    <w:rPr>
                      <w:rFonts w:hint="default"/>
                      <w:b/>
                      <w:bCs w:val="0"/>
                      <w:sz w:val="18"/>
                      <w:szCs w:val="18"/>
                    </w:rPr>
                  </w:pPr>
                  <w:r>
                    <w:rPr>
                      <w:rFonts w:hint="default"/>
                      <w:b/>
                      <w:bCs w:val="0"/>
                      <w:sz w:val="18"/>
                      <w:szCs w:val="18"/>
                    </w:rPr>
                    <w:t>间歇排放时段</w:t>
                  </w:r>
                </w:p>
              </w:tc>
              <w:tc>
                <w:tcPr>
                  <w:tcW w:w="1686" w:type="pct"/>
                  <w:gridSpan w:val="3"/>
                  <w:tcBorders>
                    <w:tl2br w:val="nil"/>
                    <w:tr2bl w:val="nil"/>
                  </w:tcBorders>
                  <w:vAlign w:val="center"/>
                </w:tcPr>
                <w:p w14:paraId="3A450A5B">
                  <w:pPr>
                    <w:pStyle w:val="59"/>
                    <w:rPr>
                      <w:rFonts w:hint="default"/>
                      <w:b/>
                      <w:bCs w:val="0"/>
                      <w:sz w:val="18"/>
                      <w:szCs w:val="18"/>
                    </w:rPr>
                  </w:pPr>
                  <w:r>
                    <w:rPr>
                      <w:rFonts w:hint="default"/>
                      <w:b/>
                      <w:bCs w:val="0"/>
                      <w:sz w:val="18"/>
                      <w:szCs w:val="18"/>
                    </w:rPr>
                    <w:t>收纳污水处理厂信息</w:t>
                  </w:r>
                </w:p>
              </w:tc>
            </w:tr>
            <w:tr w14:paraId="5CD8859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236" w:type="pct"/>
                  <w:vMerge w:val="continue"/>
                  <w:tcBorders>
                    <w:tl2br w:val="nil"/>
                    <w:tr2bl w:val="nil"/>
                  </w:tcBorders>
                  <w:vAlign w:val="center"/>
                </w:tcPr>
                <w:p w14:paraId="0E8E4918">
                  <w:pPr>
                    <w:pStyle w:val="59"/>
                    <w:rPr>
                      <w:rFonts w:hint="default"/>
                      <w:b/>
                      <w:bCs w:val="0"/>
                      <w:sz w:val="18"/>
                      <w:szCs w:val="18"/>
                    </w:rPr>
                  </w:pPr>
                </w:p>
              </w:tc>
              <w:tc>
                <w:tcPr>
                  <w:tcW w:w="467" w:type="pct"/>
                  <w:vMerge w:val="continue"/>
                  <w:tcBorders>
                    <w:tl2br w:val="nil"/>
                    <w:tr2bl w:val="nil"/>
                  </w:tcBorders>
                  <w:vAlign w:val="center"/>
                </w:tcPr>
                <w:p w14:paraId="0396E355">
                  <w:pPr>
                    <w:pStyle w:val="59"/>
                    <w:rPr>
                      <w:rFonts w:hint="default"/>
                      <w:b/>
                      <w:bCs w:val="0"/>
                      <w:sz w:val="18"/>
                      <w:szCs w:val="18"/>
                    </w:rPr>
                  </w:pPr>
                </w:p>
              </w:tc>
              <w:tc>
                <w:tcPr>
                  <w:tcW w:w="484" w:type="pct"/>
                  <w:tcBorders>
                    <w:tl2br w:val="nil"/>
                    <w:tr2bl w:val="nil"/>
                  </w:tcBorders>
                  <w:vAlign w:val="center"/>
                </w:tcPr>
                <w:p w14:paraId="4E9BDD8A">
                  <w:pPr>
                    <w:pStyle w:val="59"/>
                    <w:rPr>
                      <w:rFonts w:hint="default"/>
                      <w:b/>
                      <w:bCs w:val="0"/>
                      <w:sz w:val="18"/>
                      <w:szCs w:val="18"/>
                    </w:rPr>
                  </w:pPr>
                  <w:r>
                    <w:rPr>
                      <w:rFonts w:hint="default"/>
                      <w:b/>
                      <w:bCs w:val="0"/>
                      <w:sz w:val="18"/>
                      <w:szCs w:val="18"/>
                    </w:rPr>
                    <w:t>经度</w:t>
                  </w:r>
                  <w:r>
                    <w:rPr>
                      <w:b/>
                      <w:bCs w:val="0"/>
                      <w:sz w:val="18"/>
                      <w:szCs w:val="18"/>
                    </w:rPr>
                    <w:t>（°）</w:t>
                  </w:r>
                </w:p>
              </w:tc>
              <w:tc>
                <w:tcPr>
                  <w:tcW w:w="510" w:type="pct"/>
                  <w:tcBorders>
                    <w:tl2br w:val="nil"/>
                    <w:tr2bl w:val="nil"/>
                  </w:tcBorders>
                  <w:vAlign w:val="center"/>
                </w:tcPr>
                <w:p w14:paraId="4C8ED0AC">
                  <w:pPr>
                    <w:pStyle w:val="59"/>
                    <w:rPr>
                      <w:rFonts w:hint="default"/>
                      <w:b/>
                      <w:bCs w:val="0"/>
                      <w:sz w:val="18"/>
                      <w:szCs w:val="18"/>
                    </w:rPr>
                  </w:pPr>
                  <w:r>
                    <w:rPr>
                      <w:rFonts w:hint="default"/>
                      <w:b/>
                      <w:bCs w:val="0"/>
                      <w:sz w:val="18"/>
                      <w:szCs w:val="18"/>
                    </w:rPr>
                    <w:t>纬度</w:t>
                  </w:r>
                  <w:r>
                    <w:rPr>
                      <w:b/>
                      <w:bCs w:val="0"/>
                      <w:sz w:val="18"/>
                      <w:szCs w:val="18"/>
                    </w:rPr>
                    <w:t>（°）</w:t>
                  </w:r>
                </w:p>
              </w:tc>
              <w:tc>
                <w:tcPr>
                  <w:tcW w:w="513" w:type="pct"/>
                  <w:vMerge w:val="continue"/>
                  <w:tcBorders>
                    <w:tl2br w:val="nil"/>
                    <w:tr2bl w:val="nil"/>
                  </w:tcBorders>
                  <w:vAlign w:val="center"/>
                </w:tcPr>
                <w:p w14:paraId="1DE832A6">
                  <w:pPr>
                    <w:pStyle w:val="59"/>
                    <w:rPr>
                      <w:rFonts w:hint="default"/>
                      <w:b/>
                      <w:bCs w:val="0"/>
                      <w:sz w:val="18"/>
                      <w:szCs w:val="18"/>
                    </w:rPr>
                  </w:pPr>
                </w:p>
              </w:tc>
              <w:tc>
                <w:tcPr>
                  <w:tcW w:w="423" w:type="pct"/>
                  <w:vMerge w:val="continue"/>
                  <w:tcBorders>
                    <w:tl2br w:val="nil"/>
                    <w:tr2bl w:val="nil"/>
                  </w:tcBorders>
                  <w:vAlign w:val="center"/>
                </w:tcPr>
                <w:p w14:paraId="6FEBCDD0">
                  <w:pPr>
                    <w:pStyle w:val="59"/>
                    <w:rPr>
                      <w:rFonts w:hint="default"/>
                      <w:b/>
                      <w:bCs w:val="0"/>
                      <w:sz w:val="18"/>
                      <w:szCs w:val="18"/>
                    </w:rPr>
                  </w:pPr>
                </w:p>
              </w:tc>
              <w:tc>
                <w:tcPr>
                  <w:tcW w:w="388" w:type="pct"/>
                  <w:vMerge w:val="continue"/>
                  <w:tcBorders>
                    <w:tl2br w:val="nil"/>
                    <w:tr2bl w:val="nil"/>
                  </w:tcBorders>
                  <w:vAlign w:val="center"/>
                </w:tcPr>
                <w:p w14:paraId="444397A7">
                  <w:pPr>
                    <w:pStyle w:val="59"/>
                    <w:rPr>
                      <w:rFonts w:hint="default"/>
                      <w:b/>
                      <w:bCs w:val="0"/>
                      <w:sz w:val="18"/>
                      <w:szCs w:val="18"/>
                    </w:rPr>
                  </w:pPr>
                </w:p>
              </w:tc>
              <w:tc>
                <w:tcPr>
                  <w:tcW w:w="288" w:type="pct"/>
                  <w:vMerge w:val="continue"/>
                  <w:tcBorders>
                    <w:tl2br w:val="nil"/>
                    <w:tr2bl w:val="nil"/>
                  </w:tcBorders>
                  <w:vAlign w:val="center"/>
                </w:tcPr>
                <w:p w14:paraId="701DBB81">
                  <w:pPr>
                    <w:pStyle w:val="59"/>
                    <w:rPr>
                      <w:rFonts w:hint="default"/>
                      <w:b/>
                      <w:bCs w:val="0"/>
                      <w:sz w:val="18"/>
                      <w:szCs w:val="18"/>
                    </w:rPr>
                  </w:pPr>
                </w:p>
              </w:tc>
              <w:tc>
                <w:tcPr>
                  <w:tcW w:w="321" w:type="pct"/>
                  <w:tcBorders>
                    <w:tl2br w:val="nil"/>
                    <w:tr2bl w:val="nil"/>
                  </w:tcBorders>
                  <w:vAlign w:val="center"/>
                </w:tcPr>
                <w:p w14:paraId="3FAF3BE6">
                  <w:pPr>
                    <w:pStyle w:val="59"/>
                    <w:rPr>
                      <w:rFonts w:hint="default"/>
                      <w:b/>
                      <w:bCs w:val="0"/>
                      <w:sz w:val="18"/>
                      <w:szCs w:val="18"/>
                    </w:rPr>
                  </w:pPr>
                  <w:r>
                    <w:rPr>
                      <w:rFonts w:hint="default"/>
                      <w:b/>
                      <w:bCs w:val="0"/>
                      <w:sz w:val="18"/>
                      <w:szCs w:val="18"/>
                    </w:rPr>
                    <w:t>名称</w:t>
                  </w:r>
                </w:p>
              </w:tc>
              <w:tc>
                <w:tcPr>
                  <w:tcW w:w="531" w:type="pct"/>
                  <w:tcBorders>
                    <w:tl2br w:val="nil"/>
                    <w:tr2bl w:val="nil"/>
                  </w:tcBorders>
                  <w:vAlign w:val="center"/>
                </w:tcPr>
                <w:p w14:paraId="4099C018">
                  <w:pPr>
                    <w:pStyle w:val="59"/>
                    <w:rPr>
                      <w:rFonts w:hint="default"/>
                      <w:b/>
                      <w:bCs w:val="0"/>
                      <w:sz w:val="18"/>
                      <w:szCs w:val="18"/>
                    </w:rPr>
                  </w:pPr>
                  <w:r>
                    <w:rPr>
                      <w:rFonts w:hint="default"/>
                      <w:b/>
                      <w:bCs w:val="0"/>
                      <w:sz w:val="18"/>
                      <w:szCs w:val="18"/>
                    </w:rPr>
                    <w:t>污染物种类</w:t>
                  </w:r>
                </w:p>
              </w:tc>
              <w:tc>
                <w:tcPr>
                  <w:tcW w:w="833" w:type="pct"/>
                  <w:tcBorders>
                    <w:tl2br w:val="nil"/>
                    <w:tr2bl w:val="nil"/>
                  </w:tcBorders>
                  <w:vAlign w:val="center"/>
                </w:tcPr>
                <w:p w14:paraId="656B34E1">
                  <w:pPr>
                    <w:pStyle w:val="59"/>
                    <w:rPr>
                      <w:rFonts w:hint="default"/>
                      <w:b/>
                      <w:bCs w:val="0"/>
                      <w:sz w:val="18"/>
                      <w:szCs w:val="18"/>
                    </w:rPr>
                  </w:pPr>
                  <w:r>
                    <w:rPr>
                      <w:rFonts w:hint="default"/>
                      <w:b/>
                      <w:bCs w:val="0"/>
                      <w:sz w:val="18"/>
                      <w:szCs w:val="18"/>
                    </w:rPr>
                    <w:t>国家或地方污染物排放标准浓度限值（mg/L）</w:t>
                  </w:r>
                </w:p>
              </w:tc>
            </w:tr>
            <w:tr w14:paraId="41D65ED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236" w:type="pct"/>
                  <w:vMerge w:val="restart"/>
                  <w:tcBorders>
                    <w:tl2br w:val="nil"/>
                    <w:tr2bl w:val="nil"/>
                  </w:tcBorders>
                  <w:vAlign w:val="center"/>
                </w:tcPr>
                <w:p w14:paraId="798AA4C2">
                  <w:pPr>
                    <w:pStyle w:val="59"/>
                    <w:rPr>
                      <w:rFonts w:hint="default"/>
                      <w:sz w:val="18"/>
                      <w:szCs w:val="18"/>
                    </w:rPr>
                  </w:pPr>
                  <w:r>
                    <w:rPr>
                      <w:rFonts w:hint="default"/>
                      <w:sz w:val="18"/>
                      <w:szCs w:val="18"/>
                    </w:rPr>
                    <w:t>1</w:t>
                  </w:r>
                </w:p>
              </w:tc>
              <w:tc>
                <w:tcPr>
                  <w:tcW w:w="467" w:type="pct"/>
                  <w:vMerge w:val="restart"/>
                  <w:tcBorders>
                    <w:tl2br w:val="nil"/>
                    <w:tr2bl w:val="nil"/>
                  </w:tcBorders>
                  <w:vAlign w:val="center"/>
                </w:tcPr>
                <w:p w14:paraId="56DFA6AE">
                  <w:pPr>
                    <w:pStyle w:val="59"/>
                    <w:rPr>
                      <w:rFonts w:hint="default"/>
                      <w:sz w:val="18"/>
                      <w:szCs w:val="18"/>
                    </w:rPr>
                  </w:pPr>
                  <w:r>
                    <w:rPr>
                      <w:rFonts w:hint="default"/>
                      <w:sz w:val="18"/>
                      <w:szCs w:val="18"/>
                    </w:rPr>
                    <w:t>DW001</w:t>
                  </w:r>
                </w:p>
              </w:tc>
              <w:tc>
                <w:tcPr>
                  <w:tcW w:w="484" w:type="pct"/>
                  <w:vMerge w:val="restart"/>
                  <w:tcBorders>
                    <w:tl2br w:val="nil"/>
                    <w:tr2bl w:val="nil"/>
                  </w:tcBorders>
                  <w:vAlign w:val="center"/>
                </w:tcPr>
                <w:p w14:paraId="5D0A32F5">
                  <w:pPr>
                    <w:pStyle w:val="59"/>
                    <w:rPr>
                      <w:rFonts w:hint="eastAsia" w:eastAsia="宋体"/>
                      <w:sz w:val="18"/>
                      <w:szCs w:val="18"/>
                      <w:lang w:val="en-US" w:eastAsia="zh-CN"/>
                    </w:rPr>
                  </w:pPr>
                  <w:r>
                    <w:rPr>
                      <w:rFonts w:hint="default"/>
                      <w:sz w:val="18"/>
                      <w:szCs w:val="18"/>
                    </w:rPr>
                    <w:t>134.0466410</w:t>
                  </w:r>
                  <w:r>
                    <w:rPr>
                      <w:rFonts w:hint="eastAsia"/>
                      <w:sz w:val="18"/>
                      <w:szCs w:val="18"/>
                      <w:lang w:val="en-US" w:eastAsia="zh-CN"/>
                    </w:rPr>
                    <w:t>9</w:t>
                  </w:r>
                </w:p>
              </w:tc>
              <w:tc>
                <w:tcPr>
                  <w:tcW w:w="510" w:type="pct"/>
                  <w:vMerge w:val="restart"/>
                  <w:tcBorders>
                    <w:tl2br w:val="nil"/>
                    <w:tr2bl w:val="nil"/>
                  </w:tcBorders>
                  <w:vAlign w:val="center"/>
                </w:tcPr>
                <w:p w14:paraId="6B51C15C">
                  <w:pPr>
                    <w:pStyle w:val="59"/>
                    <w:rPr>
                      <w:rFonts w:hint="default"/>
                      <w:sz w:val="18"/>
                      <w:szCs w:val="18"/>
                    </w:rPr>
                  </w:pPr>
                  <w:r>
                    <w:rPr>
                      <w:rFonts w:hint="default"/>
                      <w:sz w:val="18"/>
                      <w:szCs w:val="18"/>
                    </w:rPr>
                    <w:t>46.96539562</w:t>
                  </w:r>
                </w:p>
              </w:tc>
              <w:tc>
                <w:tcPr>
                  <w:tcW w:w="513" w:type="pct"/>
                  <w:vMerge w:val="restart"/>
                  <w:tcBorders>
                    <w:tl2br w:val="nil"/>
                    <w:tr2bl w:val="nil"/>
                  </w:tcBorders>
                  <w:vAlign w:val="center"/>
                </w:tcPr>
                <w:p w14:paraId="3A73D6E4">
                  <w:pPr>
                    <w:widowControl/>
                    <w:jc w:val="center"/>
                    <w:textAlignment w:val="center"/>
                    <w:rPr>
                      <w:rFonts w:hint="eastAsia" w:ascii="宋体" w:hAnsi="宋体" w:cs="宋体"/>
                      <w:sz w:val="18"/>
                      <w:szCs w:val="18"/>
                    </w:rPr>
                  </w:pPr>
                  <w:r>
                    <w:rPr>
                      <w:rFonts w:hint="eastAsia" w:cs="Times New Roman"/>
                      <w:bCs/>
                      <w:color w:val="auto"/>
                      <w:sz w:val="18"/>
                      <w:szCs w:val="18"/>
                      <w:highlight w:val="none"/>
                      <w:lang w:val="en-US" w:eastAsia="zh-CN"/>
                    </w:rPr>
                    <w:t>2028.26</w:t>
                  </w:r>
                </w:p>
              </w:tc>
              <w:tc>
                <w:tcPr>
                  <w:tcW w:w="423" w:type="pct"/>
                  <w:vMerge w:val="restart"/>
                  <w:tcBorders>
                    <w:tl2br w:val="nil"/>
                    <w:tr2bl w:val="nil"/>
                  </w:tcBorders>
                  <w:vAlign w:val="center"/>
                </w:tcPr>
                <w:p w14:paraId="0907B509">
                  <w:pPr>
                    <w:pStyle w:val="59"/>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饶河县西林子乡污水处理站</w:t>
                  </w:r>
                </w:p>
              </w:tc>
              <w:tc>
                <w:tcPr>
                  <w:tcW w:w="388" w:type="pct"/>
                  <w:vMerge w:val="restart"/>
                  <w:tcBorders>
                    <w:tl2br w:val="nil"/>
                    <w:tr2bl w:val="nil"/>
                  </w:tcBorders>
                  <w:vAlign w:val="center"/>
                </w:tcPr>
                <w:p w14:paraId="07B8C356">
                  <w:pPr>
                    <w:pStyle w:val="59"/>
                    <w:rPr>
                      <w:rFonts w:hint="default" w:ascii="Times New Roman" w:hAnsi="Times New Roman" w:eastAsia="宋体" w:cs="Times New Roman"/>
                      <w:sz w:val="18"/>
                      <w:szCs w:val="18"/>
                    </w:rPr>
                  </w:pPr>
                  <w:r>
                    <w:rPr>
                      <w:rFonts w:ascii="Times New Roman" w:hAnsi="Times New Roman" w:eastAsia="宋体" w:cs="Times New Roman"/>
                      <w:sz w:val="18"/>
                      <w:szCs w:val="18"/>
                    </w:rPr>
                    <w:t>连续</w:t>
                  </w:r>
                  <w:r>
                    <w:rPr>
                      <w:rFonts w:hint="default" w:ascii="Times New Roman" w:hAnsi="Times New Roman" w:eastAsia="宋体" w:cs="Times New Roman"/>
                      <w:sz w:val="18"/>
                      <w:szCs w:val="18"/>
                    </w:rPr>
                    <w:t>排放</w:t>
                  </w:r>
                </w:p>
              </w:tc>
              <w:tc>
                <w:tcPr>
                  <w:tcW w:w="288" w:type="pct"/>
                  <w:vMerge w:val="restart"/>
                  <w:tcBorders>
                    <w:tl2br w:val="nil"/>
                    <w:tr2bl w:val="nil"/>
                  </w:tcBorders>
                  <w:vAlign w:val="center"/>
                </w:tcPr>
                <w:p w14:paraId="562A5C09">
                  <w:pPr>
                    <w:pStyle w:val="59"/>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321" w:type="pct"/>
                  <w:vMerge w:val="restart"/>
                  <w:tcBorders>
                    <w:tl2br w:val="nil"/>
                    <w:tr2bl w:val="nil"/>
                  </w:tcBorders>
                  <w:vAlign w:val="center"/>
                </w:tcPr>
                <w:p w14:paraId="32199C0A">
                  <w:pPr>
                    <w:pStyle w:val="59"/>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饶河县西林子乡污水处理站</w:t>
                  </w:r>
                </w:p>
              </w:tc>
              <w:tc>
                <w:tcPr>
                  <w:tcW w:w="531" w:type="pct"/>
                  <w:tcBorders>
                    <w:tl2br w:val="nil"/>
                    <w:tr2bl w:val="nil"/>
                  </w:tcBorders>
                  <w:vAlign w:val="center"/>
                </w:tcPr>
                <w:p w14:paraId="1B83EC26">
                  <w:pPr>
                    <w:pStyle w:val="59"/>
                    <w:rPr>
                      <w:rFonts w:hint="default"/>
                      <w:sz w:val="18"/>
                      <w:szCs w:val="18"/>
                    </w:rPr>
                  </w:pPr>
                  <w:r>
                    <w:rPr>
                      <w:rFonts w:hint="default"/>
                      <w:sz w:val="18"/>
                      <w:szCs w:val="18"/>
                    </w:rPr>
                    <w:t>COD</w:t>
                  </w:r>
                </w:p>
              </w:tc>
              <w:tc>
                <w:tcPr>
                  <w:tcW w:w="833" w:type="pct"/>
                  <w:tcBorders>
                    <w:tl2br w:val="nil"/>
                    <w:tr2bl w:val="nil"/>
                  </w:tcBorders>
                  <w:vAlign w:val="center"/>
                </w:tcPr>
                <w:p w14:paraId="2F073058">
                  <w:pPr>
                    <w:pStyle w:val="59"/>
                    <w:rPr>
                      <w:rFonts w:hint="default"/>
                      <w:sz w:val="18"/>
                      <w:szCs w:val="18"/>
                    </w:rPr>
                  </w:pPr>
                  <w:r>
                    <w:rPr>
                      <w:sz w:val="18"/>
                      <w:szCs w:val="18"/>
                    </w:rPr>
                    <w:t>50</w:t>
                  </w:r>
                </w:p>
              </w:tc>
            </w:tr>
            <w:tr w14:paraId="2C964FD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236" w:type="pct"/>
                  <w:vMerge w:val="continue"/>
                  <w:tcBorders>
                    <w:tl2br w:val="nil"/>
                    <w:tr2bl w:val="nil"/>
                  </w:tcBorders>
                  <w:vAlign w:val="center"/>
                </w:tcPr>
                <w:p w14:paraId="5800FA6D">
                  <w:pPr>
                    <w:pStyle w:val="59"/>
                    <w:rPr>
                      <w:rFonts w:hint="default"/>
                      <w:sz w:val="18"/>
                      <w:szCs w:val="18"/>
                    </w:rPr>
                  </w:pPr>
                </w:p>
              </w:tc>
              <w:tc>
                <w:tcPr>
                  <w:tcW w:w="467" w:type="pct"/>
                  <w:vMerge w:val="continue"/>
                  <w:tcBorders>
                    <w:tl2br w:val="nil"/>
                    <w:tr2bl w:val="nil"/>
                  </w:tcBorders>
                  <w:vAlign w:val="center"/>
                </w:tcPr>
                <w:p w14:paraId="38941AC3">
                  <w:pPr>
                    <w:pStyle w:val="59"/>
                    <w:rPr>
                      <w:rFonts w:hint="default"/>
                      <w:sz w:val="18"/>
                      <w:szCs w:val="18"/>
                    </w:rPr>
                  </w:pPr>
                </w:p>
              </w:tc>
              <w:tc>
                <w:tcPr>
                  <w:tcW w:w="484" w:type="pct"/>
                  <w:vMerge w:val="continue"/>
                  <w:tcBorders>
                    <w:tl2br w:val="nil"/>
                    <w:tr2bl w:val="nil"/>
                  </w:tcBorders>
                  <w:vAlign w:val="center"/>
                </w:tcPr>
                <w:p w14:paraId="24D38BA6">
                  <w:pPr>
                    <w:pStyle w:val="59"/>
                    <w:rPr>
                      <w:rFonts w:hint="default"/>
                      <w:sz w:val="18"/>
                      <w:szCs w:val="18"/>
                    </w:rPr>
                  </w:pPr>
                </w:p>
              </w:tc>
              <w:tc>
                <w:tcPr>
                  <w:tcW w:w="510" w:type="pct"/>
                  <w:vMerge w:val="continue"/>
                  <w:tcBorders>
                    <w:tl2br w:val="nil"/>
                    <w:tr2bl w:val="nil"/>
                  </w:tcBorders>
                  <w:vAlign w:val="center"/>
                </w:tcPr>
                <w:p w14:paraId="62A12CDB">
                  <w:pPr>
                    <w:pStyle w:val="59"/>
                    <w:rPr>
                      <w:rFonts w:hint="default"/>
                      <w:sz w:val="18"/>
                      <w:szCs w:val="18"/>
                    </w:rPr>
                  </w:pPr>
                </w:p>
              </w:tc>
              <w:tc>
                <w:tcPr>
                  <w:tcW w:w="513" w:type="pct"/>
                  <w:vMerge w:val="continue"/>
                  <w:tcBorders>
                    <w:tl2br w:val="nil"/>
                    <w:tr2bl w:val="nil"/>
                  </w:tcBorders>
                  <w:vAlign w:val="center"/>
                </w:tcPr>
                <w:p w14:paraId="5C42A752">
                  <w:pPr>
                    <w:pStyle w:val="59"/>
                    <w:rPr>
                      <w:rFonts w:hint="default"/>
                      <w:sz w:val="18"/>
                      <w:szCs w:val="18"/>
                    </w:rPr>
                  </w:pPr>
                </w:p>
              </w:tc>
              <w:tc>
                <w:tcPr>
                  <w:tcW w:w="423" w:type="pct"/>
                  <w:vMerge w:val="continue"/>
                  <w:tcBorders>
                    <w:tl2br w:val="nil"/>
                    <w:tr2bl w:val="nil"/>
                  </w:tcBorders>
                  <w:vAlign w:val="center"/>
                </w:tcPr>
                <w:p w14:paraId="0419E5DC">
                  <w:pPr>
                    <w:pStyle w:val="59"/>
                    <w:rPr>
                      <w:rFonts w:hint="default"/>
                      <w:sz w:val="18"/>
                      <w:szCs w:val="18"/>
                    </w:rPr>
                  </w:pPr>
                </w:p>
              </w:tc>
              <w:tc>
                <w:tcPr>
                  <w:tcW w:w="388" w:type="pct"/>
                  <w:vMerge w:val="continue"/>
                  <w:tcBorders>
                    <w:tl2br w:val="nil"/>
                    <w:tr2bl w:val="nil"/>
                  </w:tcBorders>
                  <w:vAlign w:val="center"/>
                </w:tcPr>
                <w:p w14:paraId="7093E011">
                  <w:pPr>
                    <w:pStyle w:val="59"/>
                    <w:rPr>
                      <w:rFonts w:hint="default"/>
                      <w:sz w:val="18"/>
                      <w:szCs w:val="18"/>
                    </w:rPr>
                  </w:pPr>
                </w:p>
              </w:tc>
              <w:tc>
                <w:tcPr>
                  <w:tcW w:w="288" w:type="pct"/>
                  <w:vMerge w:val="continue"/>
                  <w:tcBorders>
                    <w:tl2br w:val="nil"/>
                    <w:tr2bl w:val="nil"/>
                  </w:tcBorders>
                  <w:vAlign w:val="center"/>
                </w:tcPr>
                <w:p w14:paraId="7407E063">
                  <w:pPr>
                    <w:pStyle w:val="59"/>
                    <w:rPr>
                      <w:rFonts w:hint="default"/>
                      <w:sz w:val="18"/>
                      <w:szCs w:val="18"/>
                    </w:rPr>
                  </w:pPr>
                </w:p>
              </w:tc>
              <w:tc>
                <w:tcPr>
                  <w:tcW w:w="321" w:type="pct"/>
                  <w:vMerge w:val="continue"/>
                  <w:tcBorders>
                    <w:tl2br w:val="nil"/>
                    <w:tr2bl w:val="nil"/>
                  </w:tcBorders>
                  <w:vAlign w:val="center"/>
                </w:tcPr>
                <w:p w14:paraId="6D382BAD">
                  <w:pPr>
                    <w:pStyle w:val="59"/>
                    <w:rPr>
                      <w:rFonts w:hint="default"/>
                      <w:sz w:val="18"/>
                      <w:szCs w:val="18"/>
                    </w:rPr>
                  </w:pPr>
                </w:p>
              </w:tc>
              <w:tc>
                <w:tcPr>
                  <w:tcW w:w="531" w:type="pct"/>
                  <w:tcBorders>
                    <w:tl2br w:val="nil"/>
                    <w:tr2bl w:val="nil"/>
                  </w:tcBorders>
                  <w:vAlign w:val="center"/>
                </w:tcPr>
                <w:p w14:paraId="1EF0737A">
                  <w:pPr>
                    <w:pStyle w:val="59"/>
                    <w:rPr>
                      <w:rFonts w:hint="default"/>
                      <w:sz w:val="18"/>
                      <w:szCs w:val="18"/>
                    </w:rPr>
                  </w:pPr>
                  <w:r>
                    <w:rPr>
                      <w:rFonts w:hint="default"/>
                      <w:sz w:val="18"/>
                      <w:szCs w:val="18"/>
                    </w:rPr>
                    <w:t>BOD</w:t>
                  </w:r>
                  <w:r>
                    <w:rPr>
                      <w:rFonts w:hint="default"/>
                      <w:sz w:val="18"/>
                      <w:szCs w:val="18"/>
                      <w:vertAlign w:val="subscript"/>
                    </w:rPr>
                    <w:t>5</w:t>
                  </w:r>
                </w:p>
              </w:tc>
              <w:tc>
                <w:tcPr>
                  <w:tcW w:w="833" w:type="pct"/>
                  <w:tcBorders>
                    <w:tl2br w:val="nil"/>
                    <w:tr2bl w:val="nil"/>
                  </w:tcBorders>
                  <w:vAlign w:val="center"/>
                </w:tcPr>
                <w:p w14:paraId="098ACAE4">
                  <w:pPr>
                    <w:pStyle w:val="59"/>
                    <w:rPr>
                      <w:rFonts w:hint="default"/>
                      <w:sz w:val="18"/>
                      <w:szCs w:val="18"/>
                    </w:rPr>
                  </w:pPr>
                  <w:r>
                    <w:rPr>
                      <w:sz w:val="18"/>
                      <w:szCs w:val="18"/>
                    </w:rPr>
                    <w:t>10</w:t>
                  </w:r>
                </w:p>
              </w:tc>
            </w:tr>
            <w:tr w14:paraId="7297F9D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236" w:type="pct"/>
                  <w:vMerge w:val="continue"/>
                  <w:tcBorders>
                    <w:tl2br w:val="nil"/>
                    <w:tr2bl w:val="nil"/>
                  </w:tcBorders>
                  <w:vAlign w:val="center"/>
                </w:tcPr>
                <w:p w14:paraId="1D80C73D">
                  <w:pPr>
                    <w:pStyle w:val="59"/>
                    <w:rPr>
                      <w:rFonts w:hint="default"/>
                      <w:sz w:val="18"/>
                      <w:szCs w:val="18"/>
                    </w:rPr>
                  </w:pPr>
                </w:p>
              </w:tc>
              <w:tc>
                <w:tcPr>
                  <w:tcW w:w="467" w:type="pct"/>
                  <w:vMerge w:val="continue"/>
                  <w:tcBorders>
                    <w:tl2br w:val="nil"/>
                    <w:tr2bl w:val="nil"/>
                  </w:tcBorders>
                  <w:vAlign w:val="center"/>
                </w:tcPr>
                <w:p w14:paraId="70683F7B">
                  <w:pPr>
                    <w:pStyle w:val="59"/>
                    <w:rPr>
                      <w:rFonts w:hint="default"/>
                      <w:sz w:val="18"/>
                      <w:szCs w:val="18"/>
                    </w:rPr>
                  </w:pPr>
                </w:p>
              </w:tc>
              <w:tc>
                <w:tcPr>
                  <w:tcW w:w="484" w:type="pct"/>
                  <w:vMerge w:val="continue"/>
                  <w:tcBorders>
                    <w:tl2br w:val="nil"/>
                    <w:tr2bl w:val="nil"/>
                  </w:tcBorders>
                  <w:vAlign w:val="center"/>
                </w:tcPr>
                <w:p w14:paraId="6A584718">
                  <w:pPr>
                    <w:pStyle w:val="59"/>
                    <w:rPr>
                      <w:rFonts w:hint="default"/>
                      <w:sz w:val="18"/>
                      <w:szCs w:val="18"/>
                    </w:rPr>
                  </w:pPr>
                </w:p>
              </w:tc>
              <w:tc>
                <w:tcPr>
                  <w:tcW w:w="510" w:type="pct"/>
                  <w:vMerge w:val="continue"/>
                  <w:tcBorders>
                    <w:tl2br w:val="nil"/>
                    <w:tr2bl w:val="nil"/>
                  </w:tcBorders>
                  <w:vAlign w:val="center"/>
                </w:tcPr>
                <w:p w14:paraId="57AC55D5">
                  <w:pPr>
                    <w:pStyle w:val="59"/>
                    <w:rPr>
                      <w:rFonts w:hint="default"/>
                      <w:sz w:val="18"/>
                      <w:szCs w:val="18"/>
                    </w:rPr>
                  </w:pPr>
                </w:p>
              </w:tc>
              <w:tc>
                <w:tcPr>
                  <w:tcW w:w="513" w:type="pct"/>
                  <w:vMerge w:val="continue"/>
                  <w:tcBorders>
                    <w:tl2br w:val="nil"/>
                    <w:tr2bl w:val="nil"/>
                  </w:tcBorders>
                  <w:vAlign w:val="center"/>
                </w:tcPr>
                <w:p w14:paraId="0965BEB9">
                  <w:pPr>
                    <w:pStyle w:val="59"/>
                    <w:rPr>
                      <w:rFonts w:hint="default"/>
                      <w:sz w:val="18"/>
                      <w:szCs w:val="18"/>
                    </w:rPr>
                  </w:pPr>
                </w:p>
              </w:tc>
              <w:tc>
                <w:tcPr>
                  <w:tcW w:w="423" w:type="pct"/>
                  <w:vMerge w:val="continue"/>
                  <w:tcBorders>
                    <w:tl2br w:val="nil"/>
                    <w:tr2bl w:val="nil"/>
                  </w:tcBorders>
                  <w:vAlign w:val="center"/>
                </w:tcPr>
                <w:p w14:paraId="1F5279BA">
                  <w:pPr>
                    <w:pStyle w:val="59"/>
                    <w:rPr>
                      <w:rFonts w:hint="default"/>
                      <w:sz w:val="18"/>
                      <w:szCs w:val="18"/>
                    </w:rPr>
                  </w:pPr>
                </w:p>
              </w:tc>
              <w:tc>
                <w:tcPr>
                  <w:tcW w:w="388" w:type="pct"/>
                  <w:vMerge w:val="continue"/>
                  <w:tcBorders>
                    <w:tl2br w:val="nil"/>
                    <w:tr2bl w:val="nil"/>
                  </w:tcBorders>
                  <w:vAlign w:val="center"/>
                </w:tcPr>
                <w:p w14:paraId="3A14A917">
                  <w:pPr>
                    <w:pStyle w:val="59"/>
                    <w:rPr>
                      <w:rFonts w:hint="default"/>
                      <w:sz w:val="18"/>
                      <w:szCs w:val="18"/>
                    </w:rPr>
                  </w:pPr>
                </w:p>
              </w:tc>
              <w:tc>
                <w:tcPr>
                  <w:tcW w:w="288" w:type="pct"/>
                  <w:vMerge w:val="continue"/>
                  <w:tcBorders>
                    <w:tl2br w:val="nil"/>
                    <w:tr2bl w:val="nil"/>
                  </w:tcBorders>
                  <w:vAlign w:val="center"/>
                </w:tcPr>
                <w:p w14:paraId="45A7AD00">
                  <w:pPr>
                    <w:pStyle w:val="59"/>
                    <w:rPr>
                      <w:rFonts w:hint="default"/>
                      <w:sz w:val="18"/>
                      <w:szCs w:val="18"/>
                    </w:rPr>
                  </w:pPr>
                </w:p>
              </w:tc>
              <w:tc>
                <w:tcPr>
                  <w:tcW w:w="321" w:type="pct"/>
                  <w:vMerge w:val="continue"/>
                  <w:tcBorders>
                    <w:tl2br w:val="nil"/>
                    <w:tr2bl w:val="nil"/>
                  </w:tcBorders>
                  <w:vAlign w:val="center"/>
                </w:tcPr>
                <w:p w14:paraId="4CA4A414">
                  <w:pPr>
                    <w:pStyle w:val="59"/>
                    <w:rPr>
                      <w:rFonts w:hint="default"/>
                      <w:sz w:val="18"/>
                      <w:szCs w:val="18"/>
                    </w:rPr>
                  </w:pPr>
                </w:p>
              </w:tc>
              <w:tc>
                <w:tcPr>
                  <w:tcW w:w="531" w:type="pct"/>
                  <w:tcBorders>
                    <w:tl2br w:val="nil"/>
                    <w:tr2bl w:val="nil"/>
                  </w:tcBorders>
                  <w:vAlign w:val="center"/>
                </w:tcPr>
                <w:p w14:paraId="63376D41">
                  <w:pPr>
                    <w:pStyle w:val="59"/>
                    <w:rPr>
                      <w:rFonts w:hint="default"/>
                      <w:sz w:val="18"/>
                      <w:szCs w:val="18"/>
                    </w:rPr>
                  </w:pPr>
                  <w:r>
                    <w:rPr>
                      <w:rFonts w:hint="default"/>
                      <w:sz w:val="18"/>
                      <w:szCs w:val="18"/>
                    </w:rPr>
                    <w:t>SS</w:t>
                  </w:r>
                </w:p>
              </w:tc>
              <w:tc>
                <w:tcPr>
                  <w:tcW w:w="833" w:type="pct"/>
                  <w:tcBorders>
                    <w:tl2br w:val="nil"/>
                    <w:tr2bl w:val="nil"/>
                  </w:tcBorders>
                  <w:vAlign w:val="center"/>
                </w:tcPr>
                <w:p w14:paraId="60673638">
                  <w:pPr>
                    <w:pStyle w:val="59"/>
                    <w:rPr>
                      <w:rFonts w:hint="default"/>
                      <w:sz w:val="18"/>
                      <w:szCs w:val="18"/>
                    </w:rPr>
                  </w:pPr>
                  <w:r>
                    <w:rPr>
                      <w:sz w:val="18"/>
                      <w:szCs w:val="18"/>
                    </w:rPr>
                    <w:t>10</w:t>
                  </w:r>
                </w:p>
              </w:tc>
            </w:tr>
            <w:tr w14:paraId="19A0C41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236" w:type="pct"/>
                  <w:vMerge w:val="continue"/>
                  <w:tcBorders>
                    <w:tl2br w:val="nil"/>
                    <w:tr2bl w:val="nil"/>
                  </w:tcBorders>
                  <w:vAlign w:val="center"/>
                </w:tcPr>
                <w:p w14:paraId="4B591588">
                  <w:pPr>
                    <w:pStyle w:val="59"/>
                    <w:rPr>
                      <w:rFonts w:hint="default"/>
                      <w:sz w:val="18"/>
                      <w:szCs w:val="18"/>
                    </w:rPr>
                  </w:pPr>
                </w:p>
              </w:tc>
              <w:tc>
                <w:tcPr>
                  <w:tcW w:w="467" w:type="pct"/>
                  <w:vMerge w:val="continue"/>
                  <w:tcBorders>
                    <w:tl2br w:val="nil"/>
                    <w:tr2bl w:val="nil"/>
                  </w:tcBorders>
                  <w:vAlign w:val="center"/>
                </w:tcPr>
                <w:p w14:paraId="339BEDA1">
                  <w:pPr>
                    <w:pStyle w:val="59"/>
                    <w:rPr>
                      <w:rFonts w:hint="default"/>
                      <w:sz w:val="18"/>
                      <w:szCs w:val="18"/>
                    </w:rPr>
                  </w:pPr>
                </w:p>
              </w:tc>
              <w:tc>
                <w:tcPr>
                  <w:tcW w:w="484" w:type="pct"/>
                  <w:vMerge w:val="continue"/>
                  <w:tcBorders>
                    <w:tl2br w:val="nil"/>
                    <w:tr2bl w:val="nil"/>
                  </w:tcBorders>
                  <w:vAlign w:val="center"/>
                </w:tcPr>
                <w:p w14:paraId="7FF8108D">
                  <w:pPr>
                    <w:pStyle w:val="59"/>
                    <w:rPr>
                      <w:rFonts w:hint="default"/>
                      <w:sz w:val="18"/>
                      <w:szCs w:val="18"/>
                    </w:rPr>
                  </w:pPr>
                </w:p>
              </w:tc>
              <w:tc>
                <w:tcPr>
                  <w:tcW w:w="510" w:type="pct"/>
                  <w:vMerge w:val="continue"/>
                  <w:tcBorders>
                    <w:tl2br w:val="nil"/>
                    <w:tr2bl w:val="nil"/>
                  </w:tcBorders>
                  <w:vAlign w:val="center"/>
                </w:tcPr>
                <w:p w14:paraId="6A9FF3F8">
                  <w:pPr>
                    <w:pStyle w:val="59"/>
                    <w:rPr>
                      <w:rFonts w:hint="default"/>
                      <w:sz w:val="18"/>
                      <w:szCs w:val="18"/>
                    </w:rPr>
                  </w:pPr>
                </w:p>
              </w:tc>
              <w:tc>
                <w:tcPr>
                  <w:tcW w:w="513" w:type="pct"/>
                  <w:vMerge w:val="continue"/>
                  <w:tcBorders>
                    <w:tl2br w:val="nil"/>
                    <w:tr2bl w:val="nil"/>
                  </w:tcBorders>
                  <w:vAlign w:val="center"/>
                </w:tcPr>
                <w:p w14:paraId="155F6FF3">
                  <w:pPr>
                    <w:pStyle w:val="59"/>
                    <w:rPr>
                      <w:rFonts w:hint="default"/>
                      <w:sz w:val="18"/>
                      <w:szCs w:val="18"/>
                    </w:rPr>
                  </w:pPr>
                </w:p>
              </w:tc>
              <w:tc>
                <w:tcPr>
                  <w:tcW w:w="423" w:type="pct"/>
                  <w:vMerge w:val="continue"/>
                  <w:tcBorders>
                    <w:tl2br w:val="nil"/>
                    <w:tr2bl w:val="nil"/>
                  </w:tcBorders>
                  <w:vAlign w:val="center"/>
                </w:tcPr>
                <w:p w14:paraId="0956849D">
                  <w:pPr>
                    <w:pStyle w:val="59"/>
                    <w:rPr>
                      <w:rFonts w:hint="default"/>
                      <w:sz w:val="18"/>
                      <w:szCs w:val="18"/>
                    </w:rPr>
                  </w:pPr>
                </w:p>
              </w:tc>
              <w:tc>
                <w:tcPr>
                  <w:tcW w:w="388" w:type="pct"/>
                  <w:vMerge w:val="continue"/>
                  <w:tcBorders>
                    <w:tl2br w:val="nil"/>
                    <w:tr2bl w:val="nil"/>
                  </w:tcBorders>
                  <w:vAlign w:val="center"/>
                </w:tcPr>
                <w:p w14:paraId="572A2B83">
                  <w:pPr>
                    <w:pStyle w:val="59"/>
                    <w:rPr>
                      <w:rFonts w:hint="default"/>
                      <w:sz w:val="18"/>
                      <w:szCs w:val="18"/>
                    </w:rPr>
                  </w:pPr>
                </w:p>
              </w:tc>
              <w:tc>
                <w:tcPr>
                  <w:tcW w:w="288" w:type="pct"/>
                  <w:vMerge w:val="continue"/>
                  <w:tcBorders>
                    <w:tl2br w:val="nil"/>
                    <w:tr2bl w:val="nil"/>
                  </w:tcBorders>
                  <w:vAlign w:val="center"/>
                </w:tcPr>
                <w:p w14:paraId="07D42E70">
                  <w:pPr>
                    <w:pStyle w:val="59"/>
                    <w:rPr>
                      <w:rFonts w:hint="default"/>
                      <w:sz w:val="18"/>
                      <w:szCs w:val="18"/>
                    </w:rPr>
                  </w:pPr>
                </w:p>
              </w:tc>
              <w:tc>
                <w:tcPr>
                  <w:tcW w:w="321" w:type="pct"/>
                  <w:vMerge w:val="continue"/>
                  <w:tcBorders>
                    <w:tl2br w:val="nil"/>
                    <w:tr2bl w:val="nil"/>
                  </w:tcBorders>
                  <w:vAlign w:val="center"/>
                </w:tcPr>
                <w:p w14:paraId="72063D1A">
                  <w:pPr>
                    <w:pStyle w:val="59"/>
                    <w:rPr>
                      <w:rFonts w:hint="default"/>
                      <w:sz w:val="18"/>
                      <w:szCs w:val="18"/>
                    </w:rPr>
                  </w:pPr>
                </w:p>
              </w:tc>
              <w:tc>
                <w:tcPr>
                  <w:tcW w:w="531" w:type="pct"/>
                  <w:tcBorders>
                    <w:tl2br w:val="nil"/>
                    <w:tr2bl w:val="nil"/>
                  </w:tcBorders>
                  <w:vAlign w:val="center"/>
                </w:tcPr>
                <w:p w14:paraId="7462F40C">
                  <w:pPr>
                    <w:pStyle w:val="59"/>
                    <w:rPr>
                      <w:rFonts w:hint="default"/>
                      <w:sz w:val="18"/>
                      <w:szCs w:val="18"/>
                    </w:rPr>
                  </w:pPr>
                  <w:r>
                    <w:rPr>
                      <w:rFonts w:hint="default"/>
                      <w:sz w:val="18"/>
                      <w:szCs w:val="18"/>
                    </w:rPr>
                    <w:t>NH</w:t>
                  </w:r>
                  <w:r>
                    <w:rPr>
                      <w:rFonts w:hint="default"/>
                      <w:sz w:val="18"/>
                      <w:szCs w:val="18"/>
                      <w:vertAlign w:val="subscript"/>
                    </w:rPr>
                    <w:t>3</w:t>
                  </w:r>
                  <w:r>
                    <w:rPr>
                      <w:rFonts w:hint="default"/>
                      <w:sz w:val="18"/>
                      <w:szCs w:val="18"/>
                    </w:rPr>
                    <w:t>-N</w:t>
                  </w:r>
                </w:p>
              </w:tc>
              <w:tc>
                <w:tcPr>
                  <w:tcW w:w="833" w:type="pct"/>
                  <w:tcBorders>
                    <w:tl2br w:val="nil"/>
                    <w:tr2bl w:val="nil"/>
                  </w:tcBorders>
                  <w:vAlign w:val="center"/>
                </w:tcPr>
                <w:p w14:paraId="133955E4">
                  <w:pPr>
                    <w:pStyle w:val="59"/>
                    <w:rPr>
                      <w:rFonts w:hint="default"/>
                      <w:sz w:val="18"/>
                      <w:szCs w:val="18"/>
                    </w:rPr>
                  </w:pPr>
                  <w:r>
                    <w:rPr>
                      <w:rFonts w:hint="default"/>
                      <w:sz w:val="18"/>
                      <w:szCs w:val="18"/>
                    </w:rPr>
                    <w:t>5（8）</w:t>
                  </w:r>
                </w:p>
              </w:tc>
            </w:tr>
          </w:tbl>
          <w:p w14:paraId="478FDCBB">
            <w:pPr>
              <w:pStyle w:val="58"/>
              <w:spacing w:before="120" w:beforeLines="50"/>
              <w:rPr>
                <w:rFonts w:hint="default"/>
              </w:rPr>
            </w:pPr>
            <w:r>
              <w:rPr>
                <w:rFonts w:hint="default"/>
              </w:rPr>
              <w:t>表</w:t>
            </w:r>
            <w:r>
              <w:t>4-</w:t>
            </w:r>
            <w:r>
              <w:rPr>
                <w:rFonts w:hint="eastAsia"/>
                <w:lang w:val="en-US" w:eastAsia="zh-CN"/>
              </w:rPr>
              <w:t>12</w:t>
            </w:r>
            <w:r>
              <w:t xml:space="preserve">  废水污染物排放执行标准表</w:t>
            </w:r>
          </w:p>
          <w:tbl>
            <w:tblPr>
              <w:tblStyle w:val="20"/>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27"/>
              <w:gridCol w:w="1207"/>
              <w:gridCol w:w="2044"/>
              <w:gridCol w:w="3278"/>
              <w:gridCol w:w="1828"/>
            </w:tblGrid>
            <w:tr w14:paraId="18AB20C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296" w:type="pct"/>
                  <w:vMerge w:val="restart"/>
                  <w:tcBorders>
                    <w:tl2br w:val="nil"/>
                    <w:tr2bl w:val="nil"/>
                  </w:tcBorders>
                  <w:vAlign w:val="center"/>
                </w:tcPr>
                <w:p w14:paraId="7513D01E">
                  <w:pPr>
                    <w:pStyle w:val="59"/>
                    <w:rPr>
                      <w:rFonts w:hint="default"/>
                      <w:b/>
                      <w:bCs w:val="0"/>
                      <w:sz w:val="18"/>
                      <w:szCs w:val="18"/>
                    </w:rPr>
                  </w:pPr>
                  <w:r>
                    <w:rPr>
                      <w:b/>
                      <w:bCs w:val="0"/>
                      <w:sz w:val="18"/>
                      <w:szCs w:val="18"/>
                    </w:rPr>
                    <w:t>序号</w:t>
                  </w:r>
                </w:p>
              </w:tc>
              <w:tc>
                <w:tcPr>
                  <w:tcW w:w="679" w:type="pct"/>
                  <w:vMerge w:val="restart"/>
                  <w:tcBorders>
                    <w:tl2br w:val="nil"/>
                    <w:tr2bl w:val="nil"/>
                  </w:tcBorders>
                  <w:vAlign w:val="center"/>
                </w:tcPr>
                <w:p w14:paraId="1423F51B">
                  <w:pPr>
                    <w:pStyle w:val="59"/>
                    <w:rPr>
                      <w:rFonts w:hint="default"/>
                      <w:b/>
                      <w:bCs w:val="0"/>
                      <w:sz w:val="18"/>
                      <w:szCs w:val="18"/>
                    </w:rPr>
                  </w:pPr>
                  <w:r>
                    <w:rPr>
                      <w:b/>
                      <w:bCs w:val="0"/>
                      <w:sz w:val="18"/>
                      <w:szCs w:val="18"/>
                    </w:rPr>
                    <w:t>排放口编号</w:t>
                  </w:r>
                </w:p>
              </w:tc>
              <w:tc>
                <w:tcPr>
                  <w:tcW w:w="1150" w:type="pct"/>
                  <w:vMerge w:val="restart"/>
                  <w:tcBorders>
                    <w:tl2br w:val="nil"/>
                    <w:tr2bl w:val="nil"/>
                  </w:tcBorders>
                  <w:vAlign w:val="center"/>
                </w:tcPr>
                <w:p w14:paraId="427EB6FE">
                  <w:pPr>
                    <w:pStyle w:val="59"/>
                    <w:rPr>
                      <w:rFonts w:hint="default"/>
                      <w:b/>
                      <w:bCs w:val="0"/>
                      <w:sz w:val="18"/>
                      <w:szCs w:val="18"/>
                    </w:rPr>
                  </w:pPr>
                  <w:r>
                    <w:rPr>
                      <w:b/>
                      <w:bCs w:val="0"/>
                      <w:sz w:val="18"/>
                      <w:szCs w:val="18"/>
                    </w:rPr>
                    <w:t>污染物种类</w:t>
                  </w:r>
                </w:p>
              </w:tc>
              <w:tc>
                <w:tcPr>
                  <w:tcW w:w="2873" w:type="pct"/>
                  <w:gridSpan w:val="2"/>
                  <w:tcBorders>
                    <w:tl2br w:val="nil"/>
                    <w:tr2bl w:val="nil"/>
                  </w:tcBorders>
                  <w:vAlign w:val="center"/>
                </w:tcPr>
                <w:p w14:paraId="123F123B">
                  <w:pPr>
                    <w:pStyle w:val="59"/>
                    <w:rPr>
                      <w:rFonts w:hint="default"/>
                      <w:b/>
                      <w:bCs w:val="0"/>
                      <w:sz w:val="18"/>
                      <w:szCs w:val="18"/>
                    </w:rPr>
                  </w:pPr>
                  <w:r>
                    <w:rPr>
                      <w:b/>
                      <w:bCs w:val="0"/>
                      <w:sz w:val="18"/>
                      <w:szCs w:val="18"/>
                    </w:rPr>
                    <w:t>国家或地方污染物排放标准及其他按规定商定的排放协议</w:t>
                  </w:r>
                </w:p>
              </w:tc>
            </w:tr>
            <w:tr w14:paraId="18AD4B9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296" w:type="pct"/>
                  <w:vMerge w:val="continue"/>
                  <w:tcBorders>
                    <w:tl2br w:val="nil"/>
                    <w:tr2bl w:val="nil"/>
                  </w:tcBorders>
                  <w:vAlign w:val="center"/>
                </w:tcPr>
                <w:p w14:paraId="78142BE1">
                  <w:pPr>
                    <w:pStyle w:val="59"/>
                    <w:rPr>
                      <w:rFonts w:hint="default"/>
                      <w:b/>
                      <w:bCs w:val="0"/>
                      <w:sz w:val="18"/>
                      <w:szCs w:val="18"/>
                    </w:rPr>
                  </w:pPr>
                </w:p>
              </w:tc>
              <w:tc>
                <w:tcPr>
                  <w:tcW w:w="679" w:type="pct"/>
                  <w:vMerge w:val="continue"/>
                  <w:tcBorders>
                    <w:tl2br w:val="nil"/>
                    <w:tr2bl w:val="nil"/>
                  </w:tcBorders>
                  <w:vAlign w:val="center"/>
                </w:tcPr>
                <w:p w14:paraId="38E4578A">
                  <w:pPr>
                    <w:pStyle w:val="59"/>
                    <w:rPr>
                      <w:rFonts w:hint="default"/>
                      <w:b/>
                      <w:bCs w:val="0"/>
                      <w:sz w:val="18"/>
                      <w:szCs w:val="18"/>
                    </w:rPr>
                  </w:pPr>
                </w:p>
              </w:tc>
              <w:tc>
                <w:tcPr>
                  <w:tcW w:w="1150" w:type="pct"/>
                  <w:vMerge w:val="continue"/>
                  <w:tcBorders>
                    <w:tl2br w:val="nil"/>
                    <w:tr2bl w:val="nil"/>
                  </w:tcBorders>
                  <w:vAlign w:val="center"/>
                </w:tcPr>
                <w:p w14:paraId="2AFF2C44">
                  <w:pPr>
                    <w:pStyle w:val="59"/>
                    <w:rPr>
                      <w:rFonts w:hint="default"/>
                      <w:b/>
                      <w:bCs w:val="0"/>
                      <w:sz w:val="18"/>
                      <w:szCs w:val="18"/>
                    </w:rPr>
                  </w:pPr>
                </w:p>
              </w:tc>
              <w:tc>
                <w:tcPr>
                  <w:tcW w:w="1844" w:type="pct"/>
                  <w:tcBorders>
                    <w:tl2br w:val="nil"/>
                    <w:tr2bl w:val="nil"/>
                  </w:tcBorders>
                  <w:vAlign w:val="center"/>
                </w:tcPr>
                <w:p w14:paraId="1A51EC18">
                  <w:pPr>
                    <w:pStyle w:val="59"/>
                    <w:rPr>
                      <w:rFonts w:hint="default"/>
                      <w:b/>
                      <w:bCs w:val="0"/>
                      <w:sz w:val="18"/>
                      <w:szCs w:val="18"/>
                    </w:rPr>
                  </w:pPr>
                  <w:r>
                    <w:rPr>
                      <w:b/>
                      <w:bCs w:val="0"/>
                      <w:sz w:val="18"/>
                      <w:szCs w:val="18"/>
                    </w:rPr>
                    <w:t>名称</w:t>
                  </w:r>
                </w:p>
              </w:tc>
              <w:tc>
                <w:tcPr>
                  <w:tcW w:w="1028" w:type="pct"/>
                  <w:tcBorders>
                    <w:tl2br w:val="nil"/>
                    <w:tr2bl w:val="nil"/>
                  </w:tcBorders>
                  <w:vAlign w:val="center"/>
                </w:tcPr>
                <w:p w14:paraId="53DB21D2">
                  <w:pPr>
                    <w:pStyle w:val="59"/>
                    <w:rPr>
                      <w:rFonts w:hint="default"/>
                      <w:b/>
                      <w:bCs w:val="0"/>
                      <w:sz w:val="18"/>
                      <w:szCs w:val="18"/>
                    </w:rPr>
                  </w:pPr>
                  <w:r>
                    <w:rPr>
                      <w:b/>
                      <w:bCs w:val="0"/>
                      <w:sz w:val="18"/>
                      <w:szCs w:val="18"/>
                    </w:rPr>
                    <w:t>浓度限值/（mg/L）</w:t>
                  </w:r>
                </w:p>
              </w:tc>
            </w:tr>
            <w:tr w14:paraId="34604B3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296" w:type="pct"/>
                  <w:vMerge w:val="restart"/>
                  <w:tcBorders>
                    <w:tl2br w:val="nil"/>
                    <w:tr2bl w:val="nil"/>
                  </w:tcBorders>
                  <w:vAlign w:val="center"/>
                </w:tcPr>
                <w:p w14:paraId="4B3A5CBD">
                  <w:pPr>
                    <w:pStyle w:val="59"/>
                    <w:rPr>
                      <w:rFonts w:hint="default"/>
                      <w:sz w:val="18"/>
                      <w:szCs w:val="18"/>
                    </w:rPr>
                  </w:pPr>
                  <w:r>
                    <w:rPr>
                      <w:sz w:val="18"/>
                      <w:szCs w:val="18"/>
                    </w:rPr>
                    <w:t>1</w:t>
                  </w:r>
                </w:p>
              </w:tc>
              <w:tc>
                <w:tcPr>
                  <w:tcW w:w="679" w:type="pct"/>
                  <w:vMerge w:val="restart"/>
                  <w:tcBorders>
                    <w:tl2br w:val="nil"/>
                    <w:tr2bl w:val="nil"/>
                  </w:tcBorders>
                  <w:vAlign w:val="center"/>
                </w:tcPr>
                <w:p w14:paraId="190499ED">
                  <w:pPr>
                    <w:pStyle w:val="59"/>
                    <w:rPr>
                      <w:rFonts w:hint="default"/>
                      <w:sz w:val="18"/>
                      <w:szCs w:val="18"/>
                    </w:rPr>
                  </w:pPr>
                  <w:r>
                    <w:rPr>
                      <w:sz w:val="18"/>
                      <w:szCs w:val="18"/>
                    </w:rPr>
                    <w:t>DW001</w:t>
                  </w:r>
                </w:p>
              </w:tc>
              <w:tc>
                <w:tcPr>
                  <w:tcW w:w="1150" w:type="pct"/>
                  <w:tcBorders>
                    <w:tl2br w:val="nil"/>
                    <w:tr2bl w:val="nil"/>
                  </w:tcBorders>
                  <w:vAlign w:val="center"/>
                </w:tcPr>
                <w:p w14:paraId="6091D5B7">
                  <w:pPr>
                    <w:adjustRightInd w:val="0"/>
                    <w:snapToGrid w:val="0"/>
                    <w:jc w:val="center"/>
                    <w:rPr>
                      <w:sz w:val="18"/>
                      <w:szCs w:val="18"/>
                    </w:rPr>
                  </w:pPr>
                  <w:r>
                    <w:rPr>
                      <w:sz w:val="18"/>
                      <w:szCs w:val="18"/>
                    </w:rPr>
                    <w:t>化学需氧量（COD）</w:t>
                  </w:r>
                </w:p>
              </w:tc>
              <w:tc>
                <w:tcPr>
                  <w:tcW w:w="1844" w:type="pct"/>
                  <w:vMerge w:val="restart"/>
                  <w:tcBorders>
                    <w:tl2br w:val="nil"/>
                    <w:tr2bl w:val="nil"/>
                  </w:tcBorders>
                  <w:vAlign w:val="center"/>
                </w:tcPr>
                <w:p w14:paraId="55C0A54C">
                  <w:pPr>
                    <w:pStyle w:val="59"/>
                    <w:rPr>
                      <w:rFonts w:hint="default"/>
                      <w:sz w:val="18"/>
                      <w:szCs w:val="18"/>
                    </w:rPr>
                  </w:pPr>
                  <w:r>
                    <w:rPr>
                      <w:rFonts w:hint="default"/>
                      <w:sz w:val="18"/>
                      <w:szCs w:val="18"/>
                    </w:rPr>
                    <w:t>《污水综合排放</w:t>
                  </w:r>
                  <w:r>
                    <w:rPr>
                      <w:rFonts w:hint="default" w:ascii="Times New Roman" w:hAnsi="Times New Roman" w:eastAsia="宋体" w:cs="Times New Roman"/>
                      <w:sz w:val="18"/>
                      <w:szCs w:val="18"/>
                    </w:rPr>
                    <w:t>标准》（GB8978-1996）中表4三级标准</w:t>
                  </w:r>
                  <w:r>
                    <w:rPr>
                      <w:rFonts w:hint="eastAsia" w:ascii="Times New Roman" w:hAnsi="Times New Roman" w:eastAsia="宋体" w:cs="Times New Roman"/>
                      <w:sz w:val="18"/>
                      <w:szCs w:val="18"/>
                      <w:lang w:val="en-US" w:eastAsia="zh-CN"/>
                    </w:rPr>
                    <w:t>及饶河县西林子乡污水处理站入水水质浓度</w:t>
                  </w:r>
                </w:p>
              </w:tc>
              <w:tc>
                <w:tcPr>
                  <w:tcW w:w="1828" w:type="dxa"/>
                  <w:tcBorders>
                    <w:tl2br w:val="nil"/>
                    <w:tr2bl w:val="nil"/>
                  </w:tcBorders>
                  <w:vAlign w:val="center"/>
                </w:tcPr>
                <w:p w14:paraId="5A9229F4">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Cs/>
                      <w:kern w:val="0"/>
                      <w:sz w:val="18"/>
                      <w:szCs w:val="18"/>
                    </w:rPr>
                  </w:pPr>
                  <w:r>
                    <w:rPr>
                      <w:rFonts w:hint="eastAsia" w:ascii="Times New Roman" w:hAnsi="Times New Roman" w:eastAsia="宋体" w:cs="Times New Roman"/>
                      <w:b w:val="0"/>
                      <w:bCs w:val="0"/>
                      <w:sz w:val="18"/>
                      <w:szCs w:val="18"/>
                      <w:vertAlign w:val="baseline"/>
                      <w:lang w:val="en-US" w:eastAsia="zh-CN"/>
                    </w:rPr>
                    <w:t>350</w:t>
                  </w:r>
                </w:p>
              </w:tc>
            </w:tr>
            <w:tr w14:paraId="7116F27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296" w:type="pct"/>
                  <w:vMerge w:val="continue"/>
                  <w:tcBorders>
                    <w:tl2br w:val="nil"/>
                    <w:tr2bl w:val="nil"/>
                  </w:tcBorders>
                  <w:vAlign w:val="center"/>
                </w:tcPr>
                <w:p w14:paraId="6D321AB9">
                  <w:pPr>
                    <w:pStyle w:val="59"/>
                    <w:rPr>
                      <w:rFonts w:hint="default"/>
                      <w:sz w:val="18"/>
                      <w:szCs w:val="18"/>
                    </w:rPr>
                  </w:pPr>
                </w:p>
              </w:tc>
              <w:tc>
                <w:tcPr>
                  <w:tcW w:w="679" w:type="pct"/>
                  <w:vMerge w:val="continue"/>
                  <w:tcBorders>
                    <w:tl2br w:val="nil"/>
                    <w:tr2bl w:val="nil"/>
                  </w:tcBorders>
                  <w:vAlign w:val="center"/>
                </w:tcPr>
                <w:p w14:paraId="36382FAE">
                  <w:pPr>
                    <w:pStyle w:val="59"/>
                    <w:rPr>
                      <w:rFonts w:hint="default"/>
                      <w:sz w:val="18"/>
                      <w:szCs w:val="18"/>
                    </w:rPr>
                  </w:pPr>
                </w:p>
              </w:tc>
              <w:tc>
                <w:tcPr>
                  <w:tcW w:w="1150" w:type="pct"/>
                  <w:tcBorders>
                    <w:tl2br w:val="nil"/>
                    <w:tr2bl w:val="nil"/>
                  </w:tcBorders>
                  <w:vAlign w:val="center"/>
                </w:tcPr>
                <w:p w14:paraId="248A0572">
                  <w:pPr>
                    <w:adjustRightInd w:val="0"/>
                    <w:snapToGrid w:val="0"/>
                    <w:jc w:val="center"/>
                    <w:rPr>
                      <w:sz w:val="18"/>
                      <w:szCs w:val="18"/>
                    </w:rPr>
                  </w:pPr>
                  <w:r>
                    <w:rPr>
                      <w:sz w:val="18"/>
                      <w:szCs w:val="18"/>
                    </w:rPr>
                    <w:t>五日生化需氧量（BOD</w:t>
                  </w:r>
                  <w:r>
                    <w:rPr>
                      <w:sz w:val="18"/>
                      <w:szCs w:val="18"/>
                      <w:vertAlign w:val="subscript"/>
                    </w:rPr>
                    <w:t>5</w:t>
                  </w:r>
                  <w:r>
                    <w:rPr>
                      <w:sz w:val="18"/>
                      <w:szCs w:val="18"/>
                    </w:rPr>
                    <w:t>）</w:t>
                  </w:r>
                </w:p>
              </w:tc>
              <w:tc>
                <w:tcPr>
                  <w:tcW w:w="1844" w:type="pct"/>
                  <w:vMerge w:val="continue"/>
                  <w:tcBorders>
                    <w:tl2br w:val="nil"/>
                    <w:tr2bl w:val="nil"/>
                  </w:tcBorders>
                  <w:vAlign w:val="center"/>
                </w:tcPr>
                <w:p w14:paraId="5DFFBB15">
                  <w:pPr>
                    <w:pStyle w:val="59"/>
                    <w:rPr>
                      <w:rFonts w:hint="default"/>
                      <w:sz w:val="18"/>
                      <w:szCs w:val="18"/>
                    </w:rPr>
                  </w:pPr>
                </w:p>
              </w:tc>
              <w:tc>
                <w:tcPr>
                  <w:tcW w:w="1828" w:type="dxa"/>
                  <w:tcBorders>
                    <w:tl2br w:val="nil"/>
                    <w:tr2bl w:val="nil"/>
                  </w:tcBorders>
                  <w:vAlign w:val="center"/>
                </w:tcPr>
                <w:p w14:paraId="36B8F836">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Cs/>
                      <w:kern w:val="0"/>
                      <w:sz w:val="18"/>
                      <w:szCs w:val="18"/>
                    </w:rPr>
                  </w:pPr>
                  <w:r>
                    <w:rPr>
                      <w:rFonts w:hint="eastAsia" w:ascii="Times New Roman" w:hAnsi="Times New Roman" w:eastAsia="宋体" w:cs="Times New Roman"/>
                      <w:b w:val="0"/>
                      <w:bCs w:val="0"/>
                      <w:sz w:val="18"/>
                      <w:szCs w:val="18"/>
                      <w:vertAlign w:val="baseline"/>
                      <w:lang w:val="en-US" w:eastAsia="zh-CN"/>
                    </w:rPr>
                    <w:t>200</w:t>
                  </w:r>
                </w:p>
              </w:tc>
            </w:tr>
            <w:tr w14:paraId="01496CA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296" w:type="pct"/>
                  <w:vMerge w:val="continue"/>
                  <w:tcBorders>
                    <w:tl2br w:val="nil"/>
                    <w:tr2bl w:val="nil"/>
                  </w:tcBorders>
                  <w:vAlign w:val="center"/>
                </w:tcPr>
                <w:p w14:paraId="186026E2">
                  <w:pPr>
                    <w:pStyle w:val="59"/>
                    <w:rPr>
                      <w:rFonts w:hint="default"/>
                      <w:sz w:val="18"/>
                      <w:szCs w:val="18"/>
                    </w:rPr>
                  </w:pPr>
                </w:p>
              </w:tc>
              <w:tc>
                <w:tcPr>
                  <w:tcW w:w="679" w:type="pct"/>
                  <w:vMerge w:val="continue"/>
                  <w:tcBorders>
                    <w:tl2br w:val="nil"/>
                    <w:tr2bl w:val="nil"/>
                  </w:tcBorders>
                  <w:vAlign w:val="center"/>
                </w:tcPr>
                <w:p w14:paraId="3BC05E61">
                  <w:pPr>
                    <w:pStyle w:val="59"/>
                    <w:rPr>
                      <w:rFonts w:hint="default"/>
                      <w:sz w:val="18"/>
                      <w:szCs w:val="18"/>
                    </w:rPr>
                  </w:pPr>
                </w:p>
              </w:tc>
              <w:tc>
                <w:tcPr>
                  <w:tcW w:w="1150" w:type="pct"/>
                  <w:tcBorders>
                    <w:tl2br w:val="nil"/>
                    <w:tr2bl w:val="nil"/>
                  </w:tcBorders>
                  <w:vAlign w:val="center"/>
                </w:tcPr>
                <w:p w14:paraId="5DF18481">
                  <w:pPr>
                    <w:adjustRightInd w:val="0"/>
                    <w:snapToGrid w:val="0"/>
                    <w:jc w:val="center"/>
                    <w:rPr>
                      <w:sz w:val="18"/>
                      <w:szCs w:val="18"/>
                    </w:rPr>
                  </w:pPr>
                  <w:r>
                    <w:rPr>
                      <w:sz w:val="18"/>
                      <w:szCs w:val="18"/>
                    </w:rPr>
                    <w:t>氨氮</w:t>
                  </w:r>
                  <w:r>
                    <w:rPr>
                      <w:rFonts w:hint="eastAsia"/>
                      <w:sz w:val="18"/>
                      <w:szCs w:val="18"/>
                    </w:rPr>
                    <w:t>（</w:t>
                  </w:r>
                  <w:r>
                    <w:rPr>
                      <w:sz w:val="18"/>
                      <w:szCs w:val="18"/>
                    </w:rPr>
                    <w:t>NH</w:t>
                  </w:r>
                  <w:r>
                    <w:rPr>
                      <w:sz w:val="18"/>
                      <w:szCs w:val="18"/>
                      <w:vertAlign w:val="subscript"/>
                    </w:rPr>
                    <w:t>3</w:t>
                  </w:r>
                  <w:r>
                    <w:rPr>
                      <w:sz w:val="18"/>
                      <w:szCs w:val="18"/>
                    </w:rPr>
                    <w:t>-N</w:t>
                  </w:r>
                  <w:r>
                    <w:rPr>
                      <w:rFonts w:hint="eastAsia"/>
                      <w:sz w:val="18"/>
                      <w:szCs w:val="18"/>
                    </w:rPr>
                    <w:t>）</w:t>
                  </w:r>
                </w:p>
              </w:tc>
              <w:tc>
                <w:tcPr>
                  <w:tcW w:w="1844" w:type="pct"/>
                  <w:vMerge w:val="continue"/>
                  <w:tcBorders>
                    <w:tl2br w:val="nil"/>
                    <w:tr2bl w:val="nil"/>
                  </w:tcBorders>
                  <w:vAlign w:val="center"/>
                </w:tcPr>
                <w:p w14:paraId="15753DD4">
                  <w:pPr>
                    <w:pStyle w:val="59"/>
                    <w:rPr>
                      <w:rFonts w:hint="default"/>
                      <w:sz w:val="18"/>
                      <w:szCs w:val="18"/>
                    </w:rPr>
                  </w:pPr>
                </w:p>
              </w:tc>
              <w:tc>
                <w:tcPr>
                  <w:tcW w:w="1828" w:type="dxa"/>
                  <w:tcBorders>
                    <w:tl2br w:val="nil"/>
                    <w:tr2bl w:val="nil"/>
                  </w:tcBorders>
                  <w:vAlign w:val="center"/>
                </w:tcPr>
                <w:p w14:paraId="4DD1B63F">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Cs/>
                      <w:kern w:val="0"/>
                      <w:sz w:val="18"/>
                      <w:szCs w:val="18"/>
                    </w:rPr>
                  </w:pPr>
                  <w:r>
                    <w:rPr>
                      <w:rFonts w:hint="eastAsia" w:ascii="Times New Roman" w:hAnsi="Times New Roman" w:eastAsia="宋体" w:cs="Times New Roman"/>
                      <w:b w:val="0"/>
                      <w:bCs w:val="0"/>
                      <w:sz w:val="18"/>
                      <w:szCs w:val="18"/>
                      <w:vertAlign w:val="baseline"/>
                      <w:lang w:val="en-US" w:eastAsia="zh-CN"/>
                    </w:rPr>
                    <w:t>35</w:t>
                  </w:r>
                </w:p>
              </w:tc>
            </w:tr>
            <w:tr w14:paraId="1128B9B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296" w:type="pct"/>
                  <w:vMerge w:val="continue"/>
                  <w:tcBorders>
                    <w:tl2br w:val="nil"/>
                    <w:tr2bl w:val="nil"/>
                  </w:tcBorders>
                  <w:vAlign w:val="center"/>
                </w:tcPr>
                <w:p w14:paraId="78D8F284">
                  <w:pPr>
                    <w:pStyle w:val="59"/>
                    <w:rPr>
                      <w:rFonts w:hint="default"/>
                      <w:sz w:val="18"/>
                      <w:szCs w:val="18"/>
                    </w:rPr>
                  </w:pPr>
                </w:p>
              </w:tc>
              <w:tc>
                <w:tcPr>
                  <w:tcW w:w="679" w:type="pct"/>
                  <w:vMerge w:val="continue"/>
                  <w:tcBorders>
                    <w:tl2br w:val="nil"/>
                    <w:tr2bl w:val="nil"/>
                  </w:tcBorders>
                  <w:vAlign w:val="center"/>
                </w:tcPr>
                <w:p w14:paraId="35DC9B3B">
                  <w:pPr>
                    <w:pStyle w:val="59"/>
                    <w:rPr>
                      <w:rFonts w:hint="default"/>
                      <w:sz w:val="18"/>
                      <w:szCs w:val="18"/>
                    </w:rPr>
                  </w:pPr>
                </w:p>
              </w:tc>
              <w:tc>
                <w:tcPr>
                  <w:tcW w:w="1150" w:type="pct"/>
                  <w:tcBorders>
                    <w:tl2br w:val="nil"/>
                    <w:tr2bl w:val="nil"/>
                  </w:tcBorders>
                  <w:vAlign w:val="center"/>
                </w:tcPr>
                <w:p w14:paraId="6B3BED63">
                  <w:pPr>
                    <w:adjustRightInd w:val="0"/>
                    <w:snapToGrid w:val="0"/>
                    <w:jc w:val="center"/>
                    <w:rPr>
                      <w:sz w:val="18"/>
                      <w:szCs w:val="18"/>
                    </w:rPr>
                  </w:pPr>
                  <w:r>
                    <w:rPr>
                      <w:sz w:val="18"/>
                      <w:szCs w:val="18"/>
                    </w:rPr>
                    <w:t>悬浮物（SS）</w:t>
                  </w:r>
                </w:p>
              </w:tc>
              <w:tc>
                <w:tcPr>
                  <w:tcW w:w="1844" w:type="pct"/>
                  <w:vMerge w:val="continue"/>
                  <w:tcBorders>
                    <w:tl2br w:val="nil"/>
                    <w:tr2bl w:val="nil"/>
                  </w:tcBorders>
                  <w:vAlign w:val="center"/>
                </w:tcPr>
                <w:p w14:paraId="750EEFB0">
                  <w:pPr>
                    <w:pStyle w:val="59"/>
                    <w:rPr>
                      <w:rFonts w:hint="default"/>
                      <w:sz w:val="18"/>
                      <w:szCs w:val="18"/>
                    </w:rPr>
                  </w:pPr>
                </w:p>
              </w:tc>
              <w:tc>
                <w:tcPr>
                  <w:tcW w:w="1828" w:type="dxa"/>
                  <w:tcBorders>
                    <w:tl2br w:val="nil"/>
                    <w:tr2bl w:val="nil"/>
                  </w:tcBorders>
                  <w:vAlign w:val="center"/>
                </w:tcPr>
                <w:p w14:paraId="590E3589">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Cs/>
                      <w:kern w:val="0"/>
                      <w:sz w:val="18"/>
                      <w:szCs w:val="18"/>
                    </w:rPr>
                  </w:pPr>
                  <w:r>
                    <w:rPr>
                      <w:rFonts w:hint="eastAsia" w:ascii="Times New Roman" w:hAnsi="Times New Roman" w:eastAsia="宋体" w:cs="Times New Roman"/>
                      <w:b w:val="0"/>
                      <w:bCs w:val="0"/>
                      <w:sz w:val="18"/>
                      <w:szCs w:val="18"/>
                      <w:vertAlign w:val="baseline"/>
                      <w:lang w:val="en-US" w:eastAsia="zh-CN"/>
                    </w:rPr>
                    <w:t>200</w:t>
                  </w:r>
                </w:p>
              </w:tc>
            </w:tr>
            <w:tr w14:paraId="3CECD90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296" w:type="pct"/>
                  <w:vMerge w:val="continue"/>
                  <w:tcBorders>
                    <w:tl2br w:val="nil"/>
                    <w:tr2bl w:val="nil"/>
                  </w:tcBorders>
                  <w:vAlign w:val="center"/>
                </w:tcPr>
                <w:p w14:paraId="62686482">
                  <w:pPr>
                    <w:pStyle w:val="59"/>
                    <w:rPr>
                      <w:rFonts w:hint="default"/>
                      <w:sz w:val="18"/>
                      <w:szCs w:val="18"/>
                    </w:rPr>
                  </w:pPr>
                </w:p>
              </w:tc>
              <w:tc>
                <w:tcPr>
                  <w:tcW w:w="679" w:type="pct"/>
                  <w:vMerge w:val="continue"/>
                  <w:tcBorders>
                    <w:tl2br w:val="nil"/>
                    <w:tr2bl w:val="nil"/>
                  </w:tcBorders>
                  <w:vAlign w:val="center"/>
                </w:tcPr>
                <w:p w14:paraId="59E4CBAE">
                  <w:pPr>
                    <w:pStyle w:val="59"/>
                    <w:rPr>
                      <w:rFonts w:hint="default"/>
                      <w:sz w:val="18"/>
                      <w:szCs w:val="18"/>
                    </w:rPr>
                  </w:pPr>
                </w:p>
              </w:tc>
              <w:tc>
                <w:tcPr>
                  <w:tcW w:w="1150" w:type="pct"/>
                  <w:tcBorders>
                    <w:tl2br w:val="nil"/>
                    <w:tr2bl w:val="nil"/>
                  </w:tcBorders>
                  <w:vAlign w:val="center"/>
                </w:tcPr>
                <w:p w14:paraId="3966C71A">
                  <w:pPr>
                    <w:adjustRightInd w:val="0"/>
                    <w:snapToGrid w:val="0"/>
                    <w:jc w:val="center"/>
                    <w:rPr>
                      <w:rFonts w:hint="eastAsia" w:eastAsia="宋体"/>
                      <w:sz w:val="18"/>
                      <w:szCs w:val="18"/>
                      <w:lang w:eastAsia="zh-CN"/>
                    </w:rPr>
                  </w:pPr>
                  <w:r>
                    <w:rPr>
                      <w:rFonts w:hint="eastAsia"/>
                      <w:sz w:val="18"/>
                      <w:szCs w:val="18"/>
                      <w:lang w:val="en-US" w:eastAsia="zh-CN"/>
                    </w:rPr>
                    <w:t>总氮（</w:t>
                  </w:r>
                  <w:r>
                    <w:rPr>
                      <w:rFonts w:hint="eastAsia" w:ascii="Times New Roman" w:hAnsi="Times New Roman" w:eastAsia="宋体" w:cs="Times New Roman"/>
                      <w:sz w:val="18"/>
                      <w:szCs w:val="18"/>
                      <w:lang w:val="en-US" w:eastAsia="zh-CN"/>
                    </w:rPr>
                    <w:t>TN）</w:t>
                  </w:r>
                </w:p>
              </w:tc>
              <w:tc>
                <w:tcPr>
                  <w:tcW w:w="1844" w:type="pct"/>
                  <w:vMerge w:val="continue"/>
                  <w:tcBorders>
                    <w:tl2br w:val="nil"/>
                    <w:tr2bl w:val="nil"/>
                  </w:tcBorders>
                  <w:vAlign w:val="center"/>
                </w:tcPr>
                <w:p w14:paraId="36F0F1B5">
                  <w:pPr>
                    <w:pStyle w:val="59"/>
                    <w:rPr>
                      <w:rFonts w:hint="default"/>
                      <w:sz w:val="18"/>
                      <w:szCs w:val="18"/>
                    </w:rPr>
                  </w:pPr>
                </w:p>
              </w:tc>
              <w:tc>
                <w:tcPr>
                  <w:tcW w:w="1828" w:type="dxa"/>
                  <w:tcBorders>
                    <w:tl2br w:val="nil"/>
                    <w:tr2bl w:val="nil"/>
                  </w:tcBorders>
                  <w:vAlign w:val="center"/>
                </w:tcPr>
                <w:p w14:paraId="54758E9C">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18"/>
                      <w:szCs w:val="18"/>
                    </w:rPr>
                  </w:pPr>
                  <w:r>
                    <w:rPr>
                      <w:rFonts w:hint="eastAsia" w:ascii="Times New Roman" w:hAnsi="Times New Roman" w:eastAsia="宋体" w:cs="Times New Roman"/>
                      <w:b w:val="0"/>
                      <w:bCs w:val="0"/>
                      <w:sz w:val="18"/>
                      <w:szCs w:val="18"/>
                      <w:vertAlign w:val="baseline"/>
                      <w:lang w:val="en-US" w:eastAsia="zh-CN"/>
                    </w:rPr>
                    <w:t>45</w:t>
                  </w:r>
                </w:p>
              </w:tc>
            </w:tr>
            <w:tr w14:paraId="0FAA722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296" w:type="pct"/>
                  <w:vMerge w:val="continue"/>
                  <w:tcBorders>
                    <w:tl2br w:val="nil"/>
                    <w:tr2bl w:val="nil"/>
                  </w:tcBorders>
                  <w:vAlign w:val="center"/>
                </w:tcPr>
                <w:p w14:paraId="654FB484">
                  <w:pPr>
                    <w:pStyle w:val="59"/>
                    <w:rPr>
                      <w:rFonts w:hint="default"/>
                      <w:sz w:val="18"/>
                      <w:szCs w:val="18"/>
                    </w:rPr>
                  </w:pPr>
                </w:p>
              </w:tc>
              <w:tc>
                <w:tcPr>
                  <w:tcW w:w="679" w:type="pct"/>
                  <w:vMerge w:val="continue"/>
                  <w:tcBorders>
                    <w:tl2br w:val="nil"/>
                    <w:tr2bl w:val="nil"/>
                  </w:tcBorders>
                  <w:vAlign w:val="center"/>
                </w:tcPr>
                <w:p w14:paraId="3DCD2244">
                  <w:pPr>
                    <w:pStyle w:val="59"/>
                    <w:rPr>
                      <w:rFonts w:hint="default"/>
                      <w:sz w:val="18"/>
                      <w:szCs w:val="18"/>
                    </w:rPr>
                  </w:pPr>
                </w:p>
              </w:tc>
              <w:tc>
                <w:tcPr>
                  <w:tcW w:w="1150" w:type="pct"/>
                  <w:tcBorders>
                    <w:tl2br w:val="nil"/>
                    <w:tr2bl w:val="nil"/>
                  </w:tcBorders>
                  <w:vAlign w:val="center"/>
                </w:tcPr>
                <w:p w14:paraId="01A85D47">
                  <w:pPr>
                    <w:adjustRightInd w:val="0"/>
                    <w:snapToGrid w:val="0"/>
                    <w:jc w:val="center"/>
                    <w:rPr>
                      <w:rFonts w:hint="eastAsia" w:eastAsia="宋体"/>
                      <w:sz w:val="18"/>
                      <w:szCs w:val="18"/>
                      <w:lang w:eastAsia="zh-CN"/>
                    </w:rPr>
                  </w:pPr>
                  <w:r>
                    <w:rPr>
                      <w:rFonts w:hint="eastAsia"/>
                      <w:sz w:val="18"/>
                      <w:szCs w:val="18"/>
                      <w:lang w:val="en-US" w:eastAsia="zh-CN"/>
                    </w:rPr>
                    <w:t>总磷（TP）</w:t>
                  </w:r>
                </w:p>
              </w:tc>
              <w:tc>
                <w:tcPr>
                  <w:tcW w:w="1844" w:type="pct"/>
                  <w:vMerge w:val="continue"/>
                  <w:tcBorders>
                    <w:tl2br w:val="nil"/>
                    <w:tr2bl w:val="nil"/>
                  </w:tcBorders>
                  <w:vAlign w:val="center"/>
                </w:tcPr>
                <w:p w14:paraId="330F26B7">
                  <w:pPr>
                    <w:pStyle w:val="59"/>
                    <w:rPr>
                      <w:rFonts w:hint="default"/>
                      <w:sz w:val="18"/>
                      <w:szCs w:val="18"/>
                    </w:rPr>
                  </w:pPr>
                </w:p>
              </w:tc>
              <w:tc>
                <w:tcPr>
                  <w:tcW w:w="1828" w:type="dxa"/>
                  <w:tcBorders>
                    <w:tl2br w:val="nil"/>
                    <w:tr2bl w:val="nil"/>
                  </w:tcBorders>
                  <w:vAlign w:val="center"/>
                </w:tcPr>
                <w:p w14:paraId="674CFD9E">
                  <w:pPr>
                    <w:pStyle w:val="5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18"/>
                      <w:szCs w:val="18"/>
                    </w:rPr>
                  </w:pPr>
                  <w:r>
                    <w:rPr>
                      <w:rFonts w:hint="eastAsia" w:ascii="Times New Roman" w:hAnsi="Times New Roman" w:eastAsia="宋体" w:cs="Times New Roman"/>
                      <w:b w:val="0"/>
                      <w:bCs w:val="0"/>
                      <w:sz w:val="18"/>
                      <w:szCs w:val="18"/>
                      <w:vertAlign w:val="baseline"/>
                      <w:lang w:val="en-US" w:eastAsia="zh-CN"/>
                    </w:rPr>
                    <w:t>4.5</w:t>
                  </w:r>
                </w:p>
              </w:tc>
            </w:tr>
          </w:tbl>
          <w:p w14:paraId="18E9F293">
            <w:pPr>
              <w:pStyle w:val="58"/>
              <w:spacing w:before="120" w:beforeLines="50"/>
              <w:rPr>
                <w:rFonts w:hint="default"/>
              </w:rPr>
            </w:pPr>
            <w:r>
              <w:rPr>
                <w:rFonts w:hint="default"/>
              </w:rPr>
              <w:t>表</w:t>
            </w:r>
            <w:r>
              <w:t>4-1</w:t>
            </w:r>
            <w:r>
              <w:rPr>
                <w:rFonts w:hint="eastAsia"/>
                <w:lang w:val="en-US" w:eastAsia="zh-CN"/>
              </w:rPr>
              <w:t>3</w:t>
            </w:r>
            <w:r>
              <w:t xml:space="preserve">  废水污染物排放信息表</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98"/>
              <w:gridCol w:w="1439"/>
              <w:gridCol w:w="1749"/>
              <w:gridCol w:w="1880"/>
              <w:gridCol w:w="1627"/>
              <w:gridCol w:w="1597"/>
            </w:tblGrid>
            <w:tr w14:paraId="5538DD4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336" w:type="pct"/>
                  <w:tcBorders>
                    <w:tl2br w:val="nil"/>
                    <w:tr2bl w:val="nil"/>
                  </w:tcBorders>
                  <w:vAlign w:val="center"/>
                </w:tcPr>
                <w:p w14:paraId="620BB1EA">
                  <w:pPr>
                    <w:pStyle w:val="59"/>
                    <w:rPr>
                      <w:rFonts w:hint="default"/>
                      <w:szCs w:val="21"/>
                    </w:rPr>
                  </w:pPr>
                  <w:r>
                    <w:rPr>
                      <w:szCs w:val="21"/>
                    </w:rPr>
                    <w:t>序号</w:t>
                  </w:r>
                </w:p>
              </w:tc>
              <w:tc>
                <w:tcPr>
                  <w:tcW w:w="809" w:type="pct"/>
                  <w:tcBorders>
                    <w:tl2br w:val="nil"/>
                    <w:tr2bl w:val="nil"/>
                  </w:tcBorders>
                  <w:vAlign w:val="center"/>
                </w:tcPr>
                <w:p w14:paraId="75B546E8">
                  <w:pPr>
                    <w:pStyle w:val="59"/>
                    <w:rPr>
                      <w:rFonts w:hint="default"/>
                      <w:szCs w:val="21"/>
                    </w:rPr>
                  </w:pPr>
                  <w:r>
                    <w:rPr>
                      <w:szCs w:val="21"/>
                    </w:rPr>
                    <w:t>排放口编号</w:t>
                  </w:r>
                </w:p>
              </w:tc>
              <w:tc>
                <w:tcPr>
                  <w:tcW w:w="983" w:type="pct"/>
                  <w:tcBorders>
                    <w:tl2br w:val="nil"/>
                    <w:tr2bl w:val="nil"/>
                  </w:tcBorders>
                  <w:vAlign w:val="center"/>
                </w:tcPr>
                <w:p w14:paraId="466E1782">
                  <w:pPr>
                    <w:pStyle w:val="59"/>
                    <w:rPr>
                      <w:rFonts w:hint="default"/>
                      <w:szCs w:val="21"/>
                    </w:rPr>
                  </w:pPr>
                  <w:r>
                    <w:rPr>
                      <w:szCs w:val="21"/>
                    </w:rPr>
                    <w:t>污染物种类</w:t>
                  </w:r>
                </w:p>
              </w:tc>
              <w:tc>
                <w:tcPr>
                  <w:tcW w:w="1057" w:type="pct"/>
                  <w:tcBorders>
                    <w:tl2br w:val="nil"/>
                    <w:tr2bl w:val="nil"/>
                  </w:tcBorders>
                  <w:vAlign w:val="center"/>
                </w:tcPr>
                <w:p w14:paraId="0888BF5B">
                  <w:pPr>
                    <w:pStyle w:val="59"/>
                    <w:rPr>
                      <w:rFonts w:hint="default"/>
                      <w:szCs w:val="21"/>
                    </w:rPr>
                  </w:pPr>
                  <w:r>
                    <w:rPr>
                      <w:szCs w:val="21"/>
                    </w:rPr>
                    <w:t>排放浓度/（mg/L）</w:t>
                  </w:r>
                </w:p>
              </w:tc>
              <w:tc>
                <w:tcPr>
                  <w:tcW w:w="915" w:type="pct"/>
                  <w:tcBorders>
                    <w:tl2br w:val="nil"/>
                    <w:tr2bl w:val="nil"/>
                  </w:tcBorders>
                  <w:vAlign w:val="center"/>
                </w:tcPr>
                <w:p w14:paraId="0121B378">
                  <w:pPr>
                    <w:pStyle w:val="59"/>
                    <w:rPr>
                      <w:rFonts w:hint="default"/>
                      <w:szCs w:val="21"/>
                    </w:rPr>
                  </w:pPr>
                  <w:r>
                    <w:rPr>
                      <w:szCs w:val="21"/>
                    </w:rPr>
                    <w:t>日排放量/（t/d）</w:t>
                  </w:r>
                </w:p>
              </w:tc>
              <w:tc>
                <w:tcPr>
                  <w:tcW w:w="898" w:type="pct"/>
                  <w:tcBorders>
                    <w:tl2br w:val="nil"/>
                    <w:tr2bl w:val="nil"/>
                  </w:tcBorders>
                  <w:vAlign w:val="center"/>
                </w:tcPr>
                <w:p w14:paraId="04EEB8EC">
                  <w:pPr>
                    <w:pStyle w:val="59"/>
                    <w:rPr>
                      <w:rFonts w:hint="default"/>
                      <w:szCs w:val="21"/>
                    </w:rPr>
                  </w:pPr>
                  <w:r>
                    <w:rPr>
                      <w:szCs w:val="21"/>
                    </w:rPr>
                    <w:t>年排放量/（t/a）</w:t>
                  </w:r>
                </w:p>
              </w:tc>
            </w:tr>
            <w:tr w14:paraId="4E5261B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336" w:type="pct"/>
                  <w:vMerge w:val="restart"/>
                  <w:tcBorders>
                    <w:tl2br w:val="nil"/>
                    <w:tr2bl w:val="nil"/>
                  </w:tcBorders>
                  <w:vAlign w:val="center"/>
                </w:tcPr>
                <w:p w14:paraId="018E8E5A">
                  <w:pPr>
                    <w:pStyle w:val="59"/>
                    <w:rPr>
                      <w:rFonts w:hint="default"/>
                      <w:sz w:val="21"/>
                      <w:szCs w:val="21"/>
                    </w:rPr>
                  </w:pPr>
                  <w:r>
                    <w:rPr>
                      <w:sz w:val="21"/>
                      <w:szCs w:val="21"/>
                    </w:rPr>
                    <w:t>1</w:t>
                  </w:r>
                </w:p>
              </w:tc>
              <w:tc>
                <w:tcPr>
                  <w:tcW w:w="809" w:type="pct"/>
                  <w:vMerge w:val="restart"/>
                  <w:tcBorders>
                    <w:tl2br w:val="nil"/>
                    <w:tr2bl w:val="nil"/>
                  </w:tcBorders>
                  <w:vAlign w:val="center"/>
                </w:tcPr>
                <w:p w14:paraId="54F7CFD6">
                  <w:pPr>
                    <w:pStyle w:val="59"/>
                    <w:rPr>
                      <w:rFonts w:hint="default"/>
                      <w:sz w:val="21"/>
                      <w:szCs w:val="21"/>
                    </w:rPr>
                  </w:pPr>
                  <w:r>
                    <w:rPr>
                      <w:sz w:val="21"/>
                      <w:szCs w:val="21"/>
                    </w:rPr>
                    <w:t>DW001</w:t>
                  </w:r>
                </w:p>
              </w:tc>
              <w:tc>
                <w:tcPr>
                  <w:tcW w:w="983" w:type="pct"/>
                  <w:tcBorders>
                    <w:tl2br w:val="nil"/>
                    <w:tr2bl w:val="nil"/>
                  </w:tcBorders>
                  <w:vAlign w:val="center"/>
                </w:tcPr>
                <w:p w14:paraId="41ED26F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sz w:val="21"/>
                      <w:szCs w:val="21"/>
                    </w:rPr>
                  </w:pPr>
                  <w:r>
                    <w:rPr>
                      <w:rFonts w:hint="default" w:ascii="Times New Roman" w:hAnsi="Times New Roman" w:eastAsia="宋体" w:cs="Times New Roman"/>
                      <w:color w:val="auto"/>
                      <w:sz w:val="21"/>
                      <w:szCs w:val="21"/>
                      <w:highlight w:val="none"/>
                      <w:lang w:val="en-US" w:eastAsia="zh-CN"/>
                    </w:rPr>
                    <w:t>COD</w:t>
                  </w:r>
                  <w:r>
                    <w:rPr>
                      <w:rFonts w:hint="eastAsia" w:cs="Times New Roman"/>
                      <w:color w:val="auto"/>
                      <w:sz w:val="21"/>
                      <w:szCs w:val="21"/>
                      <w:highlight w:val="none"/>
                      <w:vertAlign w:val="subscript"/>
                      <w:lang w:val="en-US" w:eastAsia="zh-CN"/>
                    </w:rPr>
                    <w:t>Cr</w:t>
                  </w:r>
                </w:p>
              </w:tc>
              <w:tc>
                <w:tcPr>
                  <w:tcW w:w="1880" w:type="dxa"/>
                  <w:tcBorders>
                    <w:tl2br w:val="nil"/>
                    <w:tr2bl w:val="nil"/>
                  </w:tcBorders>
                  <w:vAlign w:val="center"/>
                </w:tcPr>
                <w:p w14:paraId="41FD08C8">
                  <w:pPr>
                    <w:keepNext w:val="0"/>
                    <w:keepLines w:val="0"/>
                    <w:pageBreakBefore w:val="0"/>
                    <w:widowControl w:val="0"/>
                    <w:kinsoku/>
                    <w:wordWrap/>
                    <w:overflowPunct/>
                    <w:topLinePunct w:val="0"/>
                    <w:autoSpaceDE/>
                    <w:autoSpaceDN/>
                    <w:bidi w:val="0"/>
                    <w:adjustRightInd/>
                    <w:snapToGrid/>
                    <w:spacing w:line="240" w:lineRule="auto"/>
                    <w:jc w:val="center"/>
                    <w:rPr>
                      <w:bCs/>
                      <w:kern w:val="0"/>
                      <w:sz w:val="21"/>
                      <w:szCs w:val="21"/>
                    </w:rPr>
                  </w:pPr>
                  <w:r>
                    <w:rPr>
                      <w:rFonts w:hint="eastAsia" w:ascii="Times New Roman" w:hAnsi="Times New Roman" w:eastAsia="宋体" w:cs="Times New Roman"/>
                      <w:b w:val="0"/>
                      <w:bCs w:val="0"/>
                      <w:color w:val="auto"/>
                      <w:sz w:val="21"/>
                      <w:szCs w:val="21"/>
                      <w:highlight w:val="none"/>
                      <w:lang w:val="en-US" w:eastAsia="zh-CN"/>
                    </w:rPr>
                    <w:t>89.24</w:t>
                  </w:r>
                </w:p>
              </w:tc>
              <w:tc>
                <w:tcPr>
                  <w:tcW w:w="1627" w:type="dxa"/>
                  <w:tcBorders>
                    <w:tl2br w:val="nil"/>
                    <w:tr2bl w:val="nil"/>
                  </w:tcBorders>
                  <w:vAlign w:val="center"/>
                </w:tcPr>
                <w:p w14:paraId="2346B0D5">
                  <w:pPr>
                    <w:keepNext w:val="0"/>
                    <w:keepLines w:val="0"/>
                    <w:widowControl/>
                    <w:suppressLineNumbers w:val="0"/>
                    <w:jc w:val="center"/>
                    <w:textAlignment w:val="center"/>
                    <w:rPr>
                      <w:rFonts w:hint="default" w:ascii="Times New Roman" w:hAnsi="Times New Roman" w:eastAsia="宋体" w:cs="Times New Roman"/>
                      <w:bCs/>
                      <w:kern w:val="0"/>
                      <w:sz w:val="21"/>
                      <w:szCs w:val="21"/>
                    </w:rPr>
                  </w:pPr>
                  <w:r>
                    <w:rPr>
                      <w:rFonts w:hint="eastAsia" w:ascii="Times New Roman" w:hAnsi="Times New Roman" w:eastAsia="宋体" w:cs="Times New Roman"/>
                      <w:bCs/>
                      <w:kern w:val="0"/>
                      <w:sz w:val="21"/>
                      <w:szCs w:val="21"/>
                      <w:lang w:val="en-US" w:eastAsia="zh-CN"/>
                    </w:rPr>
                    <w:t>0.0008498</w:t>
                  </w:r>
                </w:p>
              </w:tc>
              <w:tc>
                <w:tcPr>
                  <w:tcW w:w="1597" w:type="dxa"/>
                  <w:tcBorders>
                    <w:tl2br w:val="nil"/>
                    <w:tr2bl w:val="nil"/>
                  </w:tcBorders>
                  <w:vAlign w:val="center"/>
                </w:tcPr>
                <w:p w14:paraId="69FA9C7D">
                  <w:pPr>
                    <w:keepNext w:val="0"/>
                    <w:keepLines w:val="0"/>
                    <w:pageBreakBefore w:val="0"/>
                    <w:widowControl w:val="0"/>
                    <w:kinsoku/>
                    <w:wordWrap/>
                    <w:overflowPunct/>
                    <w:topLinePunct w:val="0"/>
                    <w:autoSpaceDE/>
                    <w:autoSpaceDN/>
                    <w:bidi w:val="0"/>
                    <w:adjustRightInd/>
                    <w:snapToGrid/>
                    <w:spacing w:line="240" w:lineRule="auto"/>
                    <w:jc w:val="center"/>
                    <w:rPr>
                      <w:sz w:val="21"/>
                      <w:szCs w:val="21"/>
                    </w:rPr>
                  </w:pPr>
                  <w:r>
                    <w:rPr>
                      <w:rFonts w:hint="eastAsia" w:ascii="Times New Roman" w:hAnsi="Times New Roman" w:eastAsia="宋体" w:cs="Times New Roman"/>
                      <w:bCs/>
                      <w:color w:val="auto"/>
                      <w:sz w:val="21"/>
                      <w:szCs w:val="21"/>
                      <w:highlight w:val="none"/>
                      <w:lang w:val="en-US" w:eastAsia="zh-CN"/>
                    </w:rPr>
                    <w:t>0.181</w:t>
                  </w:r>
                </w:p>
              </w:tc>
            </w:tr>
            <w:tr w14:paraId="2B0D29A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336" w:type="pct"/>
                  <w:vMerge w:val="continue"/>
                  <w:tcBorders>
                    <w:tl2br w:val="nil"/>
                    <w:tr2bl w:val="nil"/>
                  </w:tcBorders>
                  <w:vAlign w:val="center"/>
                </w:tcPr>
                <w:p w14:paraId="497AADEC">
                  <w:pPr>
                    <w:pStyle w:val="59"/>
                    <w:rPr>
                      <w:rFonts w:hint="default"/>
                      <w:sz w:val="21"/>
                      <w:szCs w:val="21"/>
                    </w:rPr>
                  </w:pPr>
                </w:p>
              </w:tc>
              <w:tc>
                <w:tcPr>
                  <w:tcW w:w="809" w:type="pct"/>
                  <w:vMerge w:val="continue"/>
                  <w:tcBorders>
                    <w:tl2br w:val="nil"/>
                    <w:tr2bl w:val="nil"/>
                  </w:tcBorders>
                  <w:vAlign w:val="center"/>
                </w:tcPr>
                <w:p w14:paraId="026F22C9">
                  <w:pPr>
                    <w:pStyle w:val="59"/>
                    <w:rPr>
                      <w:rFonts w:hint="default"/>
                      <w:sz w:val="21"/>
                      <w:szCs w:val="21"/>
                    </w:rPr>
                  </w:pPr>
                </w:p>
              </w:tc>
              <w:tc>
                <w:tcPr>
                  <w:tcW w:w="983" w:type="pct"/>
                  <w:tcBorders>
                    <w:tl2br w:val="nil"/>
                    <w:tr2bl w:val="nil"/>
                  </w:tcBorders>
                  <w:vAlign w:val="center"/>
                </w:tcPr>
                <w:p w14:paraId="7C9629A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sz w:val="21"/>
                      <w:szCs w:val="21"/>
                    </w:rPr>
                  </w:pPr>
                  <w:r>
                    <w:rPr>
                      <w:rFonts w:hint="eastAsia" w:cs="Times New Roman"/>
                      <w:color w:val="auto"/>
                      <w:sz w:val="21"/>
                      <w:szCs w:val="21"/>
                      <w:highlight w:val="none"/>
                      <w:lang w:val="en-US" w:eastAsia="zh-CN"/>
                    </w:rPr>
                    <w:t>BOD</w:t>
                  </w:r>
                  <w:r>
                    <w:rPr>
                      <w:rFonts w:hint="eastAsia" w:cs="Times New Roman"/>
                      <w:color w:val="auto"/>
                      <w:sz w:val="21"/>
                      <w:szCs w:val="21"/>
                      <w:highlight w:val="none"/>
                      <w:vertAlign w:val="subscript"/>
                      <w:lang w:val="en-US" w:eastAsia="zh-CN"/>
                    </w:rPr>
                    <w:t>5</w:t>
                  </w:r>
                </w:p>
              </w:tc>
              <w:tc>
                <w:tcPr>
                  <w:tcW w:w="1880" w:type="dxa"/>
                  <w:tcBorders>
                    <w:tl2br w:val="nil"/>
                    <w:tr2bl w:val="nil"/>
                  </w:tcBorders>
                  <w:vAlign w:val="center"/>
                </w:tcPr>
                <w:p w14:paraId="27C89ABA">
                  <w:pPr>
                    <w:keepNext w:val="0"/>
                    <w:keepLines w:val="0"/>
                    <w:pageBreakBefore w:val="0"/>
                    <w:widowControl w:val="0"/>
                    <w:kinsoku/>
                    <w:wordWrap/>
                    <w:overflowPunct/>
                    <w:topLinePunct w:val="0"/>
                    <w:autoSpaceDE/>
                    <w:autoSpaceDN/>
                    <w:bidi w:val="0"/>
                    <w:adjustRightInd/>
                    <w:snapToGrid/>
                    <w:spacing w:line="240" w:lineRule="auto"/>
                    <w:jc w:val="center"/>
                    <w:rPr>
                      <w:bCs/>
                      <w:kern w:val="0"/>
                      <w:sz w:val="21"/>
                      <w:szCs w:val="21"/>
                    </w:rPr>
                  </w:pPr>
                  <w:r>
                    <w:rPr>
                      <w:rFonts w:hint="eastAsia" w:ascii="Times New Roman" w:hAnsi="Times New Roman" w:eastAsia="宋体" w:cs="Times New Roman"/>
                      <w:b w:val="0"/>
                      <w:bCs w:val="0"/>
                      <w:color w:val="auto"/>
                      <w:sz w:val="21"/>
                      <w:szCs w:val="21"/>
                      <w:highlight w:val="none"/>
                      <w:lang w:val="en-US" w:eastAsia="zh-CN"/>
                    </w:rPr>
                    <w:t>3.45</w:t>
                  </w:r>
                </w:p>
              </w:tc>
              <w:tc>
                <w:tcPr>
                  <w:tcW w:w="1627" w:type="dxa"/>
                  <w:tcBorders>
                    <w:tl2br w:val="nil"/>
                    <w:tr2bl w:val="nil"/>
                  </w:tcBorders>
                  <w:vAlign w:val="center"/>
                </w:tcPr>
                <w:p w14:paraId="55E49ED2">
                  <w:pPr>
                    <w:keepNext w:val="0"/>
                    <w:keepLines w:val="0"/>
                    <w:widowControl/>
                    <w:suppressLineNumbers w:val="0"/>
                    <w:jc w:val="center"/>
                    <w:textAlignment w:val="center"/>
                    <w:rPr>
                      <w:rFonts w:hint="default" w:ascii="Times New Roman" w:hAnsi="Times New Roman" w:eastAsia="宋体" w:cs="Times New Roman"/>
                      <w:bCs/>
                      <w:kern w:val="0"/>
                      <w:sz w:val="21"/>
                      <w:szCs w:val="21"/>
                    </w:rPr>
                  </w:pPr>
                  <w:r>
                    <w:rPr>
                      <w:rFonts w:hint="eastAsia" w:ascii="Times New Roman" w:hAnsi="Times New Roman" w:eastAsia="宋体" w:cs="Times New Roman"/>
                      <w:bCs/>
                      <w:kern w:val="0"/>
                      <w:sz w:val="21"/>
                      <w:szCs w:val="21"/>
                      <w:lang w:val="en-US" w:eastAsia="zh-CN"/>
                    </w:rPr>
                    <w:t>0.0000329</w:t>
                  </w:r>
                </w:p>
              </w:tc>
              <w:tc>
                <w:tcPr>
                  <w:tcW w:w="1597" w:type="dxa"/>
                  <w:tcBorders>
                    <w:tl2br w:val="nil"/>
                    <w:tr2bl w:val="nil"/>
                  </w:tcBorders>
                  <w:vAlign w:val="center"/>
                </w:tcPr>
                <w:p w14:paraId="3EADC28B">
                  <w:pPr>
                    <w:keepNext w:val="0"/>
                    <w:keepLines w:val="0"/>
                    <w:widowControl/>
                    <w:suppressLineNumbers w:val="0"/>
                    <w:jc w:val="center"/>
                    <w:textAlignment w:val="center"/>
                    <w:rPr>
                      <w:sz w:val="21"/>
                      <w:szCs w:val="21"/>
                    </w:rPr>
                  </w:pPr>
                  <w:r>
                    <w:rPr>
                      <w:rFonts w:hint="default" w:ascii="Times New Roman" w:hAnsi="Times New Roman" w:eastAsia="宋体" w:cs="Times New Roman"/>
                      <w:i w:val="0"/>
                      <w:iCs w:val="0"/>
                      <w:color w:val="auto"/>
                      <w:kern w:val="0"/>
                      <w:sz w:val="21"/>
                      <w:szCs w:val="21"/>
                      <w:u w:val="none"/>
                      <w:lang w:val="en-US" w:eastAsia="zh-CN" w:bidi="ar"/>
                    </w:rPr>
                    <w:t>0.007</w:t>
                  </w:r>
                </w:p>
              </w:tc>
            </w:tr>
            <w:tr w14:paraId="17D798F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336" w:type="pct"/>
                  <w:vMerge w:val="continue"/>
                  <w:tcBorders>
                    <w:tl2br w:val="nil"/>
                    <w:tr2bl w:val="nil"/>
                  </w:tcBorders>
                  <w:vAlign w:val="center"/>
                </w:tcPr>
                <w:p w14:paraId="3304FA96">
                  <w:pPr>
                    <w:pStyle w:val="59"/>
                    <w:rPr>
                      <w:rFonts w:hint="default"/>
                      <w:sz w:val="21"/>
                      <w:szCs w:val="21"/>
                    </w:rPr>
                  </w:pPr>
                </w:p>
              </w:tc>
              <w:tc>
                <w:tcPr>
                  <w:tcW w:w="809" w:type="pct"/>
                  <w:vMerge w:val="continue"/>
                  <w:tcBorders>
                    <w:tl2br w:val="nil"/>
                    <w:tr2bl w:val="nil"/>
                  </w:tcBorders>
                  <w:vAlign w:val="center"/>
                </w:tcPr>
                <w:p w14:paraId="610E286D">
                  <w:pPr>
                    <w:pStyle w:val="59"/>
                    <w:rPr>
                      <w:rFonts w:hint="default"/>
                      <w:sz w:val="21"/>
                      <w:szCs w:val="21"/>
                    </w:rPr>
                  </w:pPr>
                </w:p>
              </w:tc>
              <w:tc>
                <w:tcPr>
                  <w:tcW w:w="983" w:type="pct"/>
                  <w:tcBorders>
                    <w:tl2br w:val="nil"/>
                    <w:tr2bl w:val="nil"/>
                  </w:tcBorders>
                  <w:vAlign w:val="center"/>
                </w:tcPr>
                <w:p w14:paraId="7731D8E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sz w:val="21"/>
                      <w:szCs w:val="21"/>
                    </w:rPr>
                  </w:pPr>
                  <w:r>
                    <w:rPr>
                      <w:rFonts w:hint="default" w:ascii="Times New Roman" w:hAnsi="Times New Roman" w:cs="Times New Roman"/>
                      <w:color w:val="auto"/>
                      <w:sz w:val="21"/>
                      <w:szCs w:val="21"/>
                      <w:highlight w:val="none"/>
                      <w:lang w:val="en-US" w:eastAsia="zh-CN"/>
                    </w:rPr>
                    <w:t>NH</w:t>
                  </w:r>
                  <w:r>
                    <w:rPr>
                      <w:rFonts w:hint="default" w:ascii="Times New Roman" w:hAnsi="Times New Roman" w:cs="Times New Roman"/>
                      <w:color w:val="auto"/>
                      <w:sz w:val="21"/>
                      <w:szCs w:val="21"/>
                      <w:highlight w:val="none"/>
                      <w:vertAlign w:val="subscript"/>
                      <w:lang w:val="en-US" w:eastAsia="zh-CN"/>
                    </w:rPr>
                    <w:t>3</w:t>
                  </w:r>
                  <w:r>
                    <w:rPr>
                      <w:rFonts w:hint="default" w:ascii="Times New Roman" w:hAnsi="Times New Roman" w:cs="Times New Roman"/>
                      <w:color w:val="auto"/>
                      <w:sz w:val="21"/>
                      <w:szCs w:val="21"/>
                      <w:highlight w:val="none"/>
                      <w:lang w:val="en-US" w:eastAsia="zh-CN"/>
                    </w:rPr>
                    <w:t>-N</w:t>
                  </w:r>
                </w:p>
              </w:tc>
              <w:tc>
                <w:tcPr>
                  <w:tcW w:w="1880" w:type="dxa"/>
                  <w:tcBorders>
                    <w:tl2br w:val="nil"/>
                    <w:tr2bl w:val="nil"/>
                  </w:tcBorders>
                  <w:vAlign w:val="center"/>
                </w:tcPr>
                <w:p w14:paraId="4E5BFB8D">
                  <w:pPr>
                    <w:keepNext w:val="0"/>
                    <w:keepLines w:val="0"/>
                    <w:pageBreakBefore w:val="0"/>
                    <w:widowControl w:val="0"/>
                    <w:kinsoku/>
                    <w:wordWrap/>
                    <w:overflowPunct/>
                    <w:topLinePunct w:val="0"/>
                    <w:autoSpaceDE/>
                    <w:autoSpaceDN/>
                    <w:bidi w:val="0"/>
                    <w:adjustRightInd/>
                    <w:snapToGrid/>
                    <w:spacing w:line="240" w:lineRule="auto"/>
                    <w:jc w:val="center"/>
                    <w:rPr>
                      <w:bCs/>
                      <w:kern w:val="0"/>
                      <w:sz w:val="21"/>
                      <w:szCs w:val="21"/>
                    </w:rPr>
                  </w:pPr>
                  <w:r>
                    <w:rPr>
                      <w:rFonts w:hint="eastAsia" w:ascii="Times New Roman" w:hAnsi="Times New Roman" w:eastAsia="宋体" w:cs="Times New Roman"/>
                      <w:b w:val="0"/>
                      <w:bCs w:val="0"/>
                      <w:color w:val="auto"/>
                      <w:sz w:val="21"/>
                      <w:szCs w:val="21"/>
                      <w:highlight w:val="none"/>
                      <w:lang w:val="en-US" w:eastAsia="zh-CN"/>
                    </w:rPr>
                    <w:t>0.49</w:t>
                  </w:r>
                </w:p>
              </w:tc>
              <w:tc>
                <w:tcPr>
                  <w:tcW w:w="1627" w:type="dxa"/>
                  <w:tcBorders>
                    <w:tl2br w:val="nil"/>
                    <w:tr2bl w:val="nil"/>
                  </w:tcBorders>
                  <w:vAlign w:val="center"/>
                </w:tcPr>
                <w:p w14:paraId="39CE2903">
                  <w:pPr>
                    <w:keepNext w:val="0"/>
                    <w:keepLines w:val="0"/>
                    <w:widowControl/>
                    <w:suppressLineNumbers w:val="0"/>
                    <w:jc w:val="center"/>
                    <w:textAlignment w:val="center"/>
                    <w:rPr>
                      <w:rFonts w:hint="default" w:ascii="Times New Roman" w:hAnsi="Times New Roman" w:eastAsia="宋体" w:cs="Times New Roman"/>
                      <w:bCs/>
                      <w:kern w:val="0"/>
                      <w:sz w:val="21"/>
                      <w:szCs w:val="21"/>
                    </w:rPr>
                  </w:pPr>
                  <w:r>
                    <w:rPr>
                      <w:rFonts w:hint="eastAsia" w:ascii="Times New Roman" w:hAnsi="Times New Roman" w:eastAsia="宋体" w:cs="Times New Roman"/>
                      <w:bCs/>
                      <w:kern w:val="0"/>
                      <w:sz w:val="21"/>
                      <w:szCs w:val="21"/>
                      <w:lang w:val="en-US" w:eastAsia="zh-CN"/>
                    </w:rPr>
                    <w:t>0.0000047</w:t>
                  </w:r>
                </w:p>
              </w:tc>
              <w:tc>
                <w:tcPr>
                  <w:tcW w:w="1597" w:type="dxa"/>
                  <w:tcBorders>
                    <w:tl2br w:val="nil"/>
                    <w:tr2bl w:val="nil"/>
                  </w:tcBorders>
                  <w:vAlign w:val="center"/>
                </w:tcPr>
                <w:p w14:paraId="35083B4C">
                  <w:pPr>
                    <w:keepNext w:val="0"/>
                    <w:keepLines w:val="0"/>
                    <w:widowControl/>
                    <w:suppressLineNumbers w:val="0"/>
                    <w:jc w:val="center"/>
                    <w:textAlignment w:val="center"/>
                    <w:rPr>
                      <w:sz w:val="21"/>
                      <w:szCs w:val="21"/>
                    </w:rPr>
                  </w:pPr>
                  <w:r>
                    <w:rPr>
                      <w:rFonts w:hint="default" w:ascii="Times New Roman" w:hAnsi="Times New Roman" w:eastAsia="宋体" w:cs="Times New Roman"/>
                      <w:i w:val="0"/>
                      <w:iCs w:val="0"/>
                      <w:color w:val="auto"/>
                      <w:kern w:val="0"/>
                      <w:sz w:val="21"/>
                      <w:szCs w:val="21"/>
                      <w:u w:val="none"/>
                      <w:lang w:val="en-US" w:eastAsia="zh-CN" w:bidi="ar"/>
                    </w:rPr>
                    <w:t>0.001</w:t>
                  </w:r>
                </w:p>
              </w:tc>
            </w:tr>
            <w:tr w14:paraId="33B399B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336" w:type="pct"/>
                  <w:vMerge w:val="continue"/>
                  <w:tcBorders>
                    <w:tl2br w:val="nil"/>
                    <w:tr2bl w:val="nil"/>
                  </w:tcBorders>
                  <w:vAlign w:val="center"/>
                </w:tcPr>
                <w:p w14:paraId="45142B13">
                  <w:pPr>
                    <w:pStyle w:val="59"/>
                    <w:rPr>
                      <w:rFonts w:hint="default"/>
                      <w:sz w:val="21"/>
                      <w:szCs w:val="21"/>
                    </w:rPr>
                  </w:pPr>
                </w:p>
              </w:tc>
              <w:tc>
                <w:tcPr>
                  <w:tcW w:w="809" w:type="pct"/>
                  <w:vMerge w:val="continue"/>
                  <w:tcBorders>
                    <w:tl2br w:val="nil"/>
                    <w:tr2bl w:val="nil"/>
                  </w:tcBorders>
                  <w:vAlign w:val="center"/>
                </w:tcPr>
                <w:p w14:paraId="31C54E98">
                  <w:pPr>
                    <w:pStyle w:val="59"/>
                    <w:rPr>
                      <w:rFonts w:hint="default"/>
                      <w:sz w:val="21"/>
                      <w:szCs w:val="21"/>
                    </w:rPr>
                  </w:pPr>
                </w:p>
              </w:tc>
              <w:tc>
                <w:tcPr>
                  <w:tcW w:w="983" w:type="pct"/>
                  <w:tcBorders>
                    <w:tl2br w:val="nil"/>
                    <w:tr2bl w:val="nil"/>
                  </w:tcBorders>
                  <w:vAlign w:val="center"/>
                </w:tcPr>
                <w:p w14:paraId="7964FD2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sz w:val="21"/>
                      <w:szCs w:val="21"/>
                    </w:rPr>
                  </w:pPr>
                  <w:r>
                    <w:rPr>
                      <w:rFonts w:hint="eastAsia" w:ascii="Times New Roman" w:hAnsi="Times New Roman" w:cs="Times New Roman"/>
                      <w:color w:val="auto"/>
                      <w:sz w:val="21"/>
                      <w:szCs w:val="21"/>
                      <w:highlight w:val="none"/>
                      <w:lang w:val="en-US" w:eastAsia="zh-CN"/>
                    </w:rPr>
                    <w:t>TN</w:t>
                  </w:r>
                </w:p>
              </w:tc>
              <w:tc>
                <w:tcPr>
                  <w:tcW w:w="1880" w:type="dxa"/>
                  <w:tcBorders>
                    <w:tl2br w:val="nil"/>
                    <w:tr2bl w:val="nil"/>
                  </w:tcBorders>
                  <w:vAlign w:val="center"/>
                </w:tcPr>
                <w:p w14:paraId="324FA1A6">
                  <w:pPr>
                    <w:keepNext w:val="0"/>
                    <w:keepLines w:val="0"/>
                    <w:pageBreakBefore w:val="0"/>
                    <w:widowControl w:val="0"/>
                    <w:kinsoku/>
                    <w:wordWrap/>
                    <w:overflowPunct/>
                    <w:topLinePunct w:val="0"/>
                    <w:autoSpaceDE/>
                    <w:autoSpaceDN/>
                    <w:bidi w:val="0"/>
                    <w:adjustRightInd/>
                    <w:snapToGrid/>
                    <w:spacing w:line="240" w:lineRule="auto"/>
                    <w:jc w:val="center"/>
                    <w:rPr>
                      <w:bCs/>
                      <w:kern w:val="0"/>
                      <w:sz w:val="21"/>
                      <w:szCs w:val="21"/>
                    </w:rPr>
                  </w:pPr>
                  <w:r>
                    <w:rPr>
                      <w:rFonts w:hint="eastAsia" w:ascii="Times New Roman" w:hAnsi="Times New Roman" w:eastAsia="宋体" w:cs="Times New Roman"/>
                      <w:b w:val="0"/>
                      <w:bCs w:val="0"/>
                      <w:color w:val="auto"/>
                      <w:sz w:val="21"/>
                      <w:szCs w:val="21"/>
                      <w:highlight w:val="none"/>
                      <w:lang w:val="en-US" w:eastAsia="zh-CN"/>
                    </w:rPr>
                    <w:t>0.49</w:t>
                  </w:r>
                </w:p>
              </w:tc>
              <w:tc>
                <w:tcPr>
                  <w:tcW w:w="1627" w:type="dxa"/>
                  <w:tcBorders>
                    <w:tl2br w:val="nil"/>
                    <w:tr2bl w:val="nil"/>
                  </w:tcBorders>
                  <w:vAlign w:val="center"/>
                </w:tcPr>
                <w:p w14:paraId="33F91BDF">
                  <w:pPr>
                    <w:keepNext w:val="0"/>
                    <w:keepLines w:val="0"/>
                    <w:widowControl/>
                    <w:suppressLineNumbers w:val="0"/>
                    <w:jc w:val="center"/>
                    <w:textAlignment w:val="center"/>
                    <w:rPr>
                      <w:rFonts w:hint="default" w:ascii="Times New Roman" w:hAnsi="Times New Roman" w:eastAsia="宋体" w:cs="Times New Roman"/>
                      <w:bCs/>
                      <w:kern w:val="0"/>
                      <w:sz w:val="21"/>
                      <w:szCs w:val="21"/>
                    </w:rPr>
                  </w:pPr>
                  <w:r>
                    <w:rPr>
                      <w:rFonts w:hint="eastAsia" w:ascii="Times New Roman" w:hAnsi="Times New Roman" w:eastAsia="宋体" w:cs="Times New Roman"/>
                      <w:bCs/>
                      <w:kern w:val="0"/>
                      <w:sz w:val="21"/>
                      <w:szCs w:val="21"/>
                      <w:lang w:val="en-US" w:eastAsia="zh-CN"/>
                    </w:rPr>
                    <w:t>0.0000047</w:t>
                  </w:r>
                </w:p>
              </w:tc>
              <w:tc>
                <w:tcPr>
                  <w:tcW w:w="1597" w:type="dxa"/>
                  <w:tcBorders>
                    <w:tl2br w:val="nil"/>
                    <w:tr2bl w:val="nil"/>
                  </w:tcBorders>
                  <w:vAlign w:val="center"/>
                </w:tcPr>
                <w:p w14:paraId="76AF072F">
                  <w:pPr>
                    <w:keepNext w:val="0"/>
                    <w:keepLines w:val="0"/>
                    <w:widowControl/>
                    <w:suppressLineNumbers w:val="0"/>
                    <w:jc w:val="center"/>
                    <w:textAlignment w:val="center"/>
                    <w:rPr>
                      <w:sz w:val="21"/>
                      <w:szCs w:val="21"/>
                    </w:rPr>
                  </w:pPr>
                  <w:r>
                    <w:rPr>
                      <w:rFonts w:hint="default" w:ascii="Times New Roman" w:hAnsi="Times New Roman" w:eastAsia="宋体" w:cs="Times New Roman"/>
                      <w:i w:val="0"/>
                      <w:iCs w:val="0"/>
                      <w:color w:val="auto"/>
                      <w:kern w:val="0"/>
                      <w:sz w:val="21"/>
                      <w:szCs w:val="21"/>
                      <w:u w:val="none"/>
                      <w:lang w:val="en-US" w:eastAsia="zh-CN" w:bidi="ar"/>
                    </w:rPr>
                    <w:t>0.001</w:t>
                  </w:r>
                </w:p>
              </w:tc>
            </w:tr>
            <w:tr w14:paraId="7D713CD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336" w:type="pct"/>
                  <w:vMerge w:val="continue"/>
                  <w:tcBorders>
                    <w:tl2br w:val="nil"/>
                    <w:tr2bl w:val="nil"/>
                  </w:tcBorders>
                  <w:vAlign w:val="center"/>
                </w:tcPr>
                <w:p w14:paraId="0C1D2D98">
                  <w:pPr>
                    <w:pStyle w:val="59"/>
                    <w:rPr>
                      <w:rFonts w:hint="default"/>
                      <w:sz w:val="21"/>
                      <w:szCs w:val="21"/>
                    </w:rPr>
                  </w:pPr>
                </w:p>
              </w:tc>
              <w:tc>
                <w:tcPr>
                  <w:tcW w:w="809" w:type="pct"/>
                  <w:vMerge w:val="continue"/>
                  <w:tcBorders>
                    <w:tl2br w:val="nil"/>
                    <w:tr2bl w:val="nil"/>
                  </w:tcBorders>
                  <w:vAlign w:val="center"/>
                </w:tcPr>
                <w:p w14:paraId="566ADC76">
                  <w:pPr>
                    <w:pStyle w:val="59"/>
                    <w:rPr>
                      <w:rFonts w:hint="default"/>
                      <w:sz w:val="21"/>
                      <w:szCs w:val="21"/>
                    </w:rPr>
                  </w:pPr>
                </w:p>
              </w:tc>
              <w:tc>
                <w:tcPr>
                  <w:tcW w:w="983" w:type="pct"/>
                  <w:tcBorders>
                    <w:tl2br w:val="nil"/>
                    <w:tr2bl w:val="nil"/>
                  </w:tcBorders>
                  <w:vAlign w:val="center"/>
                </w:tcPr>
                <w:p w14:paraId="5C98763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sz w:val="21"/>
                      <w:szCs w:val="21"/>
                    </w:rPr>
                  </w:pPr>
                  <w:r>
                    <w:rPr>
                      <w:rFonts w:hint="eastAsia" w:ascii="Times New Roman" w:hAnsi="Times New Roman" w:cs="Times New Roman"/>
                      <w:color w:val="auto"/>
                      <w:sz w:val="21"/>
                      <w:szCs w:val="21"/>
                      <w:highlight w:val="none"/>
                      <w:lang w:val="en-US" w:eastAsia="zh-CN"/>
                    </w:rPr>
                    <w:t>TP</w:t>
                  </w:r>
                </w:p>
              </w:tc>
              <w:tc>
                <w:tcPr>
                  <w:tcW w:w="1880" w:type="dxa"/>
                  <w:tcBorders>
                    <w:tl2br w:val="nil"/>
                    <w:tr2bl w:val="nil"/>
                  </w:tcBorders>
                  <w:vAlign w:val="center"/>
                </w:tcPr>
                <w:p w14:paraId="5FFB92D6">
                  <w:pPr>
                    <w:keepNext w:val="0"/>
                    <w:keepLines w:val="0"/>
                    <w:pageBreakBefore w:val="0"/>
                    <w:widowControl w:val="0"/>
                    <w:kinsoku/>
                    <w:wordWrap/>
                    <w:overflowPunct/>
                    <w:topLinePunct w:val="0"/>
                    <w:autoSpaceDE/>
                    <w:autoSpaceDN/>
                    <w:bidi w:val="0"/>
                    <w:adjustRightInd/>
                    <w:snapToGrid/>
                    <w:spacing w:line="240" w:lineRule="auto"/>
                    <w:jc w:val="center"/>
                    <w:rPr>
                      <w:bCs/>
                      <w:kern w:val="0"/>
                      <w:sz w:val="21"/>
                      <w:szCs w:val="21"/>
                    </w:rPr>
                  </w:pPr>
                  <w:r>
                    <w:rPr>
                      <w:rFonts w:hint="eastAsia" w:ascii="Times New Roman" w:hAnsi="Times New Roman" w:eastAsia="宋体" w:cs="Times New Roman"/>
                      <w:b w:val="0"/>
                      <w:bCs w:val="0"/>
                      <w:color w:val="auto"/>
                      <w:sz w:val="21"/>
                      <w:szCs w:val="21"/>
                      <w:highlight w:val="none"/>
                      <w:lang w:val="en-US" w:eastAsia="zh-CN"/>
                    </w:rPr>
                    <w:t>0.05</w:t>
                  </w:r>
                </w:p>
              </w:tc>
              <w:tc>
                <w:tcPr>
                  <w:tcW w:w="1627" w:type="dxa"/>
                  <w:tcBorders>
                    <w:tl2br w:val="nil"/>
                    <w:tr2bl w:val="nil"/>
                  </w:tcBorders>
                  <w:vAlign w:val="center"/>
                </w:tcPr>
                <w:p w14:paraId="513D15CD">
                  <w:pPr>
                    <w:keepNext w:val="0"/>
                    <w:keepLines w:val="0"/>
                    <w:widowControl/>
                    <w:suppressLineNumbers w:val="0"/>
                    <w:jc w:val="center"/>
                    <w:textAlignment w:val="center"/>
                    <w:rPr>
                      <w:rFonts w:hint="default" w:ascii="Times New Roman" w:hAnsi="Times New Roman" w:eastAsia="宋体" w:cs="Times New Roman"/>
                      <w:bCs/>
                      <w:kern w:val="0"/>
                      <w:sz w:val="21"/>
                      <w:szCs w:val="21"/>
                    </w:rPr>
                  </w:pPr>
                  <w:r>
                    <w:rPr>
                      <w:rFonts w:hint="eastAsia" w:ascii="Times New Roman" w:hAnsi="Times New Roman" w:eastAsia="宋体" w:cs="Times New Roman"/>
                      <w:bCs/>
                      <w:kern w:val="0"/>
                      <w:sz w:val="21"/>
                      <w:szCs w:val="21"/>
                      <w:lang w:val="en-US" w:eastAsia="zh-CN"/>
                    </w:rPr>
                    <w:t>0.0000005</w:t>
                  </w:r>
                </w:p>
              </w:tc>
              <w:tc>
                <w:tcPr>
                  <w:tcW w:w="1597" w:type="dxa"/>
                  <w:tcBorders>
                    <w:tl2br w:val="nil"/>
                    <w:tr2bl w:val="nil"/>
                  </w:tcBorders>
                  <w:vAlign w:val="center"/>
                </w:tcPr>
                <w:p w14:paraId="2F7A2F31">
                  <w:pPr>
                    <w:keepNext w:val="0"/>
                    <w:keepLines w:val="0"/>
                    <w:widowControl/>
                    <w:suppressLineNumbers w:val="0"/>
                    <w:jc w:val="center"/>
                    <w:textAlignment w:val="center"/>
                    <w:rPr>
                      <w:sz w:val="21"/>
                      <w:szCs w:val="21"/>
                    </w:rPr>
                  </w:pPr>
                  <w:r>
                    <w:rPr>
                      <w:rFonts w:hint="default" w:ascii="Times New Roman" w:hAnsi="Times New Roman" w:eastAsia="宋体" w:cs="Times New Roman"/>
                      <w:i w:val="0"/>
                      <w:iCs w:val="0"/>
                      <w:color w:val="auto"/>
                      <w:kern w:val="0"/>
                      <w:sz w:val="21"/>
                      <w:szCs w:val="21"/>
                      <w:u w:val="none"/>
                      <w:lang w:val="en-US" w:eastAsia="zh-CN" w:bidi="ar"/>
                    </w:rPr>
                    <w:t>0.0001</w:t>
                  </w:r>
                </w:p>
              </w:tc>
            </w:tr>
            <w:tr w14:paraId="4E503BC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336" w:type="pct"/>
                  <w:vMerge w:val="continue"/>
                  <w:tcBorders>
                    <w:tl2br w:val="nil"/>
                    <w:tr2bl w:val="nil"/>
                  </w:tcBorders>
                  <w:vAlign w:val="center"/>
                </w:tcPr>
                <w:p w14:paraId="2F3245D3">
                  <w:pPr>
                    <w:pStyle w:val="59"/>
                    <w:rPr>
                      <w:rFonts w:hint="default"/>
                      <w:sz w:val="21"/>
                      <w:szCs w:val="21"/>
                    </w:rPr>
                  </w:pPr>
                </w:p>
              </w:tc>
              <w:tc>
                <w:tcPr>
                  <w:tcW w:w="809" w:type="pct"/>
                  <w:vMerge w:val="continue"/>
                  <w:tcBorders>
                    <w:tl2br w:val="nil"/>
                    <w:tr2bl w:val="nil"/>
                  </w:tcBorders>
                  <w:vAlign w:val="center"/>
                </w:tcPr>
                <w:p w14:paraId="2A804586">
                  <w:pPr>
                    <w:pStyle w:val="59"/>
                    <w:rPr>
                      <w:rFonts w:hint="default"/>
                      <w:sz w:val="21"/>
                      <w:szCs w:val="21"/>
                    </w:rPr>
                  </w:pPr>
                </w:p>
              </w:tc>
              <w:tc>
                <w:tcPr>
                  <w:tcW w:w="983" w:type="pct"/>
                  <w:tcBorders>
                    <w:tl2br w:val="nil"/>
                    <w:tr2bl w:val="nil"/>
                  </w:tcBorders>
                  <w:vAlign w:val="center"/>
                </w:tcPr>
                <w:p w14:paraId="0636E92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sz w:val="21"/>
                      <w:szCs w:val="21"/>
                    </w:rPr>
                  </w:pPr>
                  <w:r>
                    <w:rPr>
                      <w:rFonts w:hint="eastAsia" w:cs="Times New Roman"/>
                      <w:color w:val="auto"/>
                      <w:sz w:val="21"/>
                      <w:szCs w:val="21"/>
                      <w:highlight w:val="none"/>
                      <w:lang w:val="en-US" w:eastAsia="zh-CN"/>
                    </w:rPr>
                    <w:t>TDS</w:t>
                  </w:r>
                </w:p>
              </w:tc>
              <w:tc>
                <w:tcPr>
                  <w:tcW w:w="1880" w:type="dxa"/>
                  <w:tcBorders>
                    <w:tl2br w:val="nil"/>
                    <w:tr2bl w:val="nil"/>
                  </w:tcBorders>
                  <w:vAlign w:val="center"/>
                </w:tcPr>
                <w:p w14:paraId="04E44BB7">
                  <w:pPr>
                    <w:keepNext w:val="0"/>
                    <w:keepLines w:val="0"/>
                    <w:pageBreakBefore w:val="0"/>
                    <w:widowControl w:val="0"/>
                    <w:kinsoku/>
                    <w:wordWrap/>
                    <w:overflowPunct/>
                    <w:topLinePunct w:val="0"/>
                    <w:autoSpaceDE/>
                    <w:autoSpaceDN/>
                    <w:bidi w:val="0"/>
                    <w:adjustRightInd/>
                    <w:snapToGrid/>
                    <w:spacing w:line="240" w:lineRule="auto"/>
                    <w:jc w:val="center"/>
                    <w:rPr>
                      <w:rFonts w:hint="eastAsia"/>
                      <w:sz w:val="21"/>
                      <w:szCs w:val="21"/>
                    </w:rPr>
                  </w:pPr>
                  <w:r>
                    <w:rPr>
                      <w:rFonts w:hint="eastAsia" w:ascii="Times New Roman" w:hAnsi="Times New Roman" w:eastAsia="宋体" w:cs="Times New Roman"/>
                      <w:b w:val="0"/>
                      <w:bCs w:val="0"/>
                      <w:color w:val="auto"/>
                      <w:sz w:val="21"/>
                      <w:szCs w:val="21"/>
                      <w:highlight w:val="none"/>
                      <w:lang w:val="en-US" w:eastAsia="zh-CN"/>
                    </w:rPr>
                    <w:t>789.35</w:t>
                  </w:r>
                </w:p>
              </w:tc>
              <w:tc>
                <w:tcPr>
                  <w:tcW w:w="1627" w:type="dxa"/>
                  <w:tcBorders>
                    <w:tl2br w:val="nil"/>
                    <w:tr2bl w:val="nil"/>
                  </w:tcBorders>
                  <w:vAlign w:val="center"/>
                </w:tcPr>
                <w:p w14:paraId="268A1D7C">
                  <w:pPr>
                    <w:keepNext w:val="0"/>
                    <w:keepLines w:val="0"/>
                    <w:widowControl/>
                    <w:suppressLineNumbers w:val="0"/>
                    <w:jc w:val="center"/>
                    <w:textAlignment w:val="center"/>
                    <w:rPr>
                      <w:rFonts w:hint="eastAsia" w:ascii="Times New Roman" w:hAnsi="Times New Roman" w:eastAsia="宋体" w:cs="Times New Roman"/>
                      <w:bCs/>
                      <w:kern w:val="0"/>
                      <w:sz w:val="21"/>
                      <w:szCs w:val="21"/>
                    </w:rPr>
                  </w:pPr>
                  <w:r>
                    <w:rPr>
                      <w:rFonts w:hint="eastAsia" w:ascii="Times New Roman" w:hAnsi="Times New Roman" w:eastAsia="宋体" w:cs="Times New Roman"/>
                      <w:bCs/>
                      <w:kern w:val="0"/>
                      <w:sz w:val="21"/>
                      <w:szCs w:val="21"/>
                      <w:lang w:val="en-US" w:eastAsia="zh-CN"/>
                    </w:rPr>
                    <w:t>0.0075164</w:t>
                  </w:r>
                </w:p>
              </w:tc>
              <w:tc>
                <w:tcPr>
                  <w:tcW w:w="1597" w:type="dxa"/>
                  <w:tcBorders>
                    <w:tl2br w:val="nil"/>
                    <w:tr2bl w:val="nil"/>
                  </w:tcBorders>
                  <w:vAlign w:val="center"/>
                </w:tcPr>
                <w:p w14:paraId="2DCFD81F">
                  <w:pPr>
                    <w:keepNext w:val="0"/>
                    <w:keepLines w:val="0"/>
                    <w:pageBreakBefore w:val="0"/>
                    <w:widowControl w:val="0"/>
                    <w:kinsoku/>
                    <w:wordWrap/>
                    <w:overflowPunct/>
                    <w:topLinePunct w:val="0"/>
                    <w:autoSpaceDE/>
                    <w:autoSpaceDN/>
                    <w:bidi w:val="0"/>
                    <w:adjustRightInd/>
                    <w:snapToGrid/>
                    <w:spacing w:line="240" w:lineRule="auto"/>
                    <w:jc w:val="center"/>
                    <w:rPr>
                      <w:sz w:val="21"/>
                      <w:szCs w:val="21"/>
                    </w:rPr>
                  </w:pPr>
                  <w:r>
                    <w:rPr>
                      <w:rFonts w:hint="eastAsia" w:ascii="Times New Roman" w:hAnsi="Times New Roman" w:eastAsia="宋体" w:cs="Times New Roman"/>
                      <w:bCs/>
                      <w:color w:val="auto"/>
                      <w:sz w:val="21"/>
                      <w:szCs w:val="21"/>
                      <w:highlight w:val="none"/>
                      <w:lang w:val="en-US" w:eastAsia="zh-CN"/>
                    </w:rPr>
                    <w:t>1.601</w:t>
                  </w:r>
                </w:p>
              </w:tc>
            </w:tr>
            <w:tr w14:paraId="0E2389D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5" w:type="pct"/>
                  <w:gridSpan w:val="2"/>
                  <w:vMerge w:val="restart"/>
                  <w:tcBorders>
                    <w:tl2br w:val="nil"/>
                    <w:tr2bl w:val="nil"/>
                  </w:tcBorders>
                  <w:vAlign w:val="center"/>
                </w:tcPr>
                <w:p w14:paraId="7C3826B2">
                  <w:pPr>
                    <w:pStyle w:val="59"/>
                    <w:rPr>
                      <w:rFonts w:hint="default"/>
                      <w:sz w:val="21"/>
                      <w:szCs w:val="21"/>
                    </w:rPr>
                  </w:pPr>
                  <w:r>
                    <w:rPr>
                      <w:sz w:val="21"/>
                      <w:szCs w:val="21"/>
                    </w:rPr>
                    <w:t>排放口合计</w:t>
                  </w:r>
                </w:p>
              </w:tc>
              <w:tc>
                <w:tcPr>
                  <w:tcW w:w="5256" w:type="dxa"/>
                  <w:gridSpan w:val="3"/>
                  <w:tcBorders>
                    <w:tl2br w:val="nil"/>
                    <w:tr2bl w:val="nil"/>
                  </w:tcBorders>
                  <w:vAlign w:val="center"/>
                </w:tcPr>
                <w:p w14:paraId="1131812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sz w:val="21"/>
                      <w:szCs w:val="21"/>
                    </w:rPr>
                  </w:pPr>
                  <w:r>
                    <w:rPr>
                      <w:rFonts w:hint="default" w:ascii="Times New Roman" w:hAnsi="Times New Roman" w:eastAsia="宋体" w:cs="Times New Roman"/>
                      <w:color w:val="auto"/>
                      <w:sz w:val="21"/>
                      <w:szCs w:val="21"/>
                      <w:highlight w:val="none"/>
                      <w:lang w:val="en-US" w:eastAsia="zh-CN"/>
                    </w:rPr>
                    <w:t>COD</w:t>
                  </w:r>
                  <w:r>
                    <w:rPr>
                      <w:rFonts w:hint="eastAsia" w:cs="Times New Roman"/>
                      <w:color w:val="auto"/>
                      <w:sz w:val="21"/>
                      <w:szCs w:val="21"/>
                      <w:highlight w:val="none"/>
                      <w:vertAlign w:val="subscript"/>
                      <w:lang w:val="en-US" w:eastAsia="zh-CN"/>
                    </w:rPr>
                    <w:t>Cr</w:t>
                  </w:r>
                </w:p>
              </w:tc>
              <w:tc>
                <w:tcPr>
                  <w:tcW w:w="1597" w:type="dxa"/>
                  <w:tcBorders>
                    <w:tl2br w:val="nil"/>
                    <w:tr2bl w:val="nil"/>
                  </w:tcBorders>
                  <w:vAlign w:val="center"/>
                </w:tcPr>
                <w:p w14:paraId="3334DD88">
                  <w:pPr>
                    <w:keepNext w:val="0"/>
                    <w:keepLines w:val="0"/>
                    <w:pageBreakBefore w:val="0"/>
                    <w:widowControl w:val="0"/>
                    <w:kinsoku/>
                    <w:wordWrap/>
                    <w:overflowPunct/>
                    <w:topLinePunct w:val="0"/>
                    <w:autoSpaceDE/>
                    <w:autoSpaceDN/>
                    <w:bidi w:val="0"/>
                    <w:adjustRightInd/>
                    <w:snapToGrid/>
                    <w:spacing w:line="240" w:lineRule="auto"/>
                    <w:jc w:val="center"/>
                    <w:rPr>
                      <w:bCs/>
                      <w:kern w:val="0"/>
                      <w:sz w:val="21"/>
                      <w:szCs w:val="21"/>
                    </w:rPr>
                  </w:pPr>
                  <w:r>
                    <w:rPr>
                      <w:rFonts w:hint="eastAsia" w:ascii="Times New Roman" w:hAnsi="Times New Roman" w:eastAsia="宋体" w:cs="Times New Roman"/>
                      <w:bCs/>
                      <w:color w:val="auto"/>
                      <w:sz w:val="21"/>
                      <w:szCs w:val="21"/>
                      <w:highlight w:val="none"/>
                      <w:lang w:val="en-US" w:eastAsia="zh-CN"/>
                    </w:rPr>
                    <w:t>0.181</w:t>
                  </w:r>
                </w:p>
              </w:tc>
            </w:tr>
            <w:tr w14:paraId="7607B7C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5" w:type="pct"/>
                  <w:gridSpan w:val="2"/>
                  <w:vMerge w:val="continue"/>
                  <w:tcBorders>
                    <w:tl2br w:val="nil"/>
                    <w:tr2bl w:val="nil"/>
                  </w:tcBorders>
                  <w:vAlign w:val="center"/>
                </w:tcPr>
                <w:p w14:paraId="046CCCDD">
                  <w:pPr>
                    <w:pStyle w:val="59"/>
                    <w:rPr>
                      <w:rFonts w:hint="default"/>
                      <w:sz w:val="21"/>
                      <w:szCs w:val="21"/>
                    </w:rPr>
                  </w:pPr>
                </w:p>
              </w:tc>
              <w:tc>
                <w:tcPr>
                  <w:tcW w:w="5256" w:type="dxa"/>
                  <w:gridSpan w:val="3"/>
                  <w:tcBorders>
                    <w:tl2br w:val="nil"/>
                    <w:tr2bl w:val="nil"/>
                  </w:tcBorders>
                  <w:vAlign w:val="center"/>
                </w:tcPr>
                <w:p w14:paraId="5CFBEB2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sz w:val="21"/>
                      <w:szCs w:val="21"/>
                    </w:rPr>
                  </w:pPr>
                  <w:r>
                    <w:rPr>
                      <w:rFonts w:hint="eastAsia" w:cs="Times New Roman"/>
                      <w:color w:val="auto"/>
                      <w:sz w:val="21"/>
                      <w:szCs w:val="21"/>
                      <w:highlight w:val="none"/>
                      <w:lang w:val="en-US" w:eastAsia="zh-CN"/>
                    </w:rPr>
                    <w:t>BOD</w:t>
                  </w:r>
                  <w:r>
                    <w:rPr>
                      <w:rFonts w:hint="eastAsia" w:cs="Times New Roman"/>
                      <w:color w:val="auto"/>
                      <w:sz w:val="21"/>
                      <w:szCs w:val="21"/>
                      <w:highlight w:val="none"/>
                      <w:vertAlign w:val="subscript"/>
                      <w:lang w:val="en-US" w:eastAsia="zh-CN"/>
                    </w:rPr>
                    <w:t>5</w:t>
                  </w:r>
                </w:p>
              </w:tc>
              <w:tc>
                <w:tcPr>
                  <w:tcW w:w="1597" w:type="dxa"/>
                  <w:tcBorders>
                    <w:tl2br w:val="nil"/>
                    <w:tr2bl w:val="nil"/>
                  </w:tcBorders>
                  <w:vAlign w:val="center"/>
                </w:tcPr>
                <w:p w14:paraId="4778880A">
                  <w:pPr>
                    <w:keepNext w:val="0"/>
                    <w:keepLines w:val="0"/>
                    <w:widowControl/>
                    <w:suppressLineNumbers w:val="0"/>
                    <w:jc w:val="center"/>
                    <w:textAlignment w:val="center"/>
                    <w:rPr>
                      <w:bCs/>
                      <w:kern w:val="0"/>
                      <w:sz w:val="21"/>
                      <w:szCs w:val="21"/>
                    </w:rPr>
                  </w:pPr>
                  <w:r>
                    <w:rPr>
                      <w:rFonts w:hint="default" w:ascii="Times New Roman" w:hAnsi="Times New Roman" w:eastAsia="宋体" w:cs="Times New Roman"/>
                      <w:i w:val="0"/>
                      <w:iCs w:val="0"/>
                      <w:color w:val="auto"/>
                      <w:kern w:val="0"/>
                      <w:sz w:val="21"/>
                      <w:szCs w:val="21"/>
                      <w:u w:val="none"/>
                      <w:lang w:val="en-US" w:eastAsia="zh-CN" w:bidi="ar"/>
                    </w:rPr>
                    <w:t>0.007</w:t>
                  </w:r>
                </w:p>
              </w:tc>
            </w:tr>
            <w:tr w14:paraId="765AD4C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5" w:type="pct"/>
                  <w:gridSpan w:val="2"/>
                  <w:vMerge w:val="continue"/>
                  <w:tcBorders>
                    <w:tl2br w:val="nil"/>
                    <w:tr2bl w:val="nil"/>
                  </w:tcBorders>
                  <w:vAlign w:val="center"/>
                </w:tcPr>
                <w:p w14:paraId="21234150">
                  <w:pPr>
                    <w:pStyle w:val="59"/>
                    <w:rPr>
                      <w:rFonts w:hint="default"/>
                      <w:sz w:val="21"/>
                      <w:szCs w:val="21"/>
                    </w:rPr>
                  </w:pPr>
                </w:p>
              </w:tc>
              <w:tc>
                <w:tcPr>
                  <w:tcW w:w="5256" w:type="dxa"/>
                  <w:gridSpan w:val="3"/>
                  <w:tcBorders>
                    <w:tl2br w:val="nil"/>
                    <w:tr2bl w:val="nil"/>
                  </w:tcBorders>
                  <w:vAlign w:val="center"/>
                </w:tcPr>
                <w:p w14:paraId="608D6E0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sz w:val="21"/>
                      <w:szCs w:val="21"/>
                    </w:rPr>
                  </w:pPr>
                  <w:r>
                    <w:rPr>
                      <w:rFonts w:hint="default" w:ascii="Times New Roman" w:hAnsi="Times New Roman" w:cs="Times New Roman"/>
                      <w:color w:val="auto"/>
                      <w:sz w:val="21"/>
                      <w:szCs w:val="21"/>
                      <w:highlight w:val="none"/>
                      <w:lang w:val="en-US" w:eastAsia="zh-CN"/>
                    </w:rPr>
                    <w:t>NH</w:t>
                  </w:r>
                  <w:r>
                    <w:rPr>
                      <w:rFonts w:hint="default" w:ascii="Times New Roman" w:hAnsi="Times New Roman" w:cs="Times New Roman"/>
                      <w:color w:val="auto"/>
                      <w:sz w:val="21"/>
                      <w:szCs w:val="21"/>
                      <w:highlight w:val="none"/>
                      <w:vertAlign w:val="subscript"/>
                      <w:lang w:val="en-US" w:eastAsia="zh-CN"/>
                    </w:rPr>
                    <w:t>3</w:t>
                  </w:r>
                  <w:r>
                    <w:rPr>
                      <w:rFonts w:hint="default" w:ascii="Times New Roman" w:hAnsi="Times New Roman" w:cs="Times New Roman"/>
                      <w:color w:val="auto"/>
                      <w:sz w:val="21"/>
                      <w:szCs w:val="21"/>
                      <w:highlight w:val="none"/>
                      <w:lang w:val="en-US" w:eastAsia="zh-CN"/>
                    </w:rPr>
                    <w:t>-N</w:t>
                  </w:r>
                </w:p>
              </w:tc>
              <w:tc>
                <w:tcPr>
                  <w:tcW w:w="1597" w:type="dxa"/>
                  <w:tcBorders>
                    <w:tl2br w:val="nil"/>
                    <w:tr2bl w:val="nil"/>
                  </w:tcBorders>
                  <w:vAlign w:val="center"/>
                </w:tcPr>
                <w:p w14:paraId="2CC400AE">
                  <w:pPr>
                    <w:keepNext w:val="0"/>
                    <w:keepLines w:val="0"/>
                    <w:widowControl/>
                    <w:suppressLineNumbers w:val="0"/>
                    <w:jc w:val="center"/>
                    <w:textAlignment w:val="center"/>
                    <w:rPr>
                      <w:bCs/>
                      <w:kern w:val="0"/>
                      <w:sz w:val="21"/>
                      <w:szCs w:val="21"/>
                    </w:rPr>
                  </w:pPr>
                  <w:r>
                    <w:rPr>
                      <w:rFonts w:hint="default" w:ascii="Times New Roman" w:hAnsi="Times New Roman" w:eastAsia="宋体" w:cs="Times New Roman"/>
                      <w:i w:val="0"/>
                      <w:iCs w:val="0"/>
                      <w:color w:val="auto"/>
                      <w:kern w:val="0"/>
                      <w:sz w:val="21"/>
                      <w:szCs w:val="21"/>
                      <w:u w:val="none"/>
                      <w:lang w:val="en-US" w:eastAsia="zh-CN" w:bidi="ar"/>
                    </w:rPr>
                    <w:t>0.001</w:t>
                  </w:r>
                </w:p>
              </w:tc>
            </w:tr>
            <w:tr w14:paraId="2F0C51B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5" w:type="pct"/>
                  <w:gridSpan w:val="2"/>
                  <w:vMerge w:val="continue"/>
                  <w:tcBorders>
                    <w:tl2br w:val="nil"/>
                    <w:tr2bl w:val="nil"/>
                  </w:tcBorders>
                  <w:vAlign w:val="center"/>
                </w:tcPr>
                <w:p w14:paraId="15A1874D">
                  <w:pPr>
                    <w:pStyle w:val="59"/>
                    <w:rPr>
                      <w:rFonts w:hint="default"/>
                      <w:sz w:val="21"/>
                      <w:szCs w:val="21"/>
                    </w:rPr>
                  </w:pPr>
                </w:p>
              </w:tc>
              <w:tc>
                <w:tcPr>
                  <w:tcW w:w="5256" w:type="dxa"/>
                  <w:gridSpan w:val="3"/>
                  <w:tcBorders>
                    <w:tl2br w:val="nil"/>
                    <w:tr2bl w:val="nil"/>
                  </w:tcBorders>
                  <w:vAlign w:val="center"/>
                </w:tcPr>
                <w:p w14:paraId="70D040A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sz w:val="21"/>
                      <w:szCs w:val="21"/>
                    </w:rPr>
                  </w:pPr>
                  <w:r>
                    <w:rPr>
                      <w:rFonts w:hint="eastAsia" w:ascii="Times New Roman" w:hAnsi="Times New Roman" w:cs="Times New Roman"/>
                      <w:color w:val="auto"/>
                      <w:sz w:val="21"/>
                      <w:szCs w:val="21"/>
                      <w:highlight w:val="none"/>
                      <w:lang w:val="en-US" w:eastAsia="zh-CN"/>
                    </w:rPr>
                    <w:t>TN</w:t>
                  </w:r>
                </w:p>
              </w:tc>
              <w:tc>
                <w:tcPr>
                  <w:tcW w:w="1597" w:type="dxa"/>
                  <w:tcBorders>
                    <w:tl2br w:val="nil"/>
                    <w:tr2bl w:val="nil"/>
                  </w:tcBorders>
                  <w:vAlign w:val="center"/>
                </w:tcPr>
                <w:p w14:paraId="004D42E7">
                  <w:pPr>
                    <w:keepNext w:val="0"/>
                    <w:keepLines w:val="0"/>
                    <w:widowControl/>
                    <w:suppressLineNumbers w:val="0"/>
                    <w:jc w:val="center"/>
                    <w:textAlignment w:val="center"/>
                    <w:rPr>
                      <w:bCs/>
                      <w:kern w:val="0"/>
                      <w:sz w:val="21"/>
                      <w:szCs w:val="21"/>
                    </w:rPr>
                  </w:pPr>
                  <w:r>
                    <w:rPr>
                      <w:rFonts w:hint="default" w:ascii="Times New Roman" w:hAnsi="Times New Roman" w:eastAsia="宋体" w:cs="Times New Roman"/>
                      <w:i w:val="0"/>
                      <w:iCs w:val="0"/>
                      <w:color w:val="auto"/>
                      <w:kern w:val="0"/>
                      <w:sz w:val="21"/>
                      <w:szCs w:val="21"/>
                      <w:u w:val="none"/>
                      <w:lang w:val="en-US" w:eastAsia="zh-CN" w:bidi="ar"/>
                    </w:rPr>
                    <w:t>0.001</w:t>
                  </w:r>
                </w:p>
              </w:tc>
            </w:tr>
            <w:tr w14:paraId="7469952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5" w:type="pct"/>
                  <w:gridSpan w:val="2"/>
                  <w:vMerge w:val="continue"/>
                  <w:tcBorders>
                    <w:tl2br w:val="nil"/>
                    <w:tr2bl w:val="nil"/>
                  </w:tcBorders>
                  <w:vAlign w:val="center"/>
                </w:tcPr>
                <w:p w14:paraId="06A6A881">
                  <w:pPr>
                    <w:pStyle w:val="59"/>
                    <w:rPr>
                      <w:rFonts w:hint="default"/>
                      <w:sz w:val="21"/>
                      <w:szCs w:val="21"/>
                    </w:rPr>
                  </w:pPr>
                </w:p>
              </w:tc>
              <w:tc>
                <w:tcPr>
                  <w:tcW w:w="5256" w:type="dxa"/>
                  <w:gridSpan w:val="3"/>
                  <w:tcBorders>
                    <w:tl2br w:val="nil"/>
                    <w:tr2bl w:val="nil"/>
                  </w:tcBorders>
                  <w:vAlign w:val="center"/>
                </w:tcPr>
                <w:p w14:paraId="429B1D6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sz w:val="21"/>
                      <w:szCs w:val="21"/>
                    </w:rPr>
                  </w:pPr>
                  <w:r>
                    <w:rPr>
                      <w:rFonts w:hint="eastAsia" w:ascii="Times New Roman" w:hAnsi="Times New Roman" w:cs="Times New Roman"/>
                      <w:color w:val="auto"/>
                      <w:sz w:val="21"/>
                      <w:szCs w:val="21"/>
                      <w:highlight w:val="none"/>
                      <w:lang w:val="en-US" w:eastAsia="zh-CN"/>
                    </w:rPr>
                    <w:t>TP</w:t>
                  </w:r>
                </w:p>
              </w:tc>
              <w:tc>
                <w:tcPr>
                  <w:tcW w:w="1597" w:type="dxa"/>
                  <w:tcBorders>
                    <w:tl2br w:val="nil"/>
                    <w:tr2bl w:val="nil"/>
                  </w:tcBorders>
                  <w:vAlign w:val="center"/>
                </w:tcPr>
                <w:p w14:paraId="53C2D4C6">
                  <w:pPr>
                    <w:keepNext w:val="0"/>
                    <w:keepLines w:val="0"/>
                    <w:widowControl/>
                    <w:suppressLineNumbers w:val="0"/>
                    <w:jc w:val="center"/>
                    <w:textAlignment w:val="center"/>
                    <w:rPr>
                      <w:bCs/>
                      <w:kern w:val="0"/>
                      <w:sz w:val="21"/>
                      <w:szCs w:val="21"/>
                    </w:rPr>
                  </w:pPr>
                  <w:r>
                    <w:rPr>
                      <w:rFonts w:hint="default" w:ascii="Times New Roman" w:hAnsi="Times New Roman" w:eastAsia="宋体" w:cs="Times New Roman"/>
                      <w:i w:val="0"/>
                      <w:iCs w:val="0"/>
                      <w:color w:val="auto"/>
                      <w:kern w:val="0"/>
                      <w:sz w:val="21"/>
                      <w:szCs w:val="21"/>
                      <w:u w:val="none"/>
                      <w:lang w:val="en-US" w:eastAsia="zh-CN" w:bidi="ar"/>
                    </w:rPr>
                    <w:t>0.0001</w:t>
                  </w:r>
                </w:p>
              </w:tc>
            </w:tr>
            <w:tr w14:paraId="57F1653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5" w:type="pct"/>
                  <w:gridSpan w:val="2"/>
                  <w:vMerge w:val="continue"/>
                  <w:tcBorders>
                    <w:tl2br w:val="nil"/>
                    <w:tr2bl w:val="nil"/>
                  </w:tcBorders>
                  <w:vAlign w:val="center"/>
                </w:tcPr>
                <w:p w14:paraId="5ECD29AD">
                  <w:pPr>
                    <w:pStyle w:val="59"/>
                    <w:rPr>
                      <w:rFonts w:hint="default"/>
                      <w:sz w:val="21"/>
                      <w:szCs w:val="21"/>
                    </w:rPr>
                  </w:pPr>
                </w:p>
              </w:tc>
              <w:tc>
                <w:tcPr>
                  <w:tcW w:w="5256" w:type="dxa"/>
                  <w:gridSpan w:val="3"/>
                  <w:tcBorders>
                    <w:tl2br w:val="nil"/>
                    <w:tr2bl w:val="nil"/>
                  </w:tcBorders>
                  <w:vAlign w:val="center"/>
                </w:tcPr>
                <w:p w14:paraId="3F52959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sz w:val="21"/>
                      <w:szCs w:val="21"/>
                    </w:rPr>
                  </w:pPr>
                  <w:r>
                    <w:rPr>
                      <w:rFonts w:hint="eastAsia" w:cs="Times New Roman"/>
                      <w:color w:val="auto"/>
                      <w:sz w:val="21"/>
                      <w:szCs w:val="21"/>
                      <w:highlight w:val="none"/>
                      <w:lang w:val="en-US" w:eastAsia="zh-CN"/>
                    </w:rPr>
                    <w:t>TDS</w:t>
                  </w:r>
                </w:p>
              </w:tc>
              <w:tc>
                <w:tcPr>
                  <w:tcW w:w="1597" w:type="dxa"/>
                  <w:tcBorders>
                    <w:tl2br w:val="nil"/>
                    <w:tr2bl w:val="nil"/>
                  </w:tcBorders>
                  <w:vAlign w:val="center"/>
                </w:tcPr>
                <w:p w14:paraId="0C5E5066">
                  <w:pPr>
                    <w:keepNext w:val="0"/>
                    <w:keepLines w:val="0"/>
                    <w:pageBreakBefore w:val="0"/>
                    <w:widowControl w:val="0"/>
                    <w:kinsoku/>
                    <w:wordWrap/>
                    <w:overflowPunct/>
                    <w:topLinePunct w:val="0"/>
                    <w:autoSpaceDE/>
                    <w:autoSpaceDN/>
                    <w:bidi w:val="0"/>
                    <w:adjustRightInd/>
                    <w:snapToGrid/>
                    <w:spacing w:line="240" w:lineRule="auto"/>
                    <w:jc w:val="center"/>
                    <w:rPr>
                      <w:sz w:val="21"/>
                      <w:szCs w:val="21"/>
                    </w:rPr>
                  </w:pPr>
                  <w:r>
                    <w:rPr>
                      <w:rFonts w:hint="eastAsia" w:ascii="Times New Roman" w:hAnsi="Times New Roman" w:eastAsia="宋体" w:cs="Times New Roman"/>
                      <w:bCs/>
                      <w:color w:val="auto"/>
                      <w:sz w:val="21"/>
                      <w:szCs w:val="21"/>
                      <w:highlight w:val="none"/>
                      <w:lang w:val="en-US" w:eastAsia="zh-CN"/>
                    </w:rPr>
                    <w:t>1.601</w:t>
                  </w:r>
                </w:p>
              </w:tc>
            </w:tr>
            <w:tr w14:paraId="3A95D9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145" w:type="pct"/>
                  <w:gridSpan w:val="2"/>
                  <w:vMerge w:val="continue"/>
                  <w:tcBorders>
                    <w:tl2br w:val="nil"/>
                    <w:tr2bl w:val="nil"/>
                  </w:tcBorders>
                  <w:vAlign w:val="center"/>
                </w:tcPr>
                <w:p w14:paraId="3943B91D">
                  <w:pPr>
                    <w:pStyle w:val="59"/>
                    <w:rPr>
                      <w:rFonts w:hint="default"/>
                      <w:sz w:val="21"/>
                      <w:szCs w:val="21"/>
                    </w:rPr>
                  </w:pPr>
                </w:p>
              </w:tc>
              <w:tc>
                <w:tcPr>
                  <w:tcW w:w="5256" w:type="dxa"/>
                  <w:gridSpan w:val="3"/>
                  <w:tcBorders>
                    <w:tl2br w:val="nil"/>
                    <w:tr2bl w:val="nil"/>
                  </w:tcBorders>
                  <w:vAlign w:val="center"/>
                </w:tcPr>
                <w:p w14:paraId="783C4C1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rPr>
                      <w:rFonts w:hint="eastAsia"/>
                      <w:sz w:val="21"/>
                      <w:szCs w:val="21"/>
                    </w:rPr>
                  </w:pPr>
                  <w:r>
                    <w:rPr>
                      <w:rFonts w:hint="default" w:ascii="Times New Roman" w:hAnsi="Times New Roman" w:eastAsia="宋体" w:cs="Times New Roman"/>
                      <w:color w:val="auto"/>
                      <w:sz w:val="21"/>
                      <w:szCs w:val="21"/>
                      <w:highlight w:val="none"/>
                      <w:lang w:val="en-US" w:eastAsia="zh-CN"/>
                    </w:rPr>
                    <w:t>COD</w:t>
                  </w:r>
                  <w:r>
                    <w:rPr>
                      <w:rFonts w:hint="eastAsia" w:cs="Times New Roman"/>
                      <w:color w:val="auto"/>
                      <w:sz w:val="21"/>
                      <w:szCs w:val="21"/>
                      <w:highlight w:val="none"/>
                      <w:vertAlign w:val="subscript"/>
                      <w:lang w:val="en-US" w:eastAsia="zh-CN"/>
                    </w:rPr>
                    <w:t>Cr</w:t>
                  </w:r>
                </w:p>
              </w:tc>
              <w:tc>
                <w:tcPr>
                  <w:tcW w:w="1597" w:type="dxa"/>
                  <w:tcBorders>
                    <w:tl2br w:val="nil"/>
                    <w:tr2bl w:val="nil"/>
                  </w:tcBorders>
                  <w:vAlign w:val="center"/>
                </w:tcPr>
                <w:p w14:paraId="26276066">
                  <w:pPr>
                    <w:keepNext w:val="0"/>
                    <w:keepLines w:val="0"/>
                    <w:pageBreakBefore w:val="0"/>
                    <w:widowControl w:val="0"/>
                    <w:kinsoku/>
                    <w:wordWrap/>
                    <w:overflowPunct/>
                    <w:topLinePunct w:val="0"/>
                    <w:autoSpaceDE/>
                    <w:autoSpaceDN/>
                    <w:bidi w:val="0"/>
                    <w:adjustRightInd/>
                    <w:snapToGrid/>
                    <w:spacing w:line="240" w:lineRule="auto"/>
                    <w:jc w:val="center"/>
                    <w:rPr>
                      <w:sz w:val="21"/>
                      <w:szCs w:val="21"/>
                    </w:rPr>
                  </w:pPr>
                  <w:r>
                    <w:rPr>
                      <w:rFonts w:hint="eastAsia" w:ascii="Times New Roman" w:hAnsi="Times New Roman" w:eastAsia="宋体" w:cs="Times New Roman"/>
                      <w:bCs/>
                      <w:color w:val="auto"/>
                      <w:sz w:val="21"/>
                      <w:szCs w:val="21"/>
                      <w:highlight w:val="none"/>
                      <w:lang w:val="en-US" w:eastAsia="zh-CN"/>
                    </w:rPr>
                    <w:t>0.181</w:t>
                  </w:r>
                </w:p>
              </w:tc>
            </w:tr>
          </w:tbl>
          <w:p w14:paraId="26F32B26">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82" w:firstLineChars="200"/>
              <w:jc w:val="both"/>
              <w:textAlignment w:val="auto"/>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（六）</w:t>
            </w:r>
            <w:r>
              <w:rPr>
                <w:rFonts w:hint="eastAsia" w:ascii="Times New Roman" w:hAnsi="Times New Roman" w:cs="Times New Roman"/>
                <w:b/>
                <w:bCs/>
                <w:color w:val="auto"/>
                <w:sz w:val="24"/>
                <w:szCs w:val="24"/>
                <w:highlight w:val="none"/>
                <w:lang w:val="en-US" w:eastAsia="zh-CN"/>
              </w:rPr>
              <w:t>监测要求信息汇总</w:t>
            </w:r>
          </w:p>
          <w:p w14:paraId="44320915">
            <w:pPr>
              <w:spacing w:line="360" w:lineRule="auto"/>
              <w:ind w:firstLine="480" w:firstLineChars="200"/>
              <w:rPr>
                <w:sz w:val="24"/>
              </w:rPr>
            </w:pPr>
            <w:r>
              <w:rPr>
                <w:sz w:val="24"/>
              </w:rPr>
              <w:t xml:space="preserve">根据《排污单位自行监测技术指南 </w:t>
            </w:r>
            <w:r>
              <w:rPr>
                <w:rFonts w:hint="eastAsia"/>
                <w:sz w:val="24"/>
              </w:rPr>
              <w:t>总则</w:t>
            </w:r>
            <w:r>
              <w:rPr>
                <w:sz w:val="24"/>
              </w:rPr>
              <w:t>》（H</w:t>
            </w:r>
            <w:r>
              <w:rPr>
                <w:rFonts w:hint="eastAsia"/>
                <w:sz w:val="24"/>
              </w:rPr>
              <w:t>819</w:t>
            </w:r>
            <w:r>
              <w:rPr>
                <w:sz w:val="24"/>
              </w:rPr>
              <w:t>-20</w:t>
            </w:r>
            <w:r>
              <w:rPr>
                <w:rFonts w:hint="eastAsia"/>
                <w:sz w:val="24"/>
              </w:rPr>
              <w:t>17</w:t>
            </w:r>
            <w:r>
              <w:rPr>
                <w:sz w:val="24"/>
              </w:rPr>
              <w:t>）</w:t>
            </w:r>
            <w:r>
              <w:rPr>
                <w:rFonts w:hint="eastAsia"/>
                <w:sz w:val="24"/>
                <w:lang w:eastAsia="zh-CN"/>
              </w:rPr>
              <w:t>、</w:t>
            </w:r>
            <w:r>
              <w:rPr>
                <w:sz w:val="24"/>
              </w:rPr>
              <w:t xml:space="preserve">《排污单位自行监测技术指南 </w:t>
            </w:r>
            <w:r>
              <w:rPr>
                <w:rFonts w:hint="eastAsia"/>
                <w:sz w:val="24"/>
                <w:lang w:val="en-US" w:eastAsia="zh-CN"/>
              </w:rPr>
              <w:t>火力发电及锅炉</w:t>
            </w:r>
            <w:r>
              <w:rPr>
                <w:sz w:val="24"/>
              </w:rPr>
              <w:t>》（H</w:t>
            </w:r>
            <w:r>
              <w:rPr>
                <w:rFonts w:hint="eastAsia"/>
                <w:sz w:val="24"/>
              </w:rPr>
              <w:t>8</w:t>
            </w:r>
            <w:r>
              <w:rPr>
                <w:rFonts w:hint="eastAsia"/>
                <w:sz w:val="24"/>
                <w:lang w:val="en-US" w:eastAsia="zh-CN"/>
              </w:rPr>
              <w:t>20</w:t>
            </w:r>
            <w:r>
              <w:rPr>
                <w:sz w:val="24"/>
              </w:rPr>
              <w:t>-20</w:t>
            </w:r>
            <w:r>
              <w:rPr>
                <w:rFonts w:hint="eastAsia"/>
                <w:sz w:val="24"/>
              </w:rPr>
              <w:t>17</w:t>
            </w:r>
            <w:r>
              <w:rPr>
                <w:sz w:val="24"/>
              </w:rPr>
              <w:t>）</w:t>
            </w:r>
            <w:r>
              <w:rPr>
                <w:sz w:val="24"/>
                <w:lang w:bidi="ar"/>
              </w:rPr>
              <w:t>中相关要求制定</w:t>
            </w:r>
            <w:r>
              <w:rPr>
                <w:rFonts w:hint="eastAsia"/>
                <w:sz w:val="24"/>
                <w:lang w:bidi="ar"/>
              </w:rPr>
              <w:t>水</w:t>
            </w:r>
            <w:r>
              <w:rPr>
                <w:sz w:val="24"/>
                <w:lang w:bidi="ar"/>
              </w:rPr>
              <w:t>污染监测计划，具体内容</w:t>
            </w:r>
            <w:r>
              <w:rPr>
                <w:rFonts w:hint="eastAsia"/>
                <w:sz w:val="24"/>
                <w:lang w:bidi="ar"/>
              </w:rPr>
              <w:t>详见下表</w:t>
            </w:r>
            <w:r>
              <w:rPr>
                <w:sz w:val="24"/>
                <w:lang w:bidi="ar"/>
              </w:rPr>
              <w:t>。</w:t>
            </w:r>
          </w:p>
          <w:p w14:paraId="4E933302">
            <w:pPr>
              <w:pStyle w:val="58"/>
              <w:rPr>
                <w:rFonts w:hint="default"/>
              </w:rPr>
            </w:pPr>
            <w:r>
              <w:t>表4-1</w:t>
            </w:r>
            <w:r>
              <w:rPr>
                <w:rFonts w:hint="eastAsia"/>
                <w:lang w:val="en-US" w:eastAsia="zh-CN"/>
              </w:rPr>
              <w:t>4</w:t>
            </w:r>
            <w:r>
              <w:t xml:space="preserve">  废水污染源监测点位、监测因子及监测频率一览表</w:t>
            </w:r>
          </w:p>
          <w:tbl>
            <w:tblPr>
              <w:tblStyle w:val="20"/>
              <w:tblW w:w="4999"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7"/>
              <w:gridCol w:w="1046"/>
              <w:gridCol w:w="743"/>
              <w:gridCol w:w="1490"/>
              <w:gridCol w:w="1375"/>
              <w:gridCol w:w="2198"/>
              <w:gridCol w:w="1150"/>
            </w:tblGrid>
            <w:tr w14:paraId="125A9C1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8" w:type="pct"/>
                  <w:vMerge w:val="restart"/>
                  <w:tcBorders>
                    <w:tl2br w:val="nil"/>
                    <w:tr2bl w:val="nil"/>
                  </w:tcBorders>
                  <w:vAlign w:val="center"/>
                </w:tcPr>
                <w:p w14:paraId="0018BF67">
                  <w:pPr>
                    <w:pStyle w:val="59"/>
                    <w:rPr>
                      <w:rFonts w:hint="default"/>
                      <w:b/>
                      <w:bCs w:val="0"/>
                    </w:rPr>
                  </w:pPr>
                  <w:r>
                    <w:rPr>
                      <w:b/>
                      <w:bCs w:val="0"/>
                    </w:rPr>
                    <w:t>污染源类别</w:t>
                  </w:r>
                </w:p>
              </w:tc>
              <w:tc>
                <w:tcPr>
                  <w:tcW w:w="588" w:type="pct"/>
                  <w:vMerge w:val="restart"/>
                  <w:tcBorders>
                    <w:tl2br w:val="nil"/>
                    <w:tr2bl w:val="nil"/>
                  </w:tcBorders>
                  <w:vAlign w:val="center"/>
                </w:tcPr>
                <w:p w14:paraId="50738691">
                  <w:pPr>
                    <w:pStyle w:val="59"/>
                    <w:rPr>
                      <w:rFonts w:hint="default"/>
                      <w:b/>
                      <w:bCs w:val="0"/>
                    </w:rPr>
                  </w:pPr>
                  <w:r>
                    <w:rPr>
                      <w:b/>
                      <w:bCs w:val="0"/>
                    </w:rPr>
                    <w:t>排放口编号及名称</w:t>
                  </w:r>
                </w:p>
              </w:tc>
              <w:tc>
                <w:tcPr>
                  <w:tcW w:w="417" w:type="pct"/>
                  <w:vMerge w:val="restart"/>
                  <w:tcBorders>
                    <w:tl2br w:val="nil"/>
                    <w:tr2bl w:val="nil"/>
                  </w:tcBorders>
                  <w:vAlign w:val="center"/>
                </w:tcPr>
                <w:p w14:paraId="7AFE52B3">
                  <w:pPr>
                    <w:pStyle w:val="59"/>
                    <w:rPr>
                      <w:rFonts w:hint="default"/>
                      <w:b/>
                      <w:bCs w:val="0"/>
                    </w:rPr>
                  </w:pPr>
                  <w:r>
                    <w:rPr>
                      <w:b/>
                      <w:bCs w:val="0"/>
                    </w:rPr>
                    <w:t>排放方式</w:t>
                  </w:r>
                </w:p>
              </w:tc>
              <w:tc>
                <w:tcPr>
                  <w:tcW w:w="838" w:type="pct"/>
                  <w:vMerge w:val="restart"/>
                  <w:tcBorders>
                    <w:tl2br w:val="nil"/>
                    <w:tr2bl w:val="nil"/>
                  </w:tcBorders>
                  <w:vAlign w:val="center"/>
                </w:tcPr>
                <w:p w14:paraId="09B78555">
                  <w:pPr>
                    <w:pStyle w:val="59"/>
                    <w:rPr>
                      <w:rFonts w:hint="default"/>
                      <w:b/>
                      <w:bCs w:val="0"/>
                    </w:rPr>
                  </w:pPr>
                  <w:r>
                    <w:rPr>
                      <w:b/>
                      <w:bCs w:val="0"/>
                    </w:rPr>
                    <w:t>排放方向</w:t>
                  </w:r>
                </w:p>
              </w:tc>
              <w:tc>
                <w:tcPr>
                  <w:tcW w:w="2656" w:type="pct"/>
                  <w:gridSpan w:val="3"/>
                  <w:tcBorders>
                    <w:tl2br w:val="nil"/>
                    <w:tr2bl w:val="nil"/>
                  </w:tcBorders>
                  <w:vAlign w:val="center"/>
                </w:tcPr>
                <w:p w14:paraId="6082BB5C">
                  <w:pPr>
                    <w:pStyle w:val="59"/>
                    <w:rPr>
                      <w:rFonts w:hint="default"/>
                      <w:b/>
                      <w:bCs w:val="0"/>
                    </w:rPr>
                  </w:pPr>
                  <w:r>
                    <w:rPr>
                      <w:b/>
                      <w:bCs w:val="0"/>
                    </w:rPr>
                    <w:t>监测要求</w:t>
                  </w:r>
                </w:p>
              </w:tc>
            </w:tr>
            <w:tr w14:paraId="58DEB77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98" w:type="pct"/>
                  <w:vMerge w:val="continue"/>
                  <w:tcBorders>
                    <w:tl2br w:val="nil"/>
                    <w:tr2bl w:val="nil"/>
                  </w:tcBorders>
                  <w:vAlign w:val="center"/>
                </w:tcPr>
                <w:p w14:paraId="39227512">
                  <w:pPr>
                    <w:pStyle w:val="59"/>
                    <w:rPr>
                      <w:rFonts w:hint="default"/>
                      <w:b/>
                      <w:bCs w:val="0"/>
                    </w:rPr>
                  </w:pPr>
                </w:p>
              </w:tc>
              <w:tc>
                <w:tcPr>
                  <w:tcW w:w="588" w:type="pct"/>
                  <w:vMerge w:val="continue"/>
                  <w:tcBorders>
                    <w:tl2br w:val="nil"/>
                    <w:tr2bl w:val="nil"/>
                  </w:tcBorders>
                  <w:vAlign w:val="center"/>
                </w:tcPr>
                <w:p w14:paraId="79F20A27">
                  <w:pPr>
                    <w:pStyle w:val="59"/>
                    <w:rPr>
                      <w:rFonts w:hint="default"/>
                      <w:b/>
                      <w:bCs w:val="0"/>
                    </w:rPr>
                  </w:pPr>
                </w:p>
              </w:tc>
              <w:tc>
                <w:tcPr>
                  <w:tcW w:w="417" w:type="pct"/>
                  <w:vMerge w:val="continue"/>
                  <w:tcBorders>
                    <w:tl2br w:val="nil"/>
                    <w:tr2bl w:val="nil"/>
                  </w:tcBorders>
                  <w:vAlign w:val="center"/>
                </w:tcPr>
                <w:p w14:paraId="557C7978">
                  <w:pPr>
                    <w:pStyle w:val="59"/>
                    <w:rPr>
                      <w:rFonts w:hint="default"/>
                      <w:b/>
                      <w:bCs w:val="0"/>
                    </w:rPr>
                  </w:pPr>
                </w:p>
              </w:tc>
              <w:tc>
                <w:tcPr>
                  <w:tcW w:w="838" w:type="pct"/>
                  <w:vMerge w:val="continue"/>
                  <w:tcBorders>
                    <w:tl2br w:val="nil"/>
                    <w:tr2bl w:val="nil"/>
                  </w:tcBorders>
                  <w:vAlign w:val="center"/>
                </w:tcPr>
                <w:p w14:paraId="234CE1D0">
                  <w:pPr>
                    <w:pStyle w:val="59"/>
                    <w:rPr>
                      <w:rFonts w:hint="default"/>
                      <w:b/>
                      <w:bCs w:val="0"/>
                    </w:rPr>
                  </w:pPr>
                </w:p>
              </w:tc>
              <w:tc>
                <w:tcPr>
                  <w:tcW w:w="773" w:type="pct"/>
                  <w:tcBorders>
                    <w:tl2br w:val="nil"/>
                    <w:tr2bl w:val="nil"/>
                  </w:tcBorders>
                  <w:vAlign w:val="center"/>
                </w:tcPr>
                <w:p w14:paraId="577FADA5">
                  <w:pPr>
                    <w:pStyle w:val="59"/>
                    <w:rPr>
                      <w:rFonts w:hint="default"/>
                      <w:b/>
                      <w:bCs w:val="0"/>
                    </w:rPr>
                  </w:pPr>
                  <w:r>
                    <w:rPr>
                      <w:b/>
                      <w:bCs w:val="0"/>
                    </w:rPr>
                    <w:t>监测点位</w:t>
                  </w:r>
                </w:p>
              </w:tc>
              <w:tc>
                <w:tcPr>
                  <w:tcW w:w="1236" w:type="pct"/>
                  <w:tcBorders>
                    <w:tl2br w:val="nil"/>
                    <w:tr2bl w:val="nil"/>
                  </w:tcBorders>
                  <w:vAlign w:val="center"/>
                </w:tcPr>
                <w:p w14:paraId="58357EE9">
                  <w:pPr>
                    <w:pStyle w:val="59"/>
                    <w:rPr>
                      <w:rFonts w:hint="default"/>
                      <w:b/>
                      <w:bCs w:val="0"/>
                    </w:rPr>
                  </w:pPr>
                  <w:r>
                    <w:rPr>
                      <w:b/>
                      <w:bCs w:val="0"/>
                    </w:rPr>
                    <w:t>监测因子</w:t>
                  </w:r>
                </w:p>
              </w:tc>
              <w:tc>
                <w:tcPr>
                  <w:tcW w:w="646" w:type="pct"/>
                  <w:tcBorders>
                    <w:tl2br w:val="nil"/>
                    <w:tr2bl w:val="nil"/>
                  </w:tcBorders>
                  <w:vAlign w:val="center"/>
                </w:tcPr>
                <w:p w14:paraId="1752A709">
                  <w:pPr>
                    <w:pStyle w:val="59"/>
                    <w:rPr>
                      <w:rFonts w:hint="default"/>
                      <w:b/>
                      <w:bCs w:val="0"/>
                    </w:rPr>
                  </w:pPr>
                  <w:r>
                    <w:rPr>
                      <w:b/>
                      <w:bCs w:val="0"/>
                    </w:rPr>
                    <w:t>监测频次</w:t>
                  </w:r>
                </w:p>
              </w:tc>
            </w:tr>
            <w:tr w14:paraId="14C5912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8" w:type="pct"/>
                  <w:tcBorders>
                    <w:tl2br w:val="nil"/>
                    <w:tr2bl w:val="nil"/>
                  </w:tcBorders>
                  <w:vAlign w:val="center"/>
                </w:tcPr>
                <w:p w14:paraId="73306C93">
                  <w:pPr>
                    <w:pStyle w:val="59"/>
                    <w:rPr>
                      <w:rFonts w:hint="default" w:eastAsia="宋体"/>
                      <w:lang w:val="en-US" w:eastAsia="zh-CN"/>
                    </w:rPr>
                  </w:pPr>
                  <w:r>
                    <w:rPr>
                      <w:rFonts w:hint="eastAsia"/>
                      <w:lang w:val="en-US" w:eastAsia="zh-CN"/>
                    </w:rPr>
                    <w:t>综合废水</w:t>
                  </w:r>
                </w:p>
              </w:tc>
              <w:tc>
                <w:tcPr>
                  <w:tcW w:w="588" w:type="pct"/>
                  <w:tcBorders>
                    <w:tl2br w:val="nil"/>
                    <w:tr2bl w:val="nil"/>
                  </w:tcBorders>
                  <w:vAlign w:val="center"/>
                </w:tcPr>
                <w:p w14:paraId="23C22D47">
                  <w:pPr>
                    <w:pStyle w:val="59"/>
                    <w:rPr>
                      <w:rFonts w:hint="default"/>
                    </w:rPr>
                  </w:pPr>
                  <w:r>
                    <w:t>DW001</w:t>
                  </w:r>
                </w:p>
              </w:tc>
              <w:tc>
                <w:tcPr>
                  <w:tcW w:w="417" w:type="pct"/>
                  <w:tcBorders>
                    <w:tl2br w:val="nil"/>
                    <w:tr2bl w:val="nil"/>
                  </w:tcBorders>
                  <w:vAlign w:val="center"/>
                </w:tcPr>
                <w:p w14:paraId="6B4FC998">
                  <w:pPr>
                    <w:pStyle w:val="59"/>
                    <w:rPr>
                      <w:rFonts w:hint="default"/>
                    </w:rPr>
                  </w:pPr>
                  <w:r>
                    <w:t>间接排放</w:t>
                  </w:r>
                </w:p>
              </w:tc>
              <w:tc>
                <w:tcPr>
                  <w:tcW w:w="838" w:type="pct"/>
                  <w:tcBorders>
                    <w:tl2br w:val="nil"/>
                    <w:tr2bl w:val="nil"/>
                  </w:tcBorders>
                  <w:vAlign w:val="center"/>
                </w:tcPr>
                <w:p w14:paraId="6EF5AD06">
                  <w:pPr>
                    <w:pStyle w:val="59"/>
                    <w:rPr>
                      <w:rFonts w:hint="default"/>
                    </w:rPr>
                  </w:pPr>
                  <w:r>
                    <w:rPr>
                      <w:rFonts w:hint="default" w:ascii="Times New Roman" w:hAnsi="Times New Roman" w:eastAsia="宋体" w:cs="Times New Roman"/>
                      <w:lang w:val="en-US" w:eastAsia="zh-CN"/>
                    </w:rPr>
                    <w:t>饶河县西林子乡污水处理站</w:t>
                  </w:r>
                </w:p>
              </w:tc>
              <w:tc>
                <w:tcPr>
                  <w:tcW w:w="773" w:type="pct"/>
                  <w:tcBorders>
                    <w:tl2br w:val="nil"/>
                    <w:tr2bl w:val="nil"/>
                  </w:tcBorders>
                  <w:vAlign w:val="center"/>
                </w:tcPr>
                <w:p w14:paraId="61FBB318">
                  <w:pPr>
                    <w:pStyle w:val="59"/>
                    <w:rPr>
                      <w:rFonts w:hint="default" w:eastAsia="宋体"/>
                      <w:lang w:val="en-US" w:eastAsia="zh-CN"/>
                    </w:rPr>
                  </w:pPr>
                  <w:r>
                    <w:rPr>
                      <w:rFonts w:hint="eastAsia"/>
                      <w:lang w:val="en-US" w:eastAsia="zh-CN"/>
                    </w:rPr>
                    <w:t>化粪池出水口</w:t>
                  </w:r>
                </w:p>
              </w:tc>
              <w:tc>
                <w:tcPr>
                  <w:tcW w:w="1236" w:type="pct"/>
                  <w:tcBorders>
                    <w:tl2br w:val="nil"/>
                    <w:tr2bl w:val="nil"/>
                  </w:tcBorders>
                  <w:vAlign w:val="center"/>
                </w:tcPr>
                <w:p w14:paraId="10127990">
                  <w:pPr>
                    <w:pStyle w:val="59"/>
                    <w:rPr>
                      <w:rFonts w:hint="default" w:eastAsia="宋体"/>
                      <w:color w:val="auto"/>
                      <w:lang w:val="en-US" w:eastAsia="zh-CN"/>
                    </w:rPr>
                  </w:pPr>
                  <w:r>
                    <w:rPr>
                      <w:rFonts w:hint="eastAsia"/>
                      <w:color w:val="auto"/>
                      <w:lang w:val="en-US" w:eastAsia="zh-CN"/>
                    </w:rPr>
                    <w:t>流量、</w:t>
                  </w:r>
                  <w:r>
                    <w:rPr>
                      <w:rFonts w:hint="eastAsia"/>
                      <w:color w:val="auto"/>
                    </w:rPr>
                    <w:t>pH值、化学需氧量、氨氮、悬浮物</w:t>
                  </w:r>
                </w:p>
              </w:tc>
              <w:tc>
                <w:tcPr>
                  <w:tcW w:w="646" w:type="pct"/>
                  <w:tcBorders>
                    <w:tl2br w:val="nil"/>
                    <w:tr2bl w:val="nil"/>
                  </w:tcBorders>
                  <w:vAlign w:val="center"/>
                </w:tcPr>
                <w:p w14:paraId="2FCE349F">
                  <w:pPr>
                    <w:pStyle w:val="59"/>
                    <w:rPr>
                      <w:rFonts w:hint="default"/>
                      <w:color w:val="auto"/>
                    </w:rPr>
                  </w:pPr>
                  <w:r>
                    <w:rPr>
                      <w:color w:val="auto"/>
                    </w:rPr>
                    <w:t>1次/年</w:t>
                  </w:r>
                </w:p>
              </w:tc>
            </w:tr>
          </w:tbl>
          <w:p w14:paraId="0BF7A194">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82" w:firstLineChars="200"/>
              <w:jc w:val="both"/>
              <w:textAlignment w:val="auto"/>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（七）</w:t>
            </w:r>
            <w:r>
              <w:rPr>
                <w:rFonts w:hint="default" w:ascii="Times New Roman" w:hAnsi="Times New Roman" w:cs="Times New Roman"/>
                <w:b/>
                <w:bCs/>
                <w:color w:val="auto"/>
                <w:sz w:val="24"/>
                <w:szCs w:val="24"/>
                <w:highlight w:val="none"/>
                <w:lang w:val="en-US" w:eastAsia="zh-CN"/>
              </w:rPr>
              <w:t>水环境影响综合结论</w:t>
            </w:r>
          </w:p>
          <w:p w14:paraId="0620C400">
            <w:pPr>
              <w:pStyle w:val="57"/>
              <w:bidi w:val="0"/>
              <w:rPr>
                <w:rFonts w:hint="eastAsia" w:cs="Times New Roman"/>
                <w:color w:val="auto"/>
                <w:sz w:val="24"/>
                <w:highlight w:val="none"/>
                <w:lang w:val="en-US" w:eastAsia="zh-CN" w:bidi="ar"/>
              </w:rPr>
            </w:pPr>
            <w:r>
              <w:rPr>
                <w:rFonts w:hint="eastAsia"/>
                <w:lang w:val="en-US" w:eastAsia="zh-CN"/>
              </w:rPr>
              <w:t>锅炉排污水及软化处理废水少量用于灰渣转运、储存进行洒水抑尘。综合废水（生活污水、余锅炉排污水及软化处理废水）排入</w:t>
            </w:r>
            <w:r>
              <w:rPr>
                <w:rFonts w:hint="eastAsia" w:ascii="Times New Roman" w:hAnsi="Times New Roman" w:eastAsia="宋体" w:cs="Times New Roman"/>
                <w:lang w:val="en-US" w:eastAsia="zh-CN"/>
              </w:rPr>
              <w:t>厂区化粪池，</w:t>
            </w:r>
            <w:r>
              <w:rPr>
                <w:rFonts w:hint="eastAsia"/>
                <w:lang w:val="en-US" w:eastAsia="zh-CN"/>
              </w:rPr>
              <w:t>化粪池出水水质符合《污水综合排放标准》（GB8978-1996）表4中三级标准</w:t>
            </w:r>
            <w:r>
              <w:rPr>
                <w:rFonts w:hint="eastAsia" w:ascii="Times New Roman" w:hAnsi="Times New Roman" w:eastAsia="宋体" w:cs="Times New Roman"/>
                <w:lang w:val="en-US" w:eastAsia="zh-CN"/>
              </w:rPr>
              <w:t>，通过10吨</w:t>
            </w:r>
            <w:r>
              <w:rPr>
                <w:rFonts w:hint="default" w:ascii="Times New Roman" w:hAnsi="Times New Roman" w:eastAsia="宋体" w:cs="Times New Roman"/>
                <w:lang w:val="en-US" w:eastAsia="zh-CN"/>
              </w:rPr>
              <w:t>吸污车收集后，运至饶河县西林子乡污水处理站</w:t>
            </w:r>
            <w:r>
              <w:rPr>
                <w:rFonts w:hint="eastAsia" w:ascii="Times New Roman" w:hAnsi="Times New Roman" w:eastAsia="宋体" w:cs="Times New Roman"/>
                <w:lang w:val="en-US" w:eastAsia="zh-CN"/>
              </w:rPr>
              <w:t>。对周边水环</w:t>
            </w:r>
            <w:r>
              <w:rPr>
                <w:rFonts w:hint="eastAsia" w:ascii="Times New Roman" w:hAnsi="Times New Roman" w:eastAsia="宋体" w:cs="Times New Roman"/>
                <w:color w:val="auto"/>
                <w:lang w:val="en-US" w:eastAsia="zh-CN"/>
              </w:rPr>
              <w:t>境影响较小。</w:t>
            </w:r>
          </w:p>
          <w:p w14:paraId="3FB34548">
            <w:pPr>
              <w:keepNext w:val="0"/>
              <w:keepLines w:val="0"/>
              <w:pageBreakBefore w:val="0"/>
              <w:widowControl/>
              <w:kinsoku/>
              <w:wordWrap/>
              <w:overflowPunct/>
              <w:topLinePunct w:val="0"/>
              <w:bidi w:val="0"/>
              <w:adjustRightInd/>
              <w:snapToGrid/>
              <w:spacing w:line="360" w:lineRule="auto"/>
              <w:ind w:firstLine="482" w:firstLineChars="200"/>
              <w:jc w:val="left"/>
              <w:textAlignment w:val="auto"/>
              <w:rPr>
                <w:rFonts w:hint="default" w:ascii="宋体" w:hAnsi="宋体" w:eastAsia="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三、噪声</w:t>
            </w:r>
          </w:p>
          <w:p w14:paraId="1CE6EF5B">
            <w:pPr>
              <w:keepNext w:val="0"/>
              <w:keepLines w:val="0"/>
              <w:pageBreakBefore w:val="0"/>
              <w:widowControl/>
              <w:kinsoku/>
              <w:wordWrap/>
              <w:overflowPunct/>
              <w:topLinePunct w:val="0"/>
              <w:bidi w:val="0"/>
              <w:adjustRightInd/>
              <w:snapToGrid/>
              <w:spacing w:line="360" w:lineRule="auto"/>
              <w:ind w:firstLine="482" w:firstLineChars="200"/>
              <w:jc w:val="left"/>
              <w:textAlignment w:val="auto"/>
              <w:rPr>
                <w:rFonts w:hint="default" w:ascii="宋体" w:hAnsi="宋体" w:eastAsia="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eastAsia="zh-CN"/>
              </w:rPr>
              <w:t>（</w:t>
            </w:r>
            <w:r>
              <w:rPr>
                <w:rFonts w:hint="eastAsia" w:ascii="宋体" w:hAnsi="宋体" w:cs="宋体"/>
                <w:b/>
                <w:bCs/>
                <w:color w:val="auto"/>
                <w:kern w:val="0"/>
                <w:sz w:val="24"/>
                <w:szCs w:val="24"/>
                <w:highlight w:val="none"/>
                <w:lang w:val="en-US" w:eastAsia="zh-CN"/>
              </w:rPr>
              <w:t>一</w:t>
            </w:r>
            <w:r>
              <w:rPr>
                <w:rFonts w:hint="eastAsia" w:ascii="宋体" w:hAnsi="宋体" w:cs="宋体"/>
                <w:b/>
                <w:bCs/>
                <w:color w:val="auto"/>
                <w:kern w:val="0"/>
                <w:sz w:val="24"/>
                <w:szCs w:val="24"/>
                <w:highlight w:val="none"/>
                <w:lang w:eastAsia="zh-CN"/>
              </w:rPr>
              <w:t>）</w:t>
            </w:r>
            <w:r>
              <w:rPr>
                <w:rFonts w:hint="eastAsia" w:ascii="宋体" w:hAnsi="宋体" w:cs="宋体"/>
                <w:b/>
                <w:bCs/>
                <w:color w:val="auto"/>
                <w:kern w:val="0"/>
                <w:sz w:val="24"/>
                <w:szCs w:val="24"/>
                <w:highlight w:val="none"/>
                <w:lang w:val="en-US" w:eastAsia="zh-CN"/>
              </w:rPr>
              <w:t>噪声源情况汇总</w:t>
            </w:r>
          </w:p>
          <w:p w14:paraId="73EEBA90">
            <w:pPr>
              <w:pStyle w:val="43"/>
              <w:keepNext w:val="0"/>
              <w:keepLines w:val="0"/>
              <w:pageBreakBefore w:val="0"/>
              <w:kinsoku/>
              <w:wordWrap/>
              <w:overflowPunct/>
              <w:topLinePunct w:val="0"/>
              <w:bidi w:val="0"/>
              <w:adjustRightInd/>
              <w:snapToGrid/>
              <w:textAlignment w:val="auto"/>
              <w:rPr>
                <w:rFonts w:hint="default" w:ascii="Times New Roman" w:hAnsi="Times New Roman" w:cs="Times New Roman"/>
                <w:color w:val="auto"/>
                <w:sz w:val="24"/>
                <w:highlight w:val="none"/>
                <w:lang w:val="en-US" w:eastAsia="zh-CN" w:bidi="ar"/>
              </w:rPr>
            </w:pPr>
            <w:r>
              <w:rPr>
                <w:rFonts w:hint="eastAsia" w:ascii="宋体" w:hAnsi="宋体" w:cs="宋体"/>
                <w:b w:val="0"/>
                <w:bCs w:val="0"/>
                <w:color w:val="auto"/>
                <w:kern w:val="0"/>
                <w:sz w:val="24"/>
                <w:szCs w:val="24"/>
                <w:highlight w:val="none"/>
                <w:lang w:val="en-US" w:eastAsia="zh-CN"/>
              </w:rPr>
              <w:t>本项目主要噪声源为鼓风机、引风机、锅炉一次性水循环水泵、</w:t>
            </w:r>
            <w:r>
              <w:rPr>
                <w:rFonts w:hint="eastAsia" w:ascii="宋体" w:hAnsi="宋体" w:eastAsia="宋体" w:cs="宋体"/>
                <w:b w:val="0"/>
                <w:bCs w:val="0"/>
                <w:color w:val="auto"/>
                <w:kern w:val="0"/>
                <w:sz w:val="24"/>
                <w:szCs w:val="24"/>
                <w:highlight w:val="none"/>
                <w:lang w:val="en-US" w:eastAsia="zh-CN"/>
              </w:rPr>
              <w:t>一次水变频定压补水装置</w:t>
            </w:r>
            <w:r>
              <w:rPr>
                <w:rFonts w:hint="eastAsia" w:ascii="宋体" w:hAnsi="宋体" w:cs="宋体"/>
                <w:b w:val="0"/>
                <w:bCs w:val="0"/>
                <w:color w:val="auto"/>
                <w:kern w:val="0"/>
                <w:sz w:val="24"/>
                <w:szCs w:val="24"/>
                <w:highlight w:val="none"/>
                <w:lang w:val="en-US" w:eastAsia="zh-CN"/>
              </w:rPr>
              <w:t>、板式换热机组，</w:t>
            </w:r>
            <w:r>
              <w:rPr>
                <w:rFonts w:hint="default" w:ascii="Times New Roman" w:hAnsi="Times New Roman" w:eastAsia="宋体" w:cs="Times New Roman"/>
                <w:color w:val="auto"/>
                <w:sz w:val="24"/>
                <w:highlight w:val="none"/>
                <w:lang w:val="en-US" w:eastAsia="zh-CN" w:bidi="ar"/>
              </w:rPr>
              <w:t>上述设备运转过程中产生机械噪声，</w:t>
            </w:r>
            <w:r>
              <w:rPr>
                <w:rFonts w:hint="eastAsia" w:cs="Times New Roman"/>
                <w:color w:val="auto"/>
                <w:sz w:val="24"/>
                <w:highlight w:val="none"/>
                <w:lang w:val="en-US" w:eastAsia="zh-CN" w:bidi="ar"/>
              </w:rPr>
              <w:t>依据《污染源源强核算技术指南 锅炉》（HJ991-2018）附录D及</w:t>
            </w:r>
            <w:r>
              <w:rPr>
                <w:rFonts w:hint="default" w:ascii="Times New Roman" w:hAnsi="Times New Roman" w:eastAsia="宋体" w:cs="Times New Roman"/>
                <w:color w:val="auto"/>
                <w:sz w:val="24"/>
                <w:highlight w:val="none"/>
                <w:lang w:val="en-US" w:eastAsia="zh-CN" w:bidi="ar"/>
              </w:rPr>
              <w:t>类比同类项目</w:t>
            </w:r>
            <w:r>
              <w:rPr>
                <w:rFonts w:hint="eastAsia" w:cs="Times New Roman"/>
                <w:color w:val="auto"/>
                <w:sz w:val="24"/>
                <w:highlight w:val="none"/>
                <w:lang w:val="en-US" w:eastAsia="zh-CN" w:bidi="ar"/>
              </w:rPr>
              <w:t>，</w:t>
            </w:r>
            <w:r>
              <w:rPr>
                <w:rFonts w:hint="default" w:ascii="Times New Roman" w:hAnsi="Times New Roman" w:eastAsia="宋体" w:cs="Times New Roman"/>
                <w:color w:val="auto"/>
                <w:sz w:val="24"/>
                <w:highlight w:val="none"/>
                <w:lang w:val="en-US" w:eastAsia="zh-CN" w:bidi="ar"/>
              </w:rPr>
              <w:t>确定声源强度（声功率级）约为7</w:t>
            </w:r>
            <w:r>
              <w:rPr>
                <w:rFonts w:hint="eastAsia" w:cs="Times New Roman"/>
                <w:color w:val="auto"/>
                <w:sz w:val="24"/>
                <w:highlight w:val="none"/>
                <w:lang w:val="en-US" w:eastAsia="zh-CN" w:bidi="ar"/>
              </w:rPr>
              <w:t>5</w:t>
            </w:r>
            <w:r>
              <w:rPr>
                <w:rFonts w:hint="default" w:ascii="Times New Roman" w:hAnsi="Times New Roman" w:eastAsia="宋体" w:cs="Times New Roman"/>
                <w:color w:val="auto"/>
                <w:sz w:val="24"/>
                <w:highlight w:val="none"/>
                <w:lang w:val="en-US" w:eastAsia="zh-CN" w:bidi="ar"/>
              </w:rPr>
              <w:t>～</w:t>
            </w:r>
            <w:r>
              <w:rPr>
                <w:rFonts w:hint="eastAsia" w:cs="Times New Roman"/>
                <w:color w:val="auto"/>
                <w:sz w:val="24"/>
                <w:highlight w:val="none"/>
                <w:lang w:val="en-US" w:eastAsia="zh-CN" w:bidi="ar"/>
              </w:rPr>
              <w:t>100</w:t>
            </w:r>
            <w:r>
              <w:rPr>
                <w:rFonts w:hint="default" w:ascii="Times New Roman" w:hAnsi="Times New Roman" w:eastAsia="宋体" w:cs="Times New Roman"/>
                <w:color w:val="auto"/>
                <w:sz w:val="24"/>
                <w:highlight w:val="none"/>
                <w:lang w:val="en-US" w:eastAsia="zh-CN" w:bidi="ar"/>
              </w:rPr>
              <w:t>dB(A)。主要噪声源源强情况见</w:t>
            </w:r>
            <w:r>
              <w:rPr>
                <w:rFonts w:hint="eastAsia" w:cs="Times New Roman"/>
                <w:color w:val="auto"/>
                <w:sz w:val="24"/>
                <w:highlight w:val="none"/>
                <w:lang w:val="en-US" w:eastAsia="zh-CN" w:bidi="ar"/>
              </w:rPr>
              <w:t>表4-15</w:t>
            </w:r>
            <w:r>
              <w:rPr>
                <w:rFonts w:hint="default" w:ascii="Times New Roman" w:hAnsi="Times New Roman" w:cs="Times New Roman"/>
                <w:color w:val="auto"/>
                <w:sz w:val="24"/>
                <w:highlight w:val="none"/>
                <w:lang w:val="en-US" w:eastAsia="zh-CN" w:bidi="ar"/>
              </w:rPr>
              <w:t>。</w:t>
            </w:r>
          </w:p>
          <w:p w14:paraId="0244F174">
            <w:pPr>
              <w:keepNext w:val="0"/>
              <w:keepLines w:val="0"/>
              <w:pageBreakBefore w:val="0"/>
              <w:widowControl/>
              <w:kinsoku/>
              <w:wordWrap/>
              <w:overflowPunct/>
              <w:topLinePunct w:val="0"/>
              <w:bidi w:val="0"/>
              <w:adjustRightInd/>
              <w:snapToGrid/>
              <w:spacing w:line="360" w:lineRule="auto"/>
              <w:ind w:firstLine="482" w:firstLineChars="200"/>
              <w:jc w:val="left"/>
              <w:textAlignment w:val="auto"/>
              <w:rPr>
                <w:rFonts w:hint="default" w:ascii="宋体" w:hAnsi="宋体" w:eastAsia="宋体" w:cs="宋体"/>
                <w:b/>
                <w:bCs/>
                <w:color w:val="auto"/>
                <w:kern w:val="0"/>
                <w:highlight w:val="none"/>
                <w:lang w:val="en-US" w:eastAsia="zh-CN"/>
              </w:rPr>
            </w:pPr>
            <w:r>
              <w:rPr>
                <w:rFonts w:hint="eastAsia" w:ascii="宋体" w:hAnsi="宋体" w:cs="宋体"/>
                <w:b/>
                <w:bCs/>
                <w:color w:val="auto"/>
                <w:kern w:val="0"/>
                <w:sz w:val="24"/>
                <w:szCs w:val="24"/>
                <w:highlight w:val="none"/>
                <w:lang w:eastAsia="zh-CN"/>
              </w:rPr>
              <w:t>（</w:t>
            </w:r>
            <w:r>
              <w:rPr>
                <w:rFonts w:hint="eastAsia" w:ascii="宋体" w:hAnsi="宋体" w:cs="宋体"/>
                <w:b/>
                <w:bCs/>
                <w:color w:val="auto"/>
                <w:kern w:val="0"/>
                <w:sz w:val="24"/>
                <w:szCs w:val="24"/>
                <w:highlight w:val="none"/>
                <w:lang w:val="en-US" w:eastAsia="zh-CN"/>
              </w:rPr>
              <w:t>二</w:t>
            </w:r>
            <w:r>
              <w:rPr>
                <w:rFonts w:hint="eastAsia" w:ascii="宋体" w:hAnsi="宋体" w:cs="宋体"/>
                <w:b/>
                <w:bCs/>
                <w:color w:val="auto"/>
                <w:kern w:val="0"/>
                <w:sz w:val="24"/>
                <w:szCs w:val="24"/>
                <w:highlight w:val="none"/>
                <w:lang w:eastAsia="zh-CN"/>
              </w:rPr>
              <w:t>）</w:t>
            </w:r>
            <w:r>
              <w:rPr>
                <w:rFonts w:hint="default" w:ascii="Times New Roman" w:hAnsi="Times New Roman" w:cs="Times New Roman"/>
                <w:b/>
                <w:bCs/>
                <w:color w:val="auto"/>
                <w:sz w:val="24"/>
                <w:highlight w:val="none"/>
                <w:lang w:val="en-US" w:eastAsia="zh-CN"/>
              </w:rPr>
              <w:t>降噪措施</w:t>
            </w:r>
          </w:p>
          <w:p w14:paraId="52C611B9">
            <w:pPr>
              <w:pStyle w:val="43"/>
              <w:keepNext w:val="0"/>
              <w:keepLines w:val="0"/>
              <w:pageBreakBefore w:val="0"/>
              <w:kinsoku/>
              <w:wordWrap/>
              <w:overflowPunct/>
              <w:topLinePunct w:val="0"/>
              <w:bidi w:val="0"/>
              <w:adjustRightInd/>
              <w:snapToGrid/>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为更大程度地降低设备噪声对周围环境的影响，</w:t>
            </w:r>
            <w:r>
              <w:rPr>
                <w:rFonts w:hint="default" w:ascii="Times New Roman" w:hAnsi="Times New Roman" w:cs="Times New Roman"/>
                <w:color w:val="auto"/>
                <w:sz w:val="24"/>
                <w:szCs w:val="24"/>
                <w:highlight w:val="none"/>
                <w:lang w:val="en-US" w:eastAsia="zh-CN"/>
              </w:rPr>
              <w:t>建设单位拟</w:t>
            </w:r>
            <w:r>
              <w:rPr>
                <w:rFonts w:hint="default" w:ascii="Times New Roman" w:hAnsi="Times New Roman" w:cs="Times New Roman"/>
                <w:color w:val="auto"/>
                <w:sz w:val="24"/>
                <w:szCs w:val="24"/>
                <w:highlight w:val="none"/>
              </w:rPr>
              <w:t>采取以下降噪措施：</w:t>
            </w:r>
          </w:p>
          <w:p w14:paraId="1B22B131">
            <w:pPr>
              <w:keepNext w:val="0"/>
              <w:keepLines w:val="0"/>
              <w:pageBreakBefore w:val="0"/>
              <w:numPr>
                <w:ilvl w:val="0"/>
                <w:numId w:val="0"/>
              </w:numPr>
              <w:kinsoku/>
              <w:wordWrap/>
              <w:overflowPunct/>
              <w:topLinePunct w:val="0"/>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合理布设</w:t>
            </w:r>
            <w:r>
              <w:rPr>
                <w:rFonts w:hint="eastAsia" w:cs="Times New Roman"/>
                <w:color w:val="auto"/>
                <w:sz w:val="24"/>
                <w:szCs w:val="24"/>
                <w:highlight w:val="none"/>
                <w:lang w:val="en-US" w:eastAsia="zh-CN"/>
              </w:rPr>
              <w:t>生产</w:t>
            </w:r>
            <w:r>
              <w:rPr>
                <w:rFonts w:hint="default" w:ascii="Times New Roman" w:hAnsi="Times New Roman" w:cs="Times New Roman"/>
                <w:color w:val="auto"/>
                <w:sz w:val="24"/>
                <w:szCs w:val="24"/>
                <w:highlight w:val="none"/>
                <w:lang w:val="en-US" w:eastAsia="zh-CN"/>
              </w:rPr>
              <w:t>设施</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可设置于室内的噪声设备尽量避免室外设置</w:t>
            </w:r>
            <w:r>
              <w:rPr>
                <w:rFonts w:hint="default" w:ascii="Times New Roman" w:hAnsi="Times New Roman" w:cs="Times New Roman"/>
                <w:color w:val="auto"/>
                <w:sz w:val="24"/>
                <w:szCs w:val="24"/>
                <w:highlight w:val="none"/>
                <w:lang w:eastAsia="zh-CN"/>
              </w:rPr>
              <w:t>；</w:t>
            </w:r>
          </w:p>
          <w:p w14:paraId="1F10E21C">
            <w:pPr>
              <w:keepNext w:val="0"/>
              <w:keepLines w:val="0"/>
              <w:pageBreakBefore w:val="0"/>
              <w:kinsoku/>
              <w:wordWrap/>
              <w:overflowPunct/>
              <w:topLinePunct w:val="0"/>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2</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选用低噪设备并维持设备处于良好的运转状态，减少因零部件磨损产生的噪声</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对声源采用减振、隔声</w:t>
            </w:r>
            <w:r>
              <w:rPr>
                <w:rFonts w:hint="default" w:ascii="Times New Roman" w:hAnsi="Times New Roman" w:cs="Times New Roman"/>
                <w:color w:val="auto"/>
                <w:sz w:val="24"/>
                <w:szCs w:val="24"/>
                <w:highlight w:val="none"/>
                <w:lang w:val="en-US" w:eastAsia="zh-CN"/>
              </w:rPr>
              <w:t>等</w:t>
            </w:r>
            <w:r>
              <w:rPr>
                <w:rFonts w:hint="default" w:ascii="Times New Roman" w:hAnsi="Times New Roman" w:cs="Times New Roman"/>
                <w:color w:val="auto"/>
                <w:sz w:val="24"/>
                <w:szCs w:val="24"/>
                <w:highlight w:val="none"/>
              </w:rPr>
              <w:t>措施</w:t>
            </w:r>
            <w:r>
              <w:rPr>
                <w:rFonts w:hint="eastAsia" w:cs="Times New Roman"/>
                <w:color w:val="auto"/>
                <w:sz w:val="24"/>
                <w:szCs w:val="24"/>
                <w:highlight w:val="none"/>
                <w:lang w:eastAsia="zh-CN"/>
              </w:rPr>
              <w:t>；</w:t>
            </w:r>
          </w:p>
          <w:p w14:paraId="056C68FD">
            <w:pPr>
              <w:keepNext w:val="0"/>
              <w:keepLines w:val="0"/>
              <w:pageBreakBefore w:val="0"/>
              <w:kinsoku/>
              <w:wordWrap/>
              <w:overflowPunct/>
              <w:topLinePunct w:val="0"/>
              <w:bidi w:val="0"/>
              <w:adjustRightInd/>
              <w:snapToGrid/>
              <w:spacing w:line="360" w:lineRule="auto"/>
              <w:ind w:firstLine="480" w:firstLineChars="200"/>
              <w:textAlignment w:val="auto"/>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3.</w:t>
            </w:r>
            <w:r>
              <w:rPr>
                <w:rFonts w:hint="default" w:ascii="Times New Roman" w:hAnsi="Times New Roman" w:cs="Times New Roman"/>
                <w:color w:val="auto"/>
                <w:sz w:val="24"/>
                <w:highlight w:val="none"/>
              </w:rPr>
              <w:t>使用低噪声泵类设备，泵类设备</w:t>
            </w:r>
            <w:r>
              <w:rPr>
                <w:rFonts w:hint="default" w:ascii="Times New Roman" w:hAnsi="Times New Roman" w:cs="Times New Roman"/>
                <w:color w:val="auto"/>
                <w:sz w:val="24"/>
                <w:highlight w:val="none"/>
                <w:lang w:val="en-US" w:eastAsia="zh-CN"/>
              </w:rPr>
              <w:t>采用</w:t>
            </w:r>
            <w:r>
              <w:rPr>
                <w:rFonts w:hint="default" w:ascii="Times New Roman" w:hAnsi="Times New Roman" w:cs="Times New Roman"/>
                <w:color w:val="auto"/>
                <w:sz w:val="24"/>
                <w:highlight w:val="none"/>
              </w:rPr>
              <w:t>弹性软接头，在此基础上进行减振处理</w:t>
            </w:r>
            <w:r>
              <w:rPr>
                <w:rFonts w:hint="default" w:ascii="Times New Roman" w:hAnsi="Times New Roman" w:cs="Times New Roman"/>
                <w:color w:val="auto"/>
                <w:sz w:val="24"/>
                <w:highlight w:val="none"/>
                <w:lang w:eastAsia="zh-CN"/>
              </w:rPr>
              <w:t>；</w:t>
            </w:r>
          </w:p>
          <w:p w14:paraId="4F4E3A9D">
            <w:pPr>
              <w:keepNext w:val="0"/>
              <w:keepLines w:val="0"/>
              <w:pageBreakBefore w:val="0"/>
              <w:kinsoku/>
              <w:wordWrap/>
              <w:overflowPunct/>
              <w:topLinePunct w:val="0"/>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4.项目夜间不进行生产活动；</w:t>
            </w:r>
          </w:p>
          <w:p w14:paraId="28CE0FE8">
            <w:pPr>
              <w:keepNext w:val="0"/>
              <w:keepLines w:val="0"/>
              <w:pageBreakBefore w:val="0"/>
              <w:kinsoku/>
              <w:wordWrap/>
              <w:overflowPunct/>
              <w:topLinePunct w:val="0"/>
              <w:bidi w:val="0"/>
              <w:adjustRightInd/>
              <w:snapToGrid/>
              <w:spacing w:line="360" w:lineRule="auto"/>
              <w:ind w:firstLine="480" w:firstLineChars="200"/>
              <w:textAlignment w:val="auto"/>
              <w:rPr>
                <w:rFonts w:hint="default" w:ascii="Times New Roman" w:hAnsi="Times New Roman" w:cs="Times New Roman"/>
                <w:color w:val="FF0000"/>
                <w:sz w:val="24"/>
                <w:szCs w:val="24"/>
                <w:highlight w:val="none"/>
                <w:lang w:val="en-US" w:eastAsia="zh-CN"/>
              </w:rPr>
            </w:pPr>
            <w:r>
              <w:rPr>
                <w:rFonts w:hint="eastAsia" w:cs="Times New Roman"/>
                <w:color w:val="auto"/>
                <w:sz w:val="24"/>
                <w:szCs w:val="24"/>
                <w:highlight w:val="none"/>
                <w:lang w:val="en-US" w:eastAsia="zh-CN"/>
              </w:rPr>
              <w:t>5.设备运行期间</w:t>
            </w:r>
            <w:r>
              <w:rPr>
                <w:rFonts w:hint="default" w:ascii="Times New Roman" w:hAnsi="Times New Roman" w:cs="Times New Roman"/>
                <w:color w:val="auto"/>
                <w:sz w:val="24"/>
                <w:szCs w:val="24"/>
                <w:highlight w:val="none"/>
                <w:lang w:val="en-US" w:eastAsia="zh-CN"/>
              </w:rPr>
              <w:t>，紧闭门窗，强化隔声作用</w:t>
            </w:r>
            <w:r>
              <w:rPr>
                <w:rFonts w:hint="default" w:ascii="Times New Roman" w:hAnsi="Times New Roman" w:cs="Times New Roman"/>
                <w:color w:val="auto"/>
                <w:sz w:val="24"/>
                <w:szCs w:val="24"/>
                <w:highlight w:val="none"/>
              </w:rPr>
              <w:t>。</w:t>
            </w:r>
          </w:p>
        </w:tc>
      </w:tr>
    </w:tbl>
    <w:p w14:paraId="5FFE976B">
      <w:pPr>
        <w:rPr>
          <w:rFonts w:hint="eastAsia"/>
          <w:color w:val="FF0000"/>
          <w:highlight w:val="none"/>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1"/>
        <w:tblW w:w="14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3725"/>
      </w:tblGrid>
      <w:tr w14:paraId="631DF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3" w:hRule="atLeast"/>
          <w:jc w:val="center"/>
        </w:trPr>
        <w:tc>
          <w:tcPr>
            <w:tcW w:w="725" w:type="dxa"/>
            <w:vAlign w:val="center"/>
          </w:tcPr>
          <w:p w14:paraId="548011AA">
            <w:pPr>
              <w:adjustRightInd w:val="0"/>
              <w:snapToGrid w:val="0"/>
              <w:jc w:val="center"/>
              <w:rPr>
                <w:rFonts w:hint="eastAsia"/>
                <w:color w:val="FF0000"/>
                <w:highlight w:val="none"/>
                <w:vertAlign w:val="baseline"/>
              </w:rPr>
            </w:pPr>
            <w:r>
              <w:rPr>
                <w:rFonts w:hint="default" w:ascii="Times New Roman" w:hAnsi="Times New Roman" w:cs="Times New Roman"/>
                <w:bCs/>
                <w:color w:val="auto"/>
                <w:sz w:val="24"/>
                <w:szCs w:val="24"/>
                <w:highlight w:val="none"/>
              </w:rPr>
              <w:t>运营期环境影响和保护措施</w:t>
            </w:r>
          </w:p>
        </w:tc>
        <w:tc>
          <w:tcPr>
            <w:tcW w:w="13725" w:type="dxa"/>
          </w:tcPr>
          <w:p w14:paraId="5D60DAF9">
            <w:pPr>
              <w:pStyle w:val="16"/>
              <w:keepNext w:val="0"/>
              <w:keepLines w:val="0"/>
              <w:pageBreakBefore w:val="0"/>
              <w:widowControl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b/>
                <w:bCs/>
                <w:color w:val="auto"/>
                <w:sz w:val="21"/>
                <w:szCs w:val="21"/>
                <w:highlight w:val="none"/>
                <w:vertAlign w:val="baseline"/>
                <w:lang w:val="en-US" w:eastAsia="zh-CN"/>
              </w:rPr>
              <w:t xml:space="preserve">表4-15  </w:t>
            </w:r>
            <w:r>
              <w:rPr>
                <w:rFonts w:hint="eastAsia" w:cs="Times New Roman"/>
                <w:b/>
                <w:bCs/>
                <w:color w:val="auto"/>
                <w:sz w:val="21"/>
                <w:szCs w:val="21"/>
                <w:highlight w:val="none"/>
                <w:lang w:val="en-US" w:eastAsia="zh-CN"/>
              </w:rPr>
              <w:t>工业企业噪声源强调查清单（室内声源）</w:t>
            </w:r>
          </w:p>
          <w:tbl>
            <w:tblPr>
              <w:tblStyle w:val="21"/>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9"/>
              <w:gridCol w:w="669"/>
              <w:gridCol w:w="1305"/>
              <w:gridCol w:w="870"/>
              <w:gridCol w:w="870"/>
              <w:gridCol w:w="825"/>
              <w:gridCol w:w="758"/>
              <w:gridCol w:w="684"/>
              <w:gridCol w:w="666"/>
              <w:gridCol w:w="2044"/>
              <w:gridCol w:w="1082"/>
              <w:gridCol w:w="416"/>
              <w:gridCol w:w="974"/>
              <w:gridCol w:w="901"/>
              <w:gridCol w:w="996"/>
            </w:tblGrid>
            <w:tr w14:paraId="08AF705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vMerge w:val="restart"/>
                  <w:tcBorders>
                    <w:tl2br w:val="nil"/>
                    <w:tr2bl w:val="nil"/>
                  </w:tcBorders>
                  <w:noWrap w:val="0"/>
                  <w:vAlign w:val="center"/>
                </w:tcPr>
                <w:p w14:paraId="6319CFF7">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序号</w:t>
                  </w:r>
                </w:p>
              </w:tc>
              <w:tc>
                <w:tcPr>
                  <w:tcW w:w="669" w:type="dxa"/>
                  <w:vMerge w:val="restart"/>
                  <w:tcBorders>
                    <w:tl2br w:val="nil"/>
                    <w:tr2bl w:val="nil"/>
                  </w:tcBorders>
                  <w:noWrap w:val="0"/>
                  <w:vAlign w:val="center"/>
                </w:tcPr>
                <w:p w14:paraId="79DEC54E">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建筑物名称</w:t>
                  </w:r>
                </w:p>
              </w:tc>
              <w:tc>
                <w:tcPr>
                  <w:tcW w:w="1305" w:type="dxa"/>
                  <w:vMerge w:val="restart"/>
                  <w:tcBorders>
                    <w:tl2br w:val="nil"/>
                    <w:tr2bl w:val="nil"/>
                  </w:tcBorders>
                  <w:noWrap w:val="0"/>
                  <w:vAlign w:val="center"/>
                </w:tcPr>
                <w:p w14:paraId="3079C3BA">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声源名称</w:t>
                  </w:r>
                </w:p>
              </w:tc>
              <w:tc>
                <w:tcPr>
                  <w:tcW w:w="870" w:type="dxa"/>
                  <w:vMerge w:val="restart"/>
                  <w:tcBorders>
                    <w:tl2br w:val="nil"/>
                    <w:tr2bl w:val="nil"/>
                  </w:tcBorders>
                  <w:noWrap w:val="0"/>
                  <w:vAlign w:val="center"/>
                </w:tcPr>
                <w:p w14:paraId="56B53CAE">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型号</w:t>
                  </w:r>
                </w:p>
              </w:tc>
              <w:tc>
                <w:tcPr>
                  <w:tcW w:w="870" w:type="dxa"/>
                  <w:vMerge w:val="restart"/>
                  <w:tcBorders>
                    <w:tl2br w:val="nil"/>
                    <w:tr2bl w:val="nil"/>
                  </w:tcBorders>
                  <w:noWrap w:val="0"/>
                  <w:vAlign w:val="center"/>
                </w:tcPr>
                <w:p w14:paraId="69750E5A">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声源源强声功率级/dB（A）</w:t>
                  </w:r>
                </w:p>
              </w:tc>
              <w:tc>
                <w:tcPr>
                  <w:tcW w:w="825" w:type="dxa"/>
                  <w:vMerge w:val="restart"/>
                  <w:tcBorders>
                    <w:tl2br w:val="nil"/>
                    <w:tr2bl w:val="nil"/>
                  </w:tcBorders>
                  <w:noWrap w:val="0"/>
                  <w:vAlign w:val="center"/>
                </w:tcPr>
                <w:p w14:paraId="3814661A">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声源控制措施</w:t>
                  </w:r>
                </w:p>
              </w:tc>
              <w:tc>
                <w:tcPr>
                  <w:tcW w:w="2108" w:type="dxa"/>
                  <w:gridSpan w:val="3"/>
                  <w:tcBorders>
                    <w:tl2br w:val="nil"/>
                    <w:tr2bl w:val="nil"/>
                  </w:tcBorders>
                  <w:noWrap w:val="0"/>
                  <w:vAlign w:val="center"/>
                </w:tcPr>
                <w:p w14:paraId="3A759431">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空间相对位置/m</w:t>
                  </w:r>
                </w:p>
              </w:tc>
              <w:tc>
                <w:tcPr>
                  <w:tcW w:w="2044" w:type="dxa"/>
                  <w:vMerge w:val="restart"/>
                  <w:tcBorders>
                    <w:tl2br w:val="nil"/>
                    <w:tr2bl w:val="nil"/>
                  </w:tcBorders>
                  <w:noWrap w:val="0"/>
                  <w:vAlign w:val="center"/>
                </w:tcPr>
                <w:p w14:paraId="0641F1BA">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距室内边界距离/m</w:t>
                  </w:r>
                </w:p>
              </w:tc>
              <w:tc>
                <w:tcPr>
                  <w:tcW w:w="1082" w:type="dxa"/>
                  <w:vMerge w:val="restart"/>
                  <w:tcBorders>
                    <w:tl2br w:val="nil"/>
                    <w:tr2bl w:val="nil"/>
                  </w:tcBorders>
                  <w:noWrap w:val="0"/>
                  <w:vAlign w:val="center"/>
                </w:tcPr>
                <w:p w14:paraId="73310FA6">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室内边界声级/</w:t>
                  </w:r>
                  <w:r>
                    <w:rPr>
                      <w:rFonts w:hint="default" w:ascii="Times New Roman" w:hAnsi="Times New Roman" w:eastAsia="宋体" w:cs="Times New Roman"/>
                      <w:b/>
                      <w:bCs/>
                      <w:color w:val="auto"/>
                      <w:sz w:val="21"/>
                      <w:szCs w:val="21"/>
                      <w:highlight w:val="none"/>
                      <w:vertAlign w:val="baseline"/>
                      <w:lang w:val="en-US" w:eastAsia="zh-CN"/>
                    </w:rPr>
                    <w:t>dB（A）</w:t>
                  </w:r>
                </w:p>
              </w:tc>
              <w:tc>
                <w:tcPr>
                  <w:tcW w:w="416" w:type="dxa"/>
                  <w:vMerge w:val="restart"/>
                  <w:tcBorders>
                    <w:tl2br w:val="nil"/>
                    <w:tr2bl w:val="nil"/>
                  </w:tcBorders>
                  <w:noWrap w:val="0"/>
                  <w:vAlign w:val="center"/>
                </w:tcPr>
                <w:p w14:paraId="134CC8D9">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运行时段</w:t>
                  </w:r>
                </w:p>
              </w:tc>
              <w:tc>
                <w:tcPr>
                  <w:tcW w:w="974" w:type="dxa"/>
                  <w:vMerge w:val="restart"/>
                  <w:tcBorders>
                    <w:tl2br w:val="nil"/>
                    <w:tr2bl w:val="nil"/>
                  </w:tcBorders>
                  <w:noWrap w:val="0"/>
                  <w:vAlign w:val="center"/>
                </w:tcPr>
                <w:p w14:paraId="56C3460A">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建筑物插入损失/dB（A）</w:t>
                  </w:r>
                </w:p>
              </w:tc>
              <w:tc>
                <w:tcPr>
                  <w:tcW w:w="1897" w:type="dxa"/>
                  <w:gridSpan w:val="2"/>
                  <w:vMerge w:val="restart"/>
                  <w:tcBorders>
                    <w:tl2br w:val="nil"/>
                    <w:tr2bl w:val="nil"/>
                  </w:tcBorders>
                  <w:noWrap w:val="0"/>
                  <w:vAlign w:val="center"/>
                </w:tcPr>
                <w:p w14:paraId="700E0693">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建筑物外噪声</w:t>
                  </w:r>
                </w:p>
              </w:tc>
            </w:tr>
            <w:tr w14:paraId="3A26D48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vMerge w:val="continue"/>
                  <w:tcBorders>
                    <w:tl2br w:val="nil"/>
                    <w:tr2bl w:val="nil"/>
                  </w:tcBorders>
                  <w:noWrap w:val="0"/>
                  <w:vAlign w:val="center"/>
                </w:tcPr>
                <w:p w14:paraId="11EE6C01">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669" w:type="dxa"/>
                  <w:vMerge w:val="continue"/>
                  <w:tcBorders>
                    <w:tl2br w:val="nil"/>
                    <w:tr2bl w:val="nil"/>
                  </w:tcBorders>
                  <w:noWrap w:val="0"/>
                  <w:vAlign w:val="center"/>
                </w:tcPr>
                <w:p w14:paraId="2A6B858E">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1305" w:type="dxa"/>
                  <w:vMerge w:val="continue"/>
                  <w:tcBorders>
                    <w:tl2br w:val="nil"/>
                    <w:tr2bl w:val="nil"/>
                  </w:tcBorders>
                  <w:noWrap w:val="0"/>
                  <w:vAlign w:val="center"/>
                </w:tcPr>
                <w:p w14:paraId="742A742D">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870" w:type="dxa"/>
                  <w:vMerge w:val="continue"/>
                  <w:tcBorders>
                    <w:tl2br w:val="nil"/>
                    <w:tr2bl w:val="nil"/>
                  </w:tcBorders>
                  <w:noWrap w:val="0"/>
                  <w:vAlign w:val="center"/>
                </w:tcPr>
                <w:p w14:paraId="2CCCC2EA">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870" w:type="dxa"/>
                  <w:vMerge w:val="continue"/>
                  <w:tcBorders>
                    <w:tl2br w:val="nil"/>
                    <w:tr2bl w:val="nil"/>
                  </w:tcBorders>
                  <w:noWrap w:val="0"/>
                  <w:vAlign w:val="center"/>
                </w:tcPr>
                <w:p w14:paraId="1507BB5F">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825" w:type="dxa"/>
                  <w:vMerge w:val="continue"/>
                  <w:tcBorders>
                    <w:tl2br w:val="nil"/>
                    <w:tr2bl w:val="nil"/>
                  </w:tcBorders>
                  <w:noWrap w:val="0"/>
                  <w:vAlign w:val="center"/>
                </w:tcPr>
                <w:p w14:paraId="0CD7BECA">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758" w:type="dxa"/>
                  <w:vMerge w:val="restart"/>
                  <w:tcBorders>
                    <w:tl2br w:val="nil"/>
                    <w:tr2bl w:val="nil"/>
                  </w:tcBorders>
                  <w:noWrap w:val="0"/>
                  <w:vAlign w:val="center"/>
                </w:tcPr>
                <w:p w14:paraId="1199C235">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X</w:t>
                  </w:r>
                </w:p>
              </w:tc>
              <w:tc>
                <w:tcPr>
                  <w:tcW w:w="684" w:type="dxa"/>
                  <w:vMerge w:val="restart"/>
                  <w:tcBorders>
                    <w:tl2br w:val="nil"/>
                    <w:tr2bl w:val="nil"/>
                  </w:tcBorders>
                  <w:noWrap w:val="0"/>
                  <w:vAlign w:val="center"/>
                </w:tcPr>
                <w:p w14:paraId="495895C8">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Y</w:t>
                  </w:r>
                </w:p>
              </w:tc>
              <w:tc>
                <w:tcPr>
                  <w:tcW w:w="666" w:type="dxa"/>
                  <w:vMerge w:val="restart"/>
                  <w:tcBorders>
                    <w:tl2br w:val="nil"/>
                    <w:tr2bl w:val="nil"/>
                  </w:tcBorders>
                  <w:noWrap w:val="0"/>
                  <w:vAlign w:val="center"/>
                </w:tcPr>
                <w:p w14:paraId="0F2FE284">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Z</w:t>
                  </w:r>
                </w:p>
              </w:tc>
              <w:tc>
                <w:tcPr>
                  <w:tcW w:w="2044" w:type="dxa"/>
                  <w:vMerge w:val="continue"/>
                  <w:tcBorders>
                    <w:tl2br w:val="nil"/>
                    <w:tr2bl w:val="nil"/>
                  </w:tcBorders>
                  <w:noWrap w:val="0"/>
                  <w:vAlign w:val="center"/>
                </w:tcPr>
                <w:p w14:paraId="3EB067E7">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1082" w:type="dxa"/>
                  <w:vMerge w:val="continue"/>
                  <w:tcBorders>
                    <w:tl2br w:val="nil"/>
                    <w:tr2bl w:val="nil"/>
                  </w:tcBorders>
                  <w:noWrap w:val="0"/>
                  <w:vAlign w:val="center"/>
                </w:tcPr>
                <w:p w14:paraId="5824C4E3">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416" w:type="dxa"/>
                  <w:vMerge w:val="continue"/>
                  <w:tcBorders>
                    <w:tl2br w:val="nil"/>
                    <w:tr2bl w:val="nil"/>
                  </w:tcBorders>
                  <w:noWrap w:val="0"/>
                  <w:vAlign w:val="center"/>
                </w:tcPr>
                <w:p w14:paraId="419C2C2B">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974" w:type="dxa"/>
                  <w:vMerge w:val="continue"/>
                  <w:tcBorders>
                    <w:tl2br w:val="nil"/>
                    <w:tr2bl w:val="nil"/>
                  </w:tcBorders>
                  <w:noWrap w:val="0"/>
                  <w:vAlign w:val="center"/>
                </w:tcPr>
                <w:p w14:paraId="7DE1A437">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1897" w:type="dxa"/>
                  <w:gridSpan w:val="2"/>
                  <w:vMerge w:val="continue"/>
                  <w:tcBorders>
                    <w:tl2br w:val="nil"/>
                    <w:tr2bl w:val="nil"/>
                  </w:tcBorders>
                  <w:noWrap w:val="0"/>
                  <w:vAlign w:val="center"/>
                </w:tcPr>
                <w:p w14:paraId="3F7498E5">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r>
            <w:tr w14:paraId="5C1FA9A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9" w:type="dxa"/>
                  <w:vMerge w:val="continue"/>
                  <w:tcBorders>
                    <w:tl2br w:val="nil"/>
                    <w:tr2bl w:val="nil"/>
                  </w:tcBorders>
                  <w:noWrap w:val="0"/>
                  <w:vAlign w:val="center"/>
                </w:tcPr>
                <w:p w14:paraId="552A732E">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669" w:type="dxa"/>
                  <w:vMerge w:val="continue"/>
                  <w:tcBorders>
                    <w:tl2br w:val="nil"/>
                    <w:tr2bl w:val="nil"/>
                  </w:tcBorders>
                  <w:noWrap w:val="0"/>
                  <w:vAlign w:val="center"/>
                </w:tcPr>
                <w:p w14:paraId="2F0B74AE">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1305" w:type="dxa"/>
                  <w:vMerge w:val="continue"/>
                  <w:tcBorders>
                    <w:tl2br w:val="nil"/>
                    <w:tr2bl w:val="nil"/>
                  </w:tcBorders>
                  <w:noWrap w:val="0"/>
                  <w:vAlign w:val="center"/>
                </w:tcPr>
                <w:p w14:paraId="4E1AF6FA">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870" w:type="dxa"/>
                  <w:vMerge w:val="continue"/>
                  <w:tcBorders>
                    <w:tl2br w:val="nil"/>
                    <w:tr2bl w:val="nil"/>
                  </w:tcBorders>
                  <w:noWrap w:val="0"/>
                  <w:vAlign w:val="center"/>
                </w:tcPr>
                <w:p w14:paraId="1B9D7397">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870" w:type="dxa"/>
                  <w:vMerge w:val="continue"/>
                  <w:tcBorders>
                    <w:tl2br w:val="nil"/>
                    <w:tr2bl w:val="nil"/>
                  </w:tcBorders>
                  <w:noWrap w:val="0"/>
                  <w:vAlign w:val="center"/>
                </w:tcPr>
                <w:p w14:paraId="76C9A553">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825" w:type="dxa"/>
                  <w:vMerge w:val="continue"/>
                  <w:tcBorders>
                    <w:tl2br w:val="nil"/>
                    <w:tr2bl w:val="nil"/>
                  </w:tcBorders>
                  <w:noWrap w:val="0"/>
                  <w:vAlign w:val="center"/>
                </w:tcPr>
                <w:p w14:paraId="1756F1BB">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758" w:type="dxa"/>
                  <w:vMerge w:val="continue"/>
                  <w:tcBorders>
                    <w:tl2br w:val="nil"/>
                    <w:tr2bl w:val="nil"/>
                  </w:tcBorders>
                  <w:noWrap w:val="0"/>
                  <w:vAlign w:val="center"/>
                </w:tcPr>
                <w:p w14:paraId="3FDC8165">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FF0000"/>
                      <w:sz w:val="21"/>
                      <w:szCs w:val="21"/>
                      <w:highlight w:val="none"/>
                      <w:vertAlign w:val="baseline"/>
                      <w:lang w:val="en-US" w:eastAsia="zh-CN"/>
                    </w:rPr>
                  </w:pPr>
                </w:p>
              </w:tc>
              <w:tc>
                <w:tcPr>
                  <w:tcW w:w="684" w:type="dxa"/>
                  <w:vMerge w:val="continue"/>
                  <w:tcBorders>
                    <w:tl2br w:val="nil"/>
                    <w:tr2bl w:val="nil"/>
                  </w:tcBorders>
                  <w:noWrap w:val="0"/>
                  <w:vAlign w:val="center"/>
                </w:tcPr>
                <w:p w14:paraId="507783BF">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FF0000"/>
                      <w:sz w:val="21"/>
                      <w:szCs w:val="21"/>
                      <w:highlight w:val="none"/>
                      <w:vertAlign w:val="baseline"/>
                      <w:lang w:val="en-US" w:eastAsia="zh-CN"/>
                    </w:rPr>
                  </w:pPr>
                </w:p>
              </w:tc>
              <w:tc>
                <w:tcPr>
                  <w:tcW w:w="666" w:type="dxa"/>
                  <w:vMerge w:val="continue"/>
                  <w:tcBorders>
                    <w:tl2br w:val="nil"/>
                    <w:tr2bl w:val="nil"/>
                  </w:tcBorders>
                  <w:noWrap w:val="0"/>
                  <w:vAlign w:val="center"/>
                </w:tcPr>
                <w:p w14:paraId="1804A666">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FF0000"/>
                      <w:sz w:val="21"/>
                      <w:szCs w:val="21"/>
                      <w:highlight w:val="none"/>
                      <w:vertAlign w:val="baseline"/>
                      <w:lang w:val="en-US" w:eastAsia="zh-CN"/>
                    </w:rPr>
                  </w:pPr>
                </w:p>
              </w:tc>
              <w:tc>
                <w:tcPr>
                  <w:tcW w:w="2044" w:type="dxa"/>
                  <w:vMerge w:val="continue"/>
                  <w:tcBorders>
                    <w:tl2br w:val="nil"/>
                    <w:tr2bl w:val="nil"/>
                  </w:tcBorders>
                  <w:noWrap w:val="0"/>
                  <w:vAlign w:val="center"/>
                </w:tcPr>
                <w:p w14:paraId="44EDFBF8">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FF0000"/>
                      <w:sz w:val="21"/>
                      <w:szCs w:val="21"/>
                      <w:highlight w:val="none"/>
                      <w:vertAlign w:val="baseline"/>
                      <w:lang w:val="en-US" w:eastAsia="zh-CN"/>
                    </w:rPr>
                  </w:pPr>
                </w:p>
              </w:tc>
              <w:tc>
                <w:tcPr>
                  <w:tcW w:w="1082" w:type="dxa"/>
                  <w:vMerge w:val="continue"/>
                  <w:tcBorders>
                    <w:tl2br w:val="nil"/>
                    <w:tr2bl w:val="nil"/>
                  </w:tcBorders>
                  <w:noWrap w:val="0"/>
                  <w:vAlign w:val="center"/>
                </w:tcPr>
                <w:p w14:paraId="21EF0C75">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416" w:type="dxa"/>
                  <w:vMerge w:val="continue"/>
                  <w:tcBorders>
                    <w:tl2br w:val="nil"/>
                    <w:tr2bl w:val="nil"/>
                  </w:tcBorders>
                  <w:noWrap w:val="0"/>
                  <w:vAlign w:val="center"/>
                </w:tcPr>
                <w:p w14:paraId="151B91C0">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974" w:type="dxa"/>
                  <w:vMerge w:val="continue"/>
                  <w:tcBorders>
                    <w:tl2br w:val="nil"/>
                    <w:tr2bl w:val="nil"/>
                  </w:tcBorders>
                  <w:noWrap w:val="0"/>
                  <w:vAlign w:val="center"/>
                </w:tcPr>
                <w:p w14:paraId="79FD52E4">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901" w:type="dxa"/>
                  <w:tcBorders>
                    <w:tl2br w:val="nil"/>
                    <w:tr2bl w:val="nil"/>
                  </w:tcBorders>
                  <w:noWrap w:val="0"/>
                  <w:vAlign w:val="center"/>
                </w:tcPr>
                <w:p w14:paraId="1B8E3126">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声压级/dB（A）</w:t>
                  </w:r>
                </w:p>
              </w:tc>
              <w:tc>
                <w:tcPr>
                  <w:tcW w:w="996" w:type="dxa"/>
                  <w:tcBorders>
                    <w:tl2br w:val="nil"/>
                    <w:tr2bl w:val="nil"/>
                  </w:tcBorders>
                  <w:noWrap w:val="0"/>
                  <w:vAlign w:val="center"/>
                </w:tcPr>
                <w:p w14:paraId="55FAB8B9">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建筑物外距离</w:t>
                  </w:r>
                  <w:r>
                    <w:rPr>
                      <w:rFonts w:hint="default" w:ascii="Times New Roman" w:hAnsi="Times New Roman" w:cs="Times New Roman"/>
                      <w:b/>
                      <w:bCs/>
                      <w:color w:val="auto"/>
                      <w:highlight w:val="none"/>
                      <w:lang w:eastAsia="zh-CN"/>
                    </w:rPr>
                    <w:t>（</w:t>
                  </w:r>
                  <w:r>
                    <w:rPr>
                      <w:rFonts w:hint="default" w:ascii="Times New Roman" w:hAnsi="Times New Roman" w:cs="Times New Roman"/>
                      <w:b/>
                      <w:bCs/>
                      <w:color w:val="auto"/>
                      <w:highlight w:val="none"/>
                      <w:lang w:val="en-US" w:eastAsia="zh-CN"/>
                    </w:rPr>
                    <w:t>m</w:t>
                  </w:r>
                  <w:r>
                    <w:rPr>
                      <w:rFonts w:hint="default" w:ascii="Times New Roman" w:hAnsi="Times New Roman" w:cs="Times New Roman"/>
                      <w:b/>
                      <w:bCs/>
                      <w:color w:val="auto"/>
                      <w:highlight w:val="none"/>
                      <w:lang w:eastAsia="zh-CN"/>
                    </w:rPr>
                    <w:t>）</w:t>
                  </w:r>
                </w:p>
              </w:tc>
            </w:tr>
            <w:tr w14:paraId="5C827D1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9" w:type="dxa"/>
                  <w:tcBorders>
                    <w:tl2br w:val="nil"/>
                    <w:tr2bl w:val="nil"/>
                  </w:tcBorders>
                  <w:noWrap w:val="0"/>
                  <w:vAlign w:val="center"/>
                </w:tcPr>
                <w:p w14:paraId="3AB9100E">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69" w:type="dxa"/>
                  <w:vMerge w:val="restart"/>
                  <w:tcBorders>
                    <w:tl2br w:val="nil"/>
                    <w:tr2bl w:val="nil"/>
                  </w:tcBorders>
                  <w:noWrap w:val="0"/>
                  <w:vAlign w:val="center"/>
                </w:tcPr>
                <w:p w14:paraId="21573010">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锅炉房</w:t>
                  </w:r>
                </w:p>
              </w:tc>
              <w:tc>
                <w:tcPr>
                  <w:tcW w:w="1305" w:type="dxa"/>
                  <w:tcBorders>
                    <w:tl2br w:val="nil"/>
                    <w:tr2bl w:val="nil"/>
                  </w:tcBorders>
                  <w:noWrap w:val="0"/>
                  <w:vAlign w:val="center"/>
                </w:tcPr>
                <w:p w14:paraId="6C537521">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lang w:val="en-US" w:eastAsia="zh-CN"/>
                    </w:rPr>
                    <w:t>鼓风机</w:t>
                  </w:r>
                </w:p>
              </w:tc>
              <w:tc>
                <w:tcPr>
                  <w:tcW w:w="870" w:type="dxa"/>
                  <w:tcBorders>
                    <w:tl2br w:val="nil"/>
                    <w:tr2bl w:val="nil"/>
                  </w:tcBorders>
                  <w:noWrap w:val="0"/>
                  <w:vAlign w:val="center"/>
                </w:tcPr>
                <w:p w14:paraId="4A752785">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snapToGrid w:val="0"/>
                      <w:color w:val="auto"/>
                      <w:sz w:val="21"/>
                      <w:szCs w:val="21"/>
                      <w:highlight w:val="none"/>
                      <w:lang w:val="en-US" w:eastAsia="zh-CN"/>
                    </w:rPr>
                    <w:t>/</w:t>
                  </w:r>
                </w:p>
              </w:tc>
              <w:tc>
                <w:tcPr>
                  <w:tcW w:w="870" w:type="dxa"/>
                  <w:tcBorders>
                    <w:tl2br w:val="nil"/>
                    <w:tr2bl w:val="nil"/>
                  </w:tcBorders>
                  <w:noWrap w:val="0"/>
                  <w:vAlign w:val="center"/>
                </w:tcPr>
                <w:p w14:paraId="5866BF39">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75</w:t>
                  </w:r>
                </w:p>
              </w:tc>
              <w:tc>
                <w:tcPr>
                  <w:tcW w:w="825" w:type="dxa"/>
                  <w:vMerge w:val="restart"/>
                  <w:tcBorders>
                    <w:tl2br w:val="nil"/>
                    <w:tr2bl w:val="nil"/>
                  </w:tcBorders>
                  <w:noWrap w:val="0"/>
                  <w:vAlign w:val="center"/>
                </w:tcPr>
                <w:p w14:paraId="5B5384E7">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基础减</w:t>
                  </w:r>
                </w:p>
                <w:p w14:paraId="64958BED">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振</w:t>
                  </w:r>
                  <w:r>
                    <w:rPr>
                      <w:rFonts w:hint="default" w:ascii="Times New Roman" w:hAnsi="Times New Roman" w:cs="Times New Roman"/>
                      <w:color w:val="auto"/>
                      <w:sz w:val="21"/>
                      <w:szCs w:val="21"/>
                      <w:highlight w:val="none"/>
                      <w:vertAlign w:val="baseline"/>
                      <w:lang w:val="en-US" w:eastAsia="zh-CN"/>
                    </w:rPr>
                    <w:t>、软连接</w:t>
                  </w:r>
                  <w:r>
                    <w:rPr>
                      <w:rFonts w:hint="default" w:ascii="Times New Roman" w:hAnsi="Times New Roman" w:eastAsia="宋体" w:cs="Times New Roman"/>
                      <w:color w:val="auto"/>
                      <w:sz w:val="21"/>
                      <w:szCs w:val="21"/>
                      <w:highlight w:val="none"/>
                      <w:vertAlign w:val="baseline"/>
                      <w:lang w:val="en-US" w:eastAsia="zh-CN"/>
                    </w:rPr>
                    <w:t>、厂房</w:t>
                  </w:r>
                </w:p>
                <w:p w14:paraId="3212F6F3">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隔声等</w:t>
                  </w:r>
                </w:p>
              </w:tc>
              <w:tc>
                <w:tcPr>
                  <w:tcW w:w="758" w:type="dxa"/>
                  <w:tcBorders>
                    <w:tl2br w:val="nil"/>
                    <w:tr2bl w:val="nil"/>
                  </w:tcBorders>
                  <w:noWrap w:val="0"/>
                  <w:vAlign w:val="center"/>
                </w:tcPr>
                <w:p w14:paraId="7B643229">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24.</w:t>
                  </w:r>
                  <w:r>
                    <w:rPr>
                      <w:rFonts w:hint="eastAsia" w:cs="Times New Roman"/>
                      <w:color w:val="auto"/>
                      <w:sz w:val="21"/>
                      <w:szCs w:val="21"/>
                      <w:highlight w:val="none"/>
                      <w:vertAlign w:val="baseline"/>
                      <w:lang w:val="en-US" w:eastAsia="zh-CN"/>
                    </w:rPr>
                    <w:t>2</w:t>
                  </w:r>
                </w:p>
              </w:tc>
              <w:tc>
                <w:tcPr>
                  <w:tcW w:w="684" w:type="dxa"/>
                  <w:tcBorders>
                    <w:tl2br w:val="nil"/>
                    <w:tr2bl w:val="nil"/>
                  </w:tcBorders>
                  <w:noWrap w:val="0"/>
                  <w:vAlign w:val="center"/>
                </w:tcPr>
                <w:p w14:paraId="3D5B5FE1">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47.8</w:t>
                  </w:r>
                </w:p>
              </w:tc>
              <w:tc>
                <w:tcPr>
                  <w:tcW w:w="666" w:type="dxa"/>
                  <w:tcBorders>
                    <w:tl2br w:val="nil"/>
                    <w:tr2bl w:val="nil"/>
                  </w:tcBorders>
                  <w:noWrap w:val="0"/>
                  <w:vAlign w:val="center"/>
                </w:tcPr>
                <w:p w14:paraId="31D5BB3C">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1.2</w:t>
                  </w:r>
                </w:p>
              </w:tc>
              <w:tc>
                <w:tcPr>
                  <w:tcW w:w="2044" w:type="dxa"/>
                  <w:tcBorders>
                    <w:tl2br w:val="nil"/>
                    <w:tr2bl w:val="nil"/>
                  </w:tcBorders>
                  <w:noWrap w:val="0"/>
                  <w:vAlign w:val="center"/>
                </w:tcPr>
                <w:p w14:paraId="14B042FE">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4.0/14.2/37.5/12.2</w:t>
                  </w:r>
                </w:p>
              </w:tc>
              <w:tc>
                <w:tcPr>
                  <w:tcW w:w="1082" w:type="dxa"/>
                  <w:tcBorders>
                    <w:tl2br w:val="nil"/>
                    <w:tr2bl w:val="nil"/>
                  </w:tcBorders>
                  <w:noWrap w:val="0"/>
                  <w:vAlign w:val="center"/>
                </w:tcPr>
                <w:p w14:paraId="656F5F30">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w:t>
                  </w:r>
                  <w:r>
                    <w:rPr>
                      <w:rFonts w:hint="eastAsia" w:ascii="Times New Roman" w:hAnsi="Times New Roman" w:eastAsia="宋体" w:cs="Times New Roman"/>
                      <w:color w:val="auto"/>
                      <w:sz w:val="21"/>
                      <w:szCs w:val="21"/>
                      <w:highlight w:val="none"/>
                      <w:vertAlign w:val="baseline"/>
                      <w:lang w:val="en-US" w:eastAsia="zh-CN"/>
                    </w:rPr>
                    <w:t>3</w:t>
                  </w:r>
                  <w:r>
                    <w:rPr>
                      <w:rFonts w:hint="default" w:ascii="Times New Roman" w:hAnsi="Times New Roman" w:eastAsia="宋体" w:cs="Times New Roman"/>
                      <w:color w:val="auto"/>
                      <w:sz w:val="21"/>
                      <w:szCs w:val="21"/>
                      <w:highlight w:val="none"/>
                      <w:vertAlign w:val="baseline"/>
                      <w:lang w:val="en-US" w:eastAsia="zh-CN"/>
                    </w:rPr>
                    <w:t>.</w:t>
                  </w:r>
                  <w:r>
                    <w:rPr>
                      <w:rFonts w:hint="eastAsia" w:ascii="Times New Roman" w:hAnsi="Times New Roman" w:eastAsia="宋体" w:cs="Times New Roman"/>
                      <w:color w:val="auto"/>
                      <w:sz w:val="21"/>
                      <w:szCs w:val="21"/>
                      <w:highlight w:val="none"/>
                      <w:vertAlign w:val="baseline"/>
                      <w:lang w:val="en-US" w:eastAsia="zh-CN"/>
                    </w:rPr>
                    <w:t>0/52.0/43.5/53.3</w:t>
                  </w:r>
                </w:p>
              </w:tc>
              <w:tc>
                <w:tcPr>
                  <w:tcW w:w="416" w:type="dxa"/>
                  <w:vMerge w:val="restart"/>
                  <w:tcBorders>
                    <w:tl2br w:val="nil"/>
                    <w:tr2bl w:val="nil"/>
                  </w:tcBorders>
                  <w:noWrap w:val="0"/>
                  <w:vAlign w:val="center"/>
                </w:tcPr>
                <w:p w14:paraId="488D329F">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昼</w:t>
                  </w:r>
                  <w:r>
                    <w:rPr>
                      <w:rFonts w:hint="eastAsia" w:cs="Times New Roman"/>
                      <w:color w:val="auto"/>
                      <w:sz w:val="21"/>
                      <w:szCs w:val="21"/>
                      <w:highlight w:val="none"/>
                      <w:vertAlign w:val="baseline"/>
                      <w:lang w:val="en-US" w:eastAsia="zh-CN"/>
                    </w:rPr>
                    <w:t>、夜</w:t>
                  </w:r>
                  <w:r>
                    <w:rPr>
                      <w:rFonts w:hint="default" w:ascii="Times New Roman" w:hAnsi="Times New Roman" w:eastAsia="宋体" w:cs="Times New Roman"/>
                      <w:color w:val="auto"/>
                      <w:sz w:val="21"/>
                      <w:szCs w:val="21"/>
                      <w:highlight w:val="none"/>
                      <w:vertAlign w:val="baseline"/>
                      <w:lang w:val="en-US" w:eastAsia="zh-CN"/>
                    </w:rPr>
                    <w:t>间</w:t>
                  </w:r>
                </w:p>
              </w:tc>
              <w:tc>
                <w:tcPr>
                  <w:tcW w:w="974" w:type="dxa"/>
                  <w:vMerge w:val="restart"/>
                  <w:tcBorders>
                    <w:tl2br w:val="nil"/>
                    <w:tr2bl w:val="nil"/>
                  </w:tcBorders>
                  <w:noWrap w:val="0"/>
                  <w:vAlign w:val="center"/>
                </w:tcPr>
                <w:p w14:paraId="72473246">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sz w:val="21"/>
                      <w:szCs w:val="21"/>
                      <w:highlight w:val="none"/>
                      <w:vertAlign w:val="baseline"/>
                      <w:lang w:val="en-US" w:eastAsia="zh-CN"/>
                    </w:rPr>
                    <w:t>根据厂房实际情况，参考</w:t>
                  </w:r>
                  <w:r>
                    <w:rPr>
                      <w:rFonts w:hint="default" w:ascii="Times New Roman" w:hAnsi="Times New Roman" w:eastAsia="宋体" w:cs="Times New Roman"/>
                      <w:color w:val="auto"/>
                      <w:sz w:val="21"/>
                      <w:szCs w:val="21"/>
                      <w:highlight w:val="none"/>
                      <w:vertAlign w:val="baseline"/>
                      <w:lang w:val="en-US" w:eastAsia="zh-CN"/>
                    </w:rPr>
                    <w:t>《噪声与振动控制工程手册》（机械工业出版社）</w:t>
                  </w:r>
                  <w:r>
                    <w:rPr>
                      <w:rFonts w:hint="default" w:ascii="Times New Roman" w:hAnsi="Times New Roman" w:cs="Times New Roman"/>
                      <w:color w:val="auto"/>
                      <w:sz w:val="21"/>
                      <w:szCs w:val="21"/>
                      <w:highlight w:val="none"/>
                      <w:vertAlign w:val="baseline"/>
                      <w:lang w:val="en-US" w:eastAsia="zh-CN"/>
                    </w:rPr>
                    <w:t>中的数据“</w:t>
                  </w:r>
                  <w:r>
                    <w:rPr>
                      <w:rFonts w:hint="default" w:ascii="Times New Roman" w:hAnsi="Times New Roman" w:eastAsia="宋体" w:cs="Times New Roman"/>
                      <w:color w:val="auto"/>
                      <w:sz w:val="21"/>
                      <w:szCs w:val="21"/>
                      <w:highlight w:val="none"/>
                      <w:vertAlign w:val="baseline"/>
                      <w:lang w:val="en-US" w:eastAsia="zh-CN"/>
                    </w:rPr>
                    <w:t>钢质门</w:t>
                  </w:r>
                  <w:r>
                    <w:rPr>
                      <w:rFonts w:hint="default" w:ascii="Times New Roman" w:hAnsi="Times New Roman" w:cs="Times New Roman"/>
                      <w:color w:val="auto"/>
                      <w:sz w:val="21"/>
                      <w:szCs w:val="21"/>
                      <w:highlight w:val="none"/>
                      <w:vertAlign w:val="baseline"/>
                      <w:lang w:val="en-US" w:eastAsia="zh-CN"/>
                    </w:rPr>
                    <w:t>，</w:t>
                  </w:r>
                  <w:r>
                    <w:rPr>
                      <w:rFonts w:hint="eastAsia" w:cs="Times New Roman"/>
                      <w:color w:val="auto"/>
                      <w:sz w:val="21"/>
                      <w:szCs w:val="21"/>
                      <w:highlight w:val="none"/>
                      <w:vertAlign w:val="baseline"/>
                      <w:lang w:val="en-US" w:eastAsia="zh-CN"/>
                    </w:rPr>
                    <w:t>实测隔声</w:t>
                  </w:r>
                  <w:r>
                    <w:rPr>
                      <w:rFonts w:hint="default" w:ascii="Times New Roman" w:hAnsi="Times New Roman" w:cs="Times New Roman"/>
                      <w:color w:val="auto"/>
                      <w:sz w:val="21"/>
                      <w:szCs w:val="21"/>
                      <w:highlight w:val="none"/>
                      <w:vertAlign w:val="baseline"/>
                      <w:lang w:val="en-US" w:eastAsia="zh-CN"/>
                    </w:rPr>
                    <w:t>量</w:t>
                  </w:r>
                  <w:r>
                    <w:rPr>
                      <w:rFonts w:hint="eastAsia" w:cs="Times New Roman"/>
                      <w:color w:val="auto"/>
                      <w:sz w:val="21"/>
                      <w:szCs w:val="21"/>
                      <w:highlight w:val="none"/>
                      <w:vertAlign w:val="baseline"/>
                      <w:lang w:val="en-US" w:eastAsia="zh-CN"/>
                    </w:rPr>
                    <w:t>20~22</w:t>
                  </w:r>
                  <w:r>
                    <w:rPr>
                      <w:rFonts w:hint="default" w:ascii="Times New Roman" w:hAnsi="Times New Roman" w:cs="Times New Roman"/>
                      <w:color w:val="auto"/>
                      <w:sz w:val="21"/>
                      <w:szCs w:val="21"/>
                      <w:highlight w:val="none"/>
                      <w:vertAlign w:val="baseline"/>
                      <w:lang w:val="en-US" w:eastAsia="zh-CN"/>
                    </w:rPr>
                    <w:t>”</w:t>
                  </w:r>
                  <w:r>
                    <w:rPr>
                      <w:rFonts w:hint="eastAsia" w:cs="Times New Roman"/>
                      <w:color w:val="auto"/>
                      <w:sz w:val="21"/>
                      <w:szCs w:val="21"/>
                      <w:highlight w:val="none"/>
                      <w:vertAlign w:val="baseline"/>
                      <w:lang w:val="en-US" w:eastAsia="zh-CN"/>
                    </w:rPr>
                    <w:t>，本次评价取21</w:t>
                  </w:r>
                </w:p>
              </w:tc>
              <w:tc>
                <w:tcPr>
                  <w:tcW w:w="901" w:type="dxa"/>
                  <w:tcBorders>
                    <w:tl2br w:val="nil"/>
                    <w:tr2bl w:val="nil"/>
                  </w:tcBorders>
                  <w:noWrap w:val="0"/>
                  <w:vAlign w:val="center"/>
                </w:tcPr>
                <w:p w14:paraId="1AD90216">
                  <w:pPr>
                    <w:keepNext w:val="0"/>
                    <w:keepLines w:val="0"/>
                    <w:pageBreakBefore w:val="0"/>
                    <w:widowControl w:val="0"/>
                    <w:kinsoku/>
                    <w:wordWrap/>
                    <w:overflowPunct/>
                    <w:topLinePunct w:val="0"/>
                    <w:bidi w:val="0"/>
                    <w:snapToGrid/>
                    <w:spacing w:line="240" w:lineRule="auto"/>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32.0</w:t>
                  </w:r>
                </w:p>
              </w:tc>
              <w:tc>
                <w:tcPr>
                  <w:tcW w:w="996" w:type="dxa"/>
                  <w:tcBorders>
                    <w:tl2br w:val="nil"/>
                    <w:tr2bl w:val="nil"/>
                  </w:tcBorders>
                  <w:noWrap w:val="0"/>
                  <w:vAlign w:val="center"/>
                </w:tcPr>
                <w:p w14:paraId="2E2D6EA0">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r>
            <w:tr w14:paraId="3233CE2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9" w:type="dxa"/>
                  <w:tcBorders>
                    <w:tl2br w:val="nil"/>
                    <w:tr2bl w:val="nil"/>
                  </w:tcBorders>
                  <w:noWrap w:val="0"/>
                  <w:vAlign w:val="center"/>
                </w:tcPr>
                <w:p w14:paraId="59B0F862">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w:t>
                  </w:r>
                </w:p>
              </w:tc>
              <w:tc>
                <w:tcPr>
                  <w:tcW w:w="669" w:type="dxa"/>
                  <w:vMerge w:val="continue"/>
                  <w:tcBorders>
                    <w:tl2br w:val="nil"/>
                    <w:tr2bl w:val="nil"/>
                  </w:tcBorders>
                  <w:noWrap w:val="0"/>
                  <w:vAlign w:val="center"/>
                </w:tcPr>
                <w:p w14:paraId="46816CE7">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cs="Times New Roman"/>
                      <w:color w:val="FF0000"/>
                      <w:sz w:val="21"/>
                      <w:szCs w:val="21"/>
                      <w:highlight w:val="none"/>
                      <w:vertAlign w:val="baseline"/>
                      <w:lang w:val="en-US" w:eastAsia="zh-CN"/>
                    </w:rPr>
                  </w:pPr>
                </w:p>
              </w:tc>
              <w:tc>
                <w:tcPr>
                  <w:tcW w:w="1305" w:type="dxa"/>
                  <w:tcBorders>
                    <w:tl2br w:val="nil"/>
                    <w:tr2bl w:val="nil"/>
                  </w:tcBorders>
                  <w:noWrap w:val="0"/>
                  <w:vAlign w:val="center"/>
                </w:tcPr>
                <w:p w14:paraId="2B3322EA">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引风机</w:t>
                  </w:r>
                </w:p>
              </w:tc>
              <w:tc>
                <w:tcPr>
                  <w:tcW w:w="870" w:type="dxa"/>
                  <w:tcBorders>
                    <w:tl2br w:val="nil"/>
                    <w:tr2bl w:val="nil"/>
                  </w:tcBorders>
                  <w:noWrap w:val="0"/>
                  <w:vAlign w:val="center"/>
                </w:tcPr>
                <w:p w14:paraId="7BD13378">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snapToGrid w:val="0"/>
                      <w:color w:val="auto"/>
                      <w:sz w:val="21"/>
                      <w:szCs w:val="21"/>
                      <w:highlight w:val="none"/>
                      <w:lang w:val="en-US" w:eastAsia="zh-CN"/>
                    </w:rPr>
                  </w:pPr>
                  <w:r>
                    <w:rPr>
                      <w:rFonts w:hint="eastAsia" w:cs="Times New Roman"/>
                      <w:snapToGrid w:val="0"/>
                      <w:color w:val="auto"/>
                      <w:sz w:val="21"/>
                      <w:szCs w:val="21"/>
                      <w:highlight w:val="none"/>
                      <w:lang w:val="en-US" w:eastAsia="zh-CN"/>
                    </w:rPr>
                    <w:t>/</w:t>
                  </w:r>
                </w:p>
              </w:tc>
              <w:tc>
                <w:tcPr>
                  <w:tcW w:w="870" w:type="dxa"/>
                  <w:tcBorders>
                    <w:tl2br w:val="nil"/>
                    <w:tr2bl w:val="nil"/>
                  </w:tcBorders>
                  <w:noWrap w:val="0"/>
                  <w:vAlign w:val="center"/>
                </w:tcPr>
                <w:p w14:paraId="4C335666">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75</w:t>
                  </w:r>
                </w:p>
              </w:tc>
              <w:tc>
                <w:tcPr>
                  <w:tcW w:w="825" w:type="dxa"/>
                  <w:vMerge w:val="continue"/>
                  <w:tcBorders>
                    <w:tl2br w:val="nil"/>
                    <w:tr2bl w:val="nil"/>
                  </w:tcBorders>
                  <w:noWrap w:val="0"/>
                  <w:vAlign w:val="center"/>
                </w:tcPr>
                <w:p w14:paraId="0F1466A0">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p>
              </w:tc>
              <w:tc>
                <w:tcPr>
                  <w:tcW w:w="758" w:type="dxa"/>
                  <w:tcBorders>
                    <w:tl2br w:val="nil"/>
                    <w:tr2bl w:val="nil"/>
                  </w:tcBorders>
                  <w:noWrap w:val="0"/>
                  <w:vAlign w:val="center"/>
                </w:tcPr>
                <w:p w14:paraId="65B9C6C7">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eastAsia"/>
                    </w:rPr>
                    <w:t>26.2</w:t>
                  </w:r>
                </w:p>
              </w:tc>
              <w:tc>
                <w:tcPr>
                  <w:tcW w:w="684" w:type="dxa"/>
                  <w:tcBorders>
                    <w:tl2br w:val="nil"/>
                    <w:tr2bl w:val="nil"/>
                  </w:tcBorders>
                  <w:noWrap w:val="0"/>
                  <w:vAlign w:val="center"/>
                </w:tcPr>
                <w:p w14:paraId="75725620">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default" w:cs="Times New Roman"/>
                      <w:color w:val="auto"/>
                      <w:sz w:val="21"/>
                      <w:szCs w:val="21"/>
                      <w:highlight w:val="none"/>
                      <w:vertAlign w:val="baseline"/>
                      <w:lang w:val="en-US" w:eastAsia="zh-CN"/>
                    </w:rPr>
                    <w:t>44.</w:t>
                  </w:r>
                  <w:r>
                    <w:rPr>
                      <w:rFonts w:hint="eastAsia" w:cs="Times New Roman"/>
                      <w:color w:val="auto"/>
                      <w:sz w:val="21"/>
                      <w:szCs w:val="21"/>
                      <w:highlight w:val="none"/>
                      <w:vertAlign w:val="baseline"/>
                      <w:lang w:val="en-US" w:eastAsia="zh-CN"/>
                    </w:rPr>
                    <w:t>2</w:t>
                  </w:r>
                </w:p>
              </w:tc>
              <w:tc>
                <w:tcPr>
                  <w:tcW w:w="666" w:type="dxa"/>
                  <w:tcBorders>
                    <w:tl2br w:val="nil"/>
                    <w:tr2bl w:val="nil"/>
                  </w:tcBorders>
                  <w:noWrap w:val="0"/>
                  <w:vAlign w:val="center"/>
                </w:tcPr>
                <w:p w14:paraId="079B2F74">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1.2</w:t>
                  </w:r>
                </w:p>
              </w:tc>
              <w:tc>
                <w:tcPr>
                  <w:tcW w:w="2044" w:type="dxa"/>
                  <w:tcBorders>
                    <w:tl2br w:val="nil"/>
                    <w:tr2bl w:val="nil"/>
                  </w:tcBorders>
                  <w:noWrap w:val="0"/>
                  <w:vAlign w:val="center"/>
                </w:tcPr>
                <w:p w14:paraId="2E9BD85C">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3.7/9.8/37.6/16.6</w:t>
                  </w:r>
                </w:p>
              </w:tc>
              <w:tc>
                <w:tcPr>
                  <w:tcW w:w="1082" w:type="dxa"/>
                  <w:tcBorders>
                    <w:tl2br w:val="nil"/>
                    <w:tr2bl w:val="nil"/>
                  </w:tcBorders>
                  <w:noWrap w:val="0"/>
                  <w:vAlign w:val="center"/>
                </w:tcPr>
                <w:p w14:paraId="3E9C5240">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63.6</w:t>
                  </w:r>
                  <w:r>
                    <w:rPr>
                      <w:rFonts w:hint="eastAsia" w:ascii="Times New Roman" w:hAnsi="Times New Roman" w:eastAsia="宋体" w:cs="Times New Roman"/>
                      <w:color w:val="auto"/>
                      <w:sz w:val="21"/>
                      <w:szCs w:val="21"/>
                      <w:highlight w:val="none"/>
                      <w:vertAlign w:val="baseline"/>
                      <w:lang w:val="en-US" w:eastAsia="zh-CN"/>
                    </w:rPr>
                    <w:t>/55.2/43.5/50.6</w:t>
                  </w:r>
                </w:p>
              </w:tc>
              <w:tc>
                <w:tcPr>
                  <w:tcW w:w="416" w:type="dxa"/>
                  <w:vMerge w:val="continue"/>
                  <w:tcBorders>
                    <w:tl2br w:val="nil"/>
                    <w:tr2bl w:val="nil"/>
                  </w:tcBorders>
                  <w:noWrap w:val="0"/>
                  <w:vAlign w:val="center"/>
                </w:tcPr>
                <w:p w14:paraId="329AE9BB">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FF0000"/>
                      <w:sz w:val="21"/>
                      <w:szCs w:val="21"/>
                      <w:highlight w:val="yellow"/>
                      <w:vertAlign w:val="baseline"/>
                      <w:lang w:val="en-US" w:eastAsia="zh-CN"/>
                    </w:rPr>
                  </w:pPr>
                </w:p>
              </w:tc>
              <w:tc>
                <w:tcPr>
                  <w:tcW w:w="974" w:type="dxa"/>
                  <w:vMerge w:val="continue"/>
                  <w:tcBorders>
                    <w:tl2br w:val="nil"/>
                    <w:tr2bl w:val="nil"/>
                  </w:tcBorders>
                  <w:noWrap w:val="0"/>
                  <w:vAlign w:val="center"/>
                </w:tcPr>
                <w:p w14:paraId="4192988A">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cs="Times New Roman"/>
                      <w:color w:val="FF0000"/>
                      <w:sz w:val="21"/>
                      <w:szCs w:val="21"/>
                      <w:highlight w:val="yellow"/>
                      <w:vertAlign w:val="baseline"/>
                      <w:lang w:val="en-US" w:eastAsia="zh-CN"/>
                    </w:rPr>
                  </w:pPr>
                </w:p>
              </w:tc>
              <w:tc>
                <w:tcPr>
                  <w:tcW w:w="901" w:type="dxa"/>
                  <w:tcBorders>
                    <w:tl2br w:val="nil"/>
                    <w:tr2bl w:val="nil"/>
                  </w:tcBorders>
                  <w:noWrap w:val="0"/>
                  <w:vAlign w:val="center"/>
                </w:tcPr>
                <w:p w14:paraId="05BA85DE">
                  <w:pPr>
                    <w:keepNext w:val="0"/>
                    <w:keepLines w:val="0"/>
                    <w:pageBreakBefore w:val="0"/>
                    <w:widowControl w:val="0"/>
                    <w:kinsoku/>
                    <w:wordWrap/>
                    <w:overflowPunct/>
                    <w:topLinePunct w:val="0"/>
                    <w:bidi w:val="0"/>
                    <w:snapToGrid/>
                    <w:spacing w:line="240" w:lineRule="auto"/>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32.2</w:t>
                  </w:r>
                </w:p>
              </w:tc>
              <w:tc>
                <w:tcPr>
                  <w:tcW w:w="996" w:type="dxa"/>
                  <w:tcBorders>
                    <w:tl2br w:val="nil"/>
                    <w:tr2bl w:val="nil"/>
                  </w:tcBorders>
                  <w:noWrap w:val="0"/>
                  <w:vAlign w:val="center"/>
                </w:tcPr>
                <w:p w14:paraId="0982A488">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r>
            <w:tr w14:paraId="4CA51F3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9" w:type="dxa"/>
                  <w:tcBorders>
                    <w:tl2br w:val="nil"/>
                    <w:tr2bl w:val="nil"/>
                  </w:tcBorders>
                  <w:noWrap w:val="0"/>
                  <w:vAlign w:val="center"/>
                </w:tcPr>
                <w:p w14:paraId="4C4D8B95">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3</w:t>
                  </w:r>
                </w:p>
              </w:tc>
              <w:tc>
                <w:tcPr>
                  <w:tcW w:w="669" w:type="dxa"/>
                  <w:vMerge w:val="continue"/>
                  <w:tcBorders>
                    <w:tl2br w:val="nil"/>
                    <w:tr2bl w:val="nil"/>
                  </w:tcBorders>
                  <w:noWrap w:val="0"/>
                  <w:vAlign w:val="center"/>
                </w:tcPr>
                <w:p w14:paraId="7784651E">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cs="Times New Roman"/>
                      <w:color w:val="FF0000"/>
                      <w:sz w:val="21"/>
                      <w:szCs w:val="21"/>
                      <w:highlight w:val="none"/>
                      <w:vertAlign w:val="baseline"/>
                      <w:lang w:val="en-US" w:eastAsia="zh-CN"/>
                    </w:rPr>
                  </w:pPr>
                </w:p>
              </w:tc>
              <w:tc>
                <w:tcPr>
                  <w:tcW w:w="1305" w:type="dxa"/>
                  <w:tcBorders>
                    <w:tl2br w:val="nil"/>
                    <w:tr2bl w:val="nil"/>
                  </w:tcBorders>
                  <w:noWrap w:val="0"/>
                  <w:vAlign w:val="center"/>
                </w:tcPr>
                <w:p w14:paraId="3EC37AA9">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w:t>
                  </w:r>
                  <w:r>
                    <w:rPr>
                      <w:rFonts w:hint="eastAsia"/>
                      <w:color w:val="auto"/>
                      <w:sz w:val="21"/>
                      <w:szCs w:val="21"/>
                      <w:highlight w:val="none"/>
                      <w:vertAlign w:val="baseline"/>
                      <w:lang w:val="en-US" w:eastAsia="zh-CN"/>
                    </w:rPr>
                    <w:t>锅炉一次水循环水泵</w:t>
                  </w:r>
                </w:p>
              </w:tc>
              <w:tc>
                <w:tcPr>
                  <w:tcW w:w="870" w:type="dxa"/>
                  <w:tcBorders>
                    <w:tl2br w:val="nil"/>
                    <w:tr2bl w:val="nil"/>
                  </w:tcBorders>
                  <w:noWrap w:val="0"/>
                  <w:vAlign w:val="center"/>
                </w:tcPr>
                <w:p w14:paraId="34E7A221">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snapToGrid w:val="0"/>
                      <w:color w:val="auto"/>
                      <w:sz w:val="21"/>
                      <w:szCs w:val="21"/>
                      <w:highlight w:val="none"/>
                      <w:lang w:val="en-US" w:eastAsia="zh-CN"/>
                    </w:rPr>
                  </w:pPr>
                  <w:r>
                    <w:rPr>
                      <w:rFonts w:hint="eastAsia" w:cs="Times New Roman"/>
                      <w:snapToGrid w:val="0"/>
                      <w:color w:val="auto"/>
                      <w:sz w:val="21"/>
                      <w:szCs w:val="21"/>
                      <w:highlight w:val="none"/>
                      <w:lang w:val="en-US" w:eastAsia="zh-CN"/>
                    </w:rPr>
                    <w:t>/</w:t>
                  </w:r>
                </w:p>
              </w:tc>
              <w:tc>
                <w:tcPr>
                  <w:tcW w:w="870" w:type="dxa"/>
                  <w:tcBorders>
                    <w:tl2br w:val="nil"/>
                    <w:tr2bl w:val="nil"/>
                  </w:tcBorders>
                  <w:noWrap w:val="0"/>
                  <w:vAlign w:val="center"/>
                </w:tcPr>
                <w:p w14:paraId="61E1D3D0">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75</w:t>
                  </w:r>
                </w:p>
              </w:tc>
              <w:tc>
                <w:tcPr>
                  <w:tcW w:w="825" w:type="dxa"/>
                  <w:vMerge w:val="continue"/>
                  <w:tcBorders>
                    <w:tl2br w:val="nil"/>
                    <w:tr2bl w:val="nil"/>
                  </w:tcBorders>
                  <w:noWrap w:val="0"/>
                  <w:vAlign w:val="center"/>
                </w:tcPr>
                <w:p w14:paraId="74A5C845">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p>
              </w:tc>
              <w:tc>
                <w:tcPr>
                  <w:tcW w:w="758" w:type="dxa"/>
                  <w:tcBorders>
                    <w:tl2br w:val="nil"/>
                    <w:tr2bl w:val="nil"/>
                  </w:tcBorders>
                  <w:noWrap w:val="0"/>
                  <w:vAlign w:val="center"/>
                </w:tcPr>
                <w:p w14:paraId="5261E4DD">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default" w:cs="Times New Roman"/>
                      <w:color w:val="auto"/>
                      <w:sz w:val="21"/>
                      <w:szCs w:val="21"/>
                      <w:highlight w:val="none"/>
                      <w:vertAlign w:val="baseline"/>
                      <w:lang w:val="en-US" w:eastAsia="zh-CN"/>
                    </w:rPr>
                    <w:t>27.6</w:t>
                  </w:r>
                </w:p>
              </w:tc>
              <w:tc>
                <w:tcPr>
                  <w:tcW w:w="684" w:type="dxa"/>
                  <w:tcBorders>
                    <w:tl2br w:val="nil"/>
                    <w:tr2bl w:val="nil"/>
                  </w:tcBorders>
                  <w:noWrap w:val="0"/>
                  <w:vAlign w:val="center"/>
                </w:tcPr>
                <w:p w14:paraId="2DDD4D73">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default" w:cs="Times New Roman"/>
                      <w:color w:val="auto"/>
                      <w:sz w:val="21"/>
                      <w:szCs w:val="21"/>
                      <w:highlight w:val="none"/>
                      <w:vertAlign w:val="baseline"/>
                      <w:lang w:val="en-US" w:eastAsia="zh-CN"/>
                    </w:rPr>
                    <w:t>39.2</w:t>
                  </w:r>
                </w:p>
              </w:tc>
              <w:tc>
                <w:tcPr>
                  <w:tcW w:w="666" w:type="dxa"/>
                  <w:tcBorders>
                    <w:tl2br w:val="nil"/>
                    <w:tr2bl w:val="nil"/>
                  </w:tcBorders>
                  <w:noWrap w:val="0"/>
                  <w:vAlign w:val="center"/>
                </w:tcPr>
                <w:p w14:paraId="493A80EB">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1.2</w:t>
                  </w:r>
                </w:p>
              </w:tc>
              <w:tc>
                <w:tcPr>
                  <w:tcW w:w="2044" w:type="dxa"/>
                  <w:tcBorders>
                    <w:tl2br w:val="nil"/>
                    <w:tr2bl w:val="nil"/>
                  </w:tcBorders>
                  <w:noWrap w:val="0"/>
                  <w:vAlign w:val="center"/>
                </w:tcPr>
                <w:p w14:paraId="05B4902A">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4.5/4.8/36.7/21.4</w:t>
                  </w:r>
                </w:p>
              </w:tc>
              <w:tc>
                <w:tcPr>
                  <w:tcW w:w="1082" w:type="dxa"/>
                  <w:tcBorders>
                    <w:tl2br w:val="nil"/>
                    <w:tr2bl w:val="nil"/>
                  </w:tcBorders>
                  <w:noWrap w:val="0"/>
                  <w:vAlign w:val="center"/>
                </w:tcPr>
                <w:p w14:paraId="691DEFAD">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61.9</w:t>
                  </w:r>
                  <w:r>
                    <w:rPr>
                      <w:rFonts w:hint="eastAsia" w:ascii="Times New Roman" w:hAnsi="Times New Roman" w:eastAsia="宋体" w:cs="Times New Roman"/>
                      <w:color w:val="auto"/>
                      <w:sz w:val="21"/>
                      <w:szCs w:val="21"/>
                      <w:highlight w:val="none"/>
                      <w:vertAlign w:val="baseline"/>
                      <w:lang w:val="en-US" w:eastAsia="zh-CN"/>
                    </w:rPr>
                    <w:t>/61.4/43.7/48.4</w:t>
                  </w:r>
                </w:p>
              </w:tc>
              <w:tc>
                <w:tcPr>
                  <w:tcW w:w="416" w:type="dxa"/>
                  <w:vMerge w:val="continue"/>
                  <w:tcBorders>
                    <w:tl2br w:val="nil"/>
                    <w:tr2bl w:val="nil"/>
                  </w:tcBorders>
                  <w:noWrap w:val="0"/>
                  <w:vAlign w:val="center"/>
                </w:tcPr>
                <w:p w14:paraId="74FFAE2A">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FF0000"/>
                      <w:sz w:val="21"/>
                      <w:szCs w:val="21"/>
                      <w:highlight w:val="yellow"/>
                      <w:vertAlign w:val="baseline"/>
                      <w:lang w:val="en-US" w:eastAsia="zh-CN"/>
                    </w:rPr>
                  </w:pPr>
                </w:p>
              </w:tc>
              <w:tc>
                <w:tcPr>
                  <w:tcW w:w="974" w:type="dxa"/>
                  <w:vMerge w:val="continue"/>
                  <w:tcBorders>
                    <w:tl2br w:val="nil"/>
                    <w:tr2bl w:val="nil"/>
                  </w:tcBorders>
                  <w:noWrap w:val="0"/>
                  <w:vAlign w:val="center"/>
                </w:tcPr>
                <w:p w14:paraId="65C08BF3">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cs="Times New Roman"/>
                      <w:color w:val="FF0000"/>
                      <w:sz w:val="21"/>
                      <w:szCs w:val="21"/>
                      <w:highlight w:val="yellow"/>
                      <w:vertAlign w:val="baseline"/>
                      <w:lang w:val="en-US" w:eastAsia="zh-CN"/>
                    </w:rPr>
                  </w:pPr>
                </w:p>
              </w:tc>
              <w:tc>
                <w:tcPr>
                  <w:tcW w:w="901" w:type="dxa"/>
                  <w:tcBorders>
                    <w:tl2br w:val="nil"/>
                    <w:tr2bl w:val="nil"/>
                  </w:tcBorders>
                  <w:noWrap w:val="0"/>
                  <w:vAlign w:val="center"/>
                </w:tcPr>
                <w:p w14:paraId="3F34EBF9">
                  <w:pPr>
                    <w:keepNext w:val="0"/>
                    <w:keepLines w:val="0"/>
                    <w:pageBreakBefore w:val="0"/>
                    <w:widowControl w:val="0"/>
                    <w:kinsoku/>
                    <w:wordWrap/>
                    <w:overflowPunct/>
                    <w:topLinePunct w:val="0"/>
                    <w:bidi w:val="0"/>
                    <w:snapToGrid/>
                    <w:spacing w:line="240" w:lineRule="auto"/>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32.9</w:t>
                  </w:r>
                </w:p>
              </w:tc>
              <w:tc>
                <w:tcPr>
                  <w:tcW w:w="996" w:type="dxa"/>
                  <w:tcBorders>
                    <w:tl2br w:val="nil"/>
                    <w:tr2bl w:val="nil"/>
                  </w:tcBorders>
                  <w:noWrap w:val="0"/>
                  <w:vAlign w:val="center"/>
                </w:tcPr>
                <w:p w14:paraId="34FC1938">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r>
            <w:tr w14:paraId="36C4288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9" w:type="dxa"/>
                  <w:tcBorders>
                    <w:tl2br w:val="nil"/>
                    <w:tr2bl w:val="nil"/>
                  </w:tcBorders>
                  <w:noWrap w:val="0"/>
                  <w:vAlign w:val="center"/>
                </w:tcPr>
                <w:p w14:paraId="28A3C37E">
                  <w:pPr>
                    <w:keepNext w:val="0"/>
                    <w:keepLines w:val="0"/>
                    <w:pageBreakBefore w:val="0"/>
                    <w:widowControl w:val="0"/>
                    <w:kinsoku/>
                    <w:wordWrap/>
                    <w:overflowPunct/>
                    <w:topLinePunct w:val="0"/>
                    <w:bidi w:val="0"/>
                    <w:snapToGrid/>
                    <w:spacing w:line="240" w:lineRule="auto"/>
                    <w:jc w:val="center"/>
                    <w:textAlignment w:val="auto"/>
                    <w:rPr>
                      <w:rFonts w:hint="eastAsia"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4</w:t>
                  </w:r>
                </w:p>
              </w:tc>
              <w:tc>
                <w:tcPr>
                  <w:tcW w:w="669" w:type="dxa"/>
                  <w:vMerge w:val="continue"/>
                  <w:tcBorders>
                    <w:tl2br w:val="nil"/>
                    <w:tr2bl w:val="nil"/>
                  </w:tcBorders>
                  <w:noWrap w:val="0"/>
                  <w:vAlign w:val="center"/>
                </w:tcPr>
                <w:p w14:paraId="57720B07">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cs="Times New Roman"/>
                      <w:color w:val="FF0000"/>
                      <w:sz w:val="21"/>
                      <w:szCs w:val="21"/>
                      <w:highlight w:val="none"/>
                      <w:vertAlign w:val="baseline"/>
                      <w:lang w:val="en-US" w:eastAsia="zh-CN"/>
                    </w:rPr>
                  </w:pPr>
                </w:p>
              </w:tc>
              <w:tc>
                <w:tcPr>
                  <w:tcW w:w="1305" w:type="dxa"/>
                  <w:tcBorders>
                    <w:tl2br w:val="nil"/>
                    <w:tr2bl w:val="nil"/>
                  </w:tcBorders>
                  <w:noWrap w:val="0"/>
                  <w:vAlign w:val="center"/>
                </w:tcPr>
                <w:p w14:paraId="5BF416AD">
                  <w:pPr>
                    <w:keepNext w:val="0"/>
                    <w:keepLines w:val="0"/>
                    <w:pageBreakBefore w:val="0"/>
                    <w:widowControl w:val="0"/>
                    <w:kinsoku/>
                    <w:wordWrap/>
                    <w:overflowPunct/>
                    <w:topLinePunct w:val="0"/>
                    <w:bidi w:val="0"/>
                    <w:snapToGrid/>
                    <w:spacing w:line="240" w:lineRule="auto"/>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w:t>
                  </w:r>
                  <w:r>
                    <w:rPr>
                      <w:rFonts w:hint="eastAsia"/>
                      <w:color w:val="auto"/>
                      <w:sz w:val="21"/>
                      <w:szCs w:val="21"/>
                      <w:highlight w:val="none"/>
                      <w:vertAlign w:val="baseline"/>
                      <w:lang w:val="en-US" w:eastAsia="zh-CN"/>
                    </w:rPr>
                    <w:t>锅炉一次水循环水泵</w:t>
                  </w:r>
                </w:p>
              </w:tc>
              <w:tc>
                <w:tcPr>
                  <w:tcW w:w="870" w:type="dxa"/>
                  <w:tcBorders>
                    <w:tl2br w:val="nil"/>
                    <w:tr2bl w:val="nil"/>
                  </w:tcBorders>
                  <w:noWrap w:val="0"/>
                  <w:vAlign w:val="center"/>
                </w:tcPr>
                <w:p w14:paraId="3B1B4110">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snapToGrid w:val="0"/>
                      <w:color w:val="auto"/>
                      <w:sz w:val="21"/>
                      <w:szCs w:val="21"/>
                      <w:highlight w:val="none"/>
                      <w:lang w:val="en-US" w:eastAsia="zh-CN"/>
                    </w:rPr>
                  </w:pPr>
                  <w:r>
                    <w:rPr>
                      <w:rFonts w:hint="eastAsia" w:cs="Times New Roman"/>
                      <w:snapToGrid w:val="0"/>
                      <w:color w:val="auto"/>
                      <w:sz w:val="21"/>
                      <w:szCs w:val="21"/>
                      <w:highlight w:val="none"/>
                      <w:lang w:val="en-US" w:eastAsia="zh-CN"/>
                    </w:rPr>
                    <w:t>/</w:t>
                  </w:r>
                </w:p>
              </w:tc>
              <w:tc>
                <w:tcPr>
                  <w:tcW w:w="870" w:type="dxa"/>
                  <w:tcBorders>
                    <w:tl2br w:val="nil"/>
                    <w:tr2bl w:val="nil"/>
                  </w:tcBorders>
                  <w:noWrap w:val="0"/>
                  <w:vAlign w:val="center"/>
                </w:tcPr>
                <w:p w14:paraId="465285E9">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75</w:t>
                  </w:r>
                </w:p>
              </w:tc>
              <w:tc>
                <w:tcPr>
                  <w:tcW w:w="825" w:type="dxa"/>
                  <w:vMerge w:val="continue"/>
                  <w:tcBorders>
                    <w:tl2br w:val="nil"/>
                    <w:tr2bl w:val="nil"/>
                  </w:tcBorders>
                  <w:noWrap w:val="0"/>
                  <w:vAlign w:val="center"/>
                </w:tcPr>
                <w:p w14:paraId="2836224D">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p>
              </w:tc>
              <w:tc>
                <w:tcPr>
                  <w:tcW w:w="758" w:type="dxa"/>
                  <w:tcBorders>
                    <w:tl2br w:val="nil"/>
                    <w:tr2bl w:val="nil"/>
                  </w:tcBorders>
                  <w:noWrap w:val="0"/>
                  <w:vAlign w:val="center"/>
                </w:tcPr>
                <w:p w14:paraId="67F570F7">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default" w:cs="Times New Roman"/>
                      <w:color w:val="auto"/>
                      <w:sz w:val="21"/>
                      <w:szCs w:val="21"/>
                      <w:highlight w:val="none"/>
                      <w:vertAlign w:val="baseline"/>
                      <w:lang w:val="en-US" w:eastAsia="zh-CN"/>
                    </w:rPr>
                    <w:t>25.</w:t>
                  </w:r>
                  <w:r>
                    <w:rPr>
                      <w:rFonts w:hint="eastAsia" w:cs="Times New Roman"/>
                      <w:color w:val="auto"/>
                      <w:sz w:val="21"/>
                      <w:szCs w:val="21"/>
                      <w:highlight w:val="none"/>
                      <w:vertAlign w:val="baseline"/>
                      <w:lang w:val="en-US" w:eastAsia="zh-CN"/>
                    </w:rPr>
                    <w:t>3</w:t>
                  </w:r>
                </w:p>
              </w:tc>
              <w:tc>
                <w:tcPr>
                  <w:tcW w:w="684" w:type="dxa"/>
                  <w:tcBorders>
                    <w:tl2br w:val="nil"/>
                    <w:tr2bl w:val="nil"/>
                  </w:tcBorders>
                  <w:noWrap w:val="0"/>
                  <w:vAlign w:val="center"/>
                </w:tcPr>
                <w:p w14:paraId="08A328CB">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default" w:cs="Times New Roman"/>
                      <w:color w:val="auto"/>
                      <w:sz w:val="21"/>
                      <w:szCs w:val="21"/>
                      <w:highlight w:val="none"/>
                      <w:vertAlign w:val="baseline"/>
                      <w:lang w:val="en-US" w:eastAsia="zh-CN"/>
                    </w:rPr>
                    <w:t>37.</w:t>
                  </w:r>
                  <w:r>
                    <w:rPr>
                      <w:rFonts w:hint="eastAsia" w:cs="Times New Roman"/>
                      <w:color w:val="auto"/>
                      <w:sz w:val="21"/>
                      <w:szCs w:val="21"/>
                      <w:highlight w:val="none"/>
                      <w:vertAlign w:val="baseline"/>
                      <w:lang w:val="en-US" w:eastAsia="zh-CN"/>
                    </w:rPr>
                    <w:t>9</w:t>
                  </w:r>
                </w:p>
              </w:tc>
              <w:tc>
                <w:tcPr>
                  <w:tcW w:w="666" w:type="dxa"/>
                  <w:tcBorders>
                    <w:tl2br w:val="nil"/>
                    <w:tr2bl w:val="nil"/>
                  </w:tcBorders>
                  <w:noWrap w:val="0"/>
                  <w:vAlign w:val="center"/>
                </w:tcPr>
                <w:p w14:paraId="2E2EE67C">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1.2</w:t>
                  </w:r>
                </w:p>
              </w:tc>
              <w:tc>
                <w:tcPr>
                  <w:tcW w:w="2044" w:type="dxa"/>
                  <w:tcBorders>
                    <w:tl2br w:val="nil"/>
                    <w:tr2bl w:val="nil"/>
                  </w:tcBorders>
                  <w:noWrap w:val="0"/>
                  <w:vAlign w:val="center"/>
                </w:tcPr>
                <w:p w14:paraId="003E9A1C">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7.1/4.5/34.5/21.7</w:t>
                  </w:r>
                </w:p>
              </w:tc>
              <w:tc>
                <w:tcPr>
                  <w:tcW w:w="1082" w:type="dxa"/>
                  <w:tcBorders>
                    <w:tl2br w:val="nil"/>
                    <w:tr2bl w:val="nil"/>
                  </w:tcBorders>
                  <w:noWrap w:val="0"/>
                  <w:vAlign w:val="center"/>
                </w:tcPr>
                <w:p w14:paraId="6260E376">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58.0/</w:t>
                  </w:r>
                  <w:r>
                    <w:rPr>
                      <w:rFonts w:hint="default" w:ascii="Times New Roman" w:hAnsi="Times New Roman" w:eastAsia="宋体" w:cs="Times New Roman"/>
                      <w:color w:val="auto"/>
                      <w:sz w:val="21"/>
                      <w:szCs w:val="21"/>
                      <w:highlight w:val="none"/>
                      <w:vertAlign w:val="baseline"/>
                      <w:lang w:val="en-US" w:eastAsia="zh-CN"/>
                    </w:rPr>
                    <w:t>61.9</w:t>
                  </w:r>
                  <w:r>
                    <w:rPr>
                      <w:rFonts w:hint="eastAsia" w:ascii="Times New Roman" w:hAnsi="Times New Roman" w:eastAsia="宋体" w:cs="Times New Roman"/>
                      <w:color w:val="auto"/>
                      <w:sz w:val="21"/>
                      <w:szCs w:val="21"/>
                      <w:highlight w:val="none"/>
                      <w:vertAlign w:val="baseline"/>
                      <w:lang w:val="en-US" w:eastAsia="zh-CN"/>
                    </w:rPr>
                    <w:t>/44.2/48.3</w:t>
                  </w:r>
                </w:p>
              </w:tc>
              <w:tc>
                <w:tcPr>
                  <w:tcW w:w="416" w:type="dxa"/>
                  <w:vMerge w:val="continue"/>
                  <w:tcBorders>
                    <w:tl2br w:val="nil"/>
                    <w:tr2bl w:val="nil"/>
                  </w:tcBorders>
                  <w:noWrap w:val="0"/>
                  <w:vAlign w:val="center"/>
                </w:tcPr>
                <w:p w14:paraId="2F82CCED">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FF0000"/>
                      <w:sz w:val="21"/>
                      <w:szCs w:val="21"/>
                      <w:highlight w:val="yellow"/>
                      <w:vertAlign w:val="baseline"/>
                      <w:lang w:val="en-US" w:eastAsia="zh-CN"/>
                    </w:rPr>
                  </w:pPr>
                </w:p>
              </w:tc>
              <w:tc>
                <w:tcPr>
                  <w:tcW w:w="974" w:type="dxa"/>
                  <w:vMerge w:val="continue"/>
                  <w:tcBorders>
                    <w:tl2br w:val="nil"/>
                    <w:tr2bl w:val="nil"/>
                  </w:tcBorders>
                  <w:noWrap w:val="0"/>
                  <w:vAlign w:val="center"/>
                </w:tcPr>
                <w:p w14:paraId="097F57EB">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cs="Times New Roman"/>
                      <w:color w:val="FF0000"/>
                      <w:sz w:val="21"/>
                      <w:szCs w:val="21"/>
                      <w:highlight w:val="yellow"/>
                      <w:vertAlign w:val="baseline"/>
                      <w:lang w:val="en-US" w:eastAsia="zh-CN"/>
                    </w:rPr>
                  </w:pPr>
                </w:p>
              </w:tc>
              <w:tc>
                <w:tcPr>
                  <w:tcW w:w="901" w:type="dxa"/>
                  <w:tcBorders>
                    <w:tl2br w:val="nil"/>
                    <w:tr2bl w:val="nil"/>
                  </w:tcBorders>
                  <w:noWrap w:val="0"/>
                  <w:vAlign w:val="center"/>
                </w:tcPr>
                <w:p w14:paraId="79AB6394">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32.1</w:t>
                  </w:r>
                </w:p>
              </w:tc>
              <w:tc>
                <w:tcPr>
                  <w:tcW w:w="996" w:type="dxa"/>
                  <w:tcBorders>
                    <w:tl2br w:val="nil"/>
                    <w:tr2bl w:val="nil"/>
                  </w:tcBorders>
                  <w:noWrap w:val="0"/>
                  <w:vAlign w:val="center"/>
                </w:tcPr>
                <w:p w14:paraId="7A066CCE">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r>
            <w:tr w14:paraId="52544D8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9" w:type="dxa"/>
                  <w:tcBorders>
                    <w:tl2br w:val="nil"/>
                    <w:tr2bl w:val="nil"/>
                  </w:tcBorders>
                  <w:noWrap w:val="0"/>
                  <w:vAlign w:val="center"/>
                </w:tcPr>
                <w:p w14:paraId="4EADFA0D">
                  <w:pPr>
                    <w:keepNext w:val="0"/>
                    <w:keepLines w:val="0"/>
                    <w:pageBreakBefore w:val="0"/>
                    <w:widowControl w:val="0"/>
                    <w:kinsoku/>
                    <w:wordWrap/>
                    <w:overflowPunct/>
                    <w:topLinePunct w:val="0"/>
                    <w:bidi w:val="0"/>
                    <w:snapToGrid/>
                    <w:spacing w:line="240" w:lineRule="auto"/>
                    <w:jc w:val="center"/>
                    <w:textAlignment w:val="auto"/>
                    <w:rPr>
                      <w:rFonts w:hint="eastAsia"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5</w:t>
                  </w:r>
                </w:p>
              </w:tc>
              <w:tc>
                <w:tcPr>
                  <w:tcW w:w="669" w:type="dxa"/>
                  <w:vMerge w:val="continue"/>
                  <w:tcBorders>
                    <w:tl2br w:val="nil"/>
                    <w:tr2bl w:val="nil"/>
                  </w:tcBorders>
                  <w:noWrap w:val="0"/>
                  <w:vAlign w:val="center"/>
                </w:tcPr>
                <w:p w14:paraId="7FB0D651">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cs="Times New Roman"/>
                      <w:color w:val="FF0000"/>
                      <w:sz w:val="21"/>
                      <w:szCs w:val="21"/>
                      <w:highlight w:val="none"/>
                      <w:vertAlign w:val="baseline"/>
                      <w:lang w:val="en-US" w:eastAsia="zh-CN"/>
                    </w:rPr>
                  </w:pPr>
                </w:p>
              </w:tc>
              <w:tc>
                <w:tcPr>
                  <w:tcW w:w="1305" w:type="dxa"/>
                  <w:tcBorders>
                    <w:tl2br w:val="nil"/>
                    <w:tr2bl w:val="nil"/>
                  </w:tcBorders>
                  <w:noWrap w:val="0"/>
                  <w:vAlign w:val="center"/>
                </w:tcPr>
                <w:p w14:paraId="2E6B3EB1">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cs="Times New Roman" w:eastAsiaTheme="minorEastAsia"/>
                      <w:b w:val="0"/>
                      <w:bCs w:val="0"/>
                      <w:color w:val="auto"/>
                      <w:sz w:val="21"/>
                      <w:szCs w:val="21"/>
                      <w:highlight w:val="none"/>
                      <w:lang w:val="en-US" w:eastAsia="zh-CN"/>
                    </w:rPr>
                  </w:pPr>
                  <w:r>
                    <w:rPr>
                      <w:rFonts w:hint="eastAsia" w:cs="Times New Roman" w:eastAsiaTheme="minorEastAsia"/>
                      <w:b w:val="0"/>
                      <w:bCs w:val="0"/>
                      <w:color w:val="auto"/>
                      <w:sz w:val="21"/>
                      <w:szCs w:val="21"/>
                      <w:highlight w:val="none"/>
                      <w:lang w:val="en-US" w:eastAsia="zh-CN"/>
                    </w:rPr>
                    <w:t>1#板式换热器</w:t>
                  </w:r>
                </w:p>
              </w:tc>
              <w:tc>
                <w:tcPr>
                  <w:tcW w:w="870" w:type="dxa"/>
                  <w:tcBorders>
                    <w:tl2br w:val="nil"/>
                    <w:tr2bl w:val="nil"/>
                  </w:tcBorders>
                  <w:noWrap w:val="0"/>
                  <w:vAlign w:val="center"/>
                </w:tcPr>
                <w:p w14:paraId="284D9D7F">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snapToGrid w:val="0"/>
                      <w:color w:val="auto"/>
                      <w:sz w:val="21"/>
                      <w:szCs w:val="21"/>
                      <w:highlight w:val="none"/>
                      <w:lang w:val="en-US" w:eastAsia="zh-CN"/>
                    </w:rPr>
                  </w:pPr>
                  <w:r>
                    <w:rPr>
                      <w:rFonts w:hint="eastAsia" w:cs="Times New Roman"/>
                      <w:snapToGrid w:val="0"/>
                      <w:color w:val="auto"/>
                      <w:sz w:val="21"/>
                      <w:szCs w:val="21"/>
                      <w:highlight w:val="none"/>
                      <w:lang w:val="en-US" w:eastAsia="zh-CN"/>
                    </w:rPr>
                    <w:t>/</w:t>
                  </w:r>
                </w:p>
              </w:tc>
              <w:tc>
                <w:tcPr>
                  <w:tcW w:w="870" w:type="dxa"/>
                  <w:tcBorders>
                    <w:tl2br w:val="nil"/>
                    <w:tr2bl w:val="nil"/>
                  </w:tcBorders>
                  <w:noWrap w:val="0"/>
                  <w:vAlign w:val="center"/>
                </w:tcPr>
                <w:p w14:paraId="5E8A6359">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75</w:t>
                  </w:r>
                </w:p>
              </w:tc>
              <w:tc>
                <w:tcPr>
                  <w:tcW w:w="825" w:type="dxa"/>
                  <w:vMerge w:val="continue"/>
                  <w:tcBorders>
                    <w:tl2br w:val="nil"/>
                    <w:tr2bl w:val="nil"/>
                  </w:tcBorders>
                  <w:noWrap w:val="0"/>
                  <w:vAlign w:val="center"/>
                </w:tcPr>
                <w:p w14:paraId="24376CC2">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p>
              </w:tc>
              <w:tc>
                <w:tcPr>
                  <w:tcW w:w="758" w:type="dxa"/>
                  <w:tcBorders>
                    <w:tl2br w:val="nil"/>
                    <w:tr2bl w:val="nil"/>
                  </w:tcBorders>
                  <w:noWrap w:val="0"/>
                  <w:vAlign w:val="center"/>
                </w:tcPr>
                <w:p w14:paraId="5D3ED24E">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default" w:cs="Times New Roman"/>
                      <w:color w:val="auto"/>
                      <w:sz w:val="21"/>
                      <w:szCs w:val="21"/>
                      <w:highlight w:val="none"/>
                      <w:vertAlign w:val="baseline"/>
                      <w:lang w:val="en-US" w:eastAsia="zh-CN"/>
                    </w:rPr>
                    <w:t>21.</w:t>
                  </w:r>
                  <w:r>
                    <w:rPr>
                      <w:rFonts w:hint="eastAsia" w:cs="Times New Roman"/>
                      <w:color w:val="auto"/>
                      <w:sz w:val="21"/>
                      <w:szCs w:val="21"/>
                      <w:highlight w:val="none"/>
                      <w:vertAlign w:val="baseline"/>
                      <w:lang w:val="en-US" w:eastAsia="zh-CN"/>
                    </w:rPr>
                    <w:t>4</w:t>
                  </w:r>
                </w:p>
              </w:tc>
              <w:tc>
                <w:tcPr>
                  <w:tcW w:w="684" w:type="dxa"/>
                  <w:tcBorders>
                    <w:tl2br w:val="nil"/>
                    <w:tr2bl w:val="nil"/>
                  </w:tcBorders>
                  <w:noWrap w:val="0"/>
                  <w:vAlign w:val="center"/>
                </w:tcPr>
                <w:p w14:paraId="4551BB12">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default" w:cs="Times New Roman"/>
                      <w:color w:val="auto"/>
                      <w:sz w:val="21"/>
                      <w:szCs w:val="21"/>
                      <w:highlight w:val="none"/>
                      <w:vertAlign w:val="baseline"/>
                      <w:lang w:val="en-US" w:eastAsia="zh-CN"/>
                    </w:rPr>
                    <w:t>35.6</w:t>
                  </w:r>
                </w:p>
              </w:tc>
              <w:tc>
                <w:tcPr>
                  <w:tcW w:w="666" w:type="dxa"/>
                  <w:tcBorders>
                    <w:tl2br w:val="nil"/>
                    <w:tr2bl w:val="nil"/>
                  </w:tcBorders>
                  <w:noWrap w:val="0"/>
                  <w:vAlign w:val="center"/>
                </w:tcPr>
                <w:p w14:paraId="316AA446">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1.2</w:t>
                  </w:r>
                </w:p>
              </w:tc>
              <w:tc>
                <w:tcPr>
                  <w:tcW w:w="2044" w:type="dxa"/>
                  <w:tcBorders>
                    <w:tl2br w:val="nil"/>
                    <w:tr2bl w:val="nil"/>
                  </w:tcBorders>
                  <w:noWrap w:val="0"/>
                  <w:vAlign w:val="center"/>
                </w:tcPr>
                <w:p w14:paraId="1ADAE434">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11.6/4.3/29.7/21.9</w:t>
                  </w:r>
                </w:p>
              </w:tc>
              <w:tc>
                <w:tcPr>
                  <w:tcW w:w="1082" w:type="dxa"/>
                  <w:tcBorders>
                    <w:tl2br w:val="nil"/>
                    <w:tr2bl w:val="nil"/>
                  </w:tcBorders>
                  <w:noWrap w:val="0"/>
                  <w:vAlign w:val="center"/>
                </w:tcPr>
                <w:p w14:paraId="18FBB8A8">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53.7</w:t>
                  </w:r>
                  <w:r>
                    <w:rPr>
                      <w:rFonts w:hint="eastAsia" w:ascii="Times New Roman" w:hAnsi="Times New Roman" w:eastAsia="宋体" w:cs="Times New Roman"/>
                      <w:color w:val="auto"/>
                      <w:sz w:val="21"/>
                      <w:szCs w:val="21"/>
                      <w:highlight w:val="none"/>
                      <w:vertAlign w:val="baseline"/>
                      <w:lang w:val="en-US" w:eastAsia="zh-CN"/>
                    </w:rPr>
                    <w:t>/62.3/45.5/48.2</w:t>
                  </w:r>
                </w:p>
              </w:tc>
              <w:tc>
                <w:tcPr>
                  <w:tcW w:w="416" w:type="dxa"/>
                  <w:vMerge w:val="continue"/>
                  <w:tcBorders>
                    <w:tl2br w:val="nil"/>
                    <w:tr2bl w:val="nil"/>
                  </w:tcBorders>
                  <w:noWrap w:val="0"/>
                  <w:vAlign w:val="center"/>
                </w:tcPr>
                <w:p w14:paraId="4DA5CC16">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FF0000"/>
                      <w:sz w:val="21"/>
                      <w:szCs w:val="21"/>
                      <w:highlight w:val="yellow"/>
                      <w:vertAlign w:val="baseline"/>
                      <w:lang w:val="en-US" w:eastAsia="zh-CN"/>
                    </w:rPr>
                  </w:pPr>
                </w:p>
              </w:tc>
              <w:tc>
                <w:tcPr>
                  <w:tcW w:w="974" w:type="dxa"/>
                  <w:vMerge w:val="continue"/>
                  <w:tcBorders>
                    <w:tl2br w:val="nil"/>
                    <w:tr2bl w:val="nil"/>
                  </w:tcBorders>
                  <w:noWrap w:val="0"/>
                  <w:vAlign w:val="center"/>
                </w:tcPr>
                <w:p w14:paraId="08526728">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cs="Times New Roman"/>
                      <w:color w:val="FF0000"/>
                      <w:sz w:val="21"/>
                      <w:szCs w:val="21"/>
                      <w:highlight w:val="yellow"/>
                      <w:vertAlign w:val="baseline"/>
                      <w:lang w:val="en-US" w:eastAsia="zh-CN"/>
                    </w:rPr>
                  </w:pPr>
                </w:p>
              </w:tc>
              <w:tc>
                <w:tcPr>
                  <w:tcW w:w="901" w:type="dxa"/>
                  <w:tcBorders>
                    <w:tl2br w:val="nil"/>
                    <w:tr2bl w:val="nil"/>
                  </w:tcBorders>
                  <w:noWrap w:val="0"/>
                  <w:vAlign w:val="center"/>
                </w:tcPr>
                <w:p w14:paraId="2EF60D3F">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31.4</w:t>
                  </w:r>
                </w:p>
              </w:tc>
              <w:tc>
                <w:tcPr>
                  <w:tcW w:w="996" w:type="dxa"/>
                  <w:tcBorders>
                    <w:tl2br w:val="nil"/>
                    <w:tr2bl w:val="nil"/>
                  </w:tcBorders>
                  <w:noWrap w:val="0"/>
                  <w:vAlign w:val="center"/>
                </w:tcPr>
                <w:p w14:paraId="486D9EF0">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r>
            <w:tr w14:paraId="354B3CA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9" w:type="dxa"/>
                  <w:tcBorders>
                    <w:tl2br w:val="nil"/>
                    <w:tr2bl w:val="nil"/>
                  </w:tcBorders>
                  <w:noWrap w:val="0"/>
                  <w:vAlign w:val="center"/>
                </w:tcPr>
                <w:p w14:paraId="69DED010">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6</w:t>
                  </w:r>
                </w:p>
              </w:tc>
              <w:tc>
                <w:tcPr>
                  <w:tcW w:w="669" w:type="dxa"/>
                  <w:vMerge w:val="continue"/>
                  <w:tcBorders>
                    <w:tl2br w:val="nil"/>
                    <w:tr2bl w:val="nil"/>
                  </w:tcBorders>
                  <w:noWrap w:val="0"/>
                  <w:vAlign w:val="center"/>
                </w:tcPr>
                <w:p w14:paraId="41189088">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cs="Times New Roman"/>
                      <w:color w:val="FF0000"/>
                      <w:sz w:val="21"/>
                      <w:szCs w:val="21"/>
                      <w:highlight w:val="none"/>
                      <w:vertAlign w:val="baseline"/>
                      <w:lang w:val="en-US" w:eastAsia="zh-CN"/>
                    </w:rPr>
                  </w:pPr>
                </w:p>
              </w:tc>
              <w:tc>
                <w:tcPr>
                  <w:tcW w:w="1305" w:type="dxa"/>
                  <w:tcBorders>
                    <w:tl2br w:val="nil"/>
                    <w:tr2bl w:val="nil"/>
                  </w:tcBorders>
                  <w:noWrap w:val="0"/>
                  <w:vAlign w:val="center"/>
                </w:tcPr>
                <w:p w14:paraId="38F5AB7A">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lang w:val="en-US" w:eastAsia="zh-CN"/>
                    </w:rPr>
                  </w:pPr>
                  <w:r>
                    <w:rPr>
                      <w:rFonts w:hint="eastAsia" w:cs="Times New Roman" w:eastAsiaTheme="minorEastAsia"/>
                      <w:b w:val="0"/>
                      <w:bCs w:val="0"/>
                      <w:color w:val="auto"/>
                      <w:sz w:val="21"/>
                      <w:szCs w:val="21"/>
                      <w:highlight w:val="none"/>
                      <w:lang w:val="en-US" w:eastAsia="zh-CN"/>
                    </w:rPr>
                    <w:t>2#板式换热器</w:t>
                  </w:r>
                </w:p>
              </w:tc>
              <w:tc>
                <w:tcPr>
                  <w:tcW w:w="870" w:type="dxa"/>
                  <w:tcBorders>
                    <w:tl2br w:val="nil"/>
                    <w:tr2bl w:val="nil"/>
                  </w:tcBorders>
                  <w:noWrap w:val="0"/>
                  <w:vAlign w:val="center"/>
                </w:tcPr>
                <w:p w14:paraId="413F82F9">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snapToGrid w:val="0"/>
                      <w:color w:val="auto"/>
                      <w:sz w:val="21"/>
                      <w:szCs w:val="21"/>
                      <w:highlight w:val="none"/>
                      <w:lang w:val="en-US" w:eastAsia="zh-CN"/>
                    </w:rPr>
                  </w:pPr>
                  <w:r>
                    <w:rPr>
                      <w:rFonts w:hint="eastAsia" w:cs="Times New Roman"/>
                      <w:snapToGrid w:val="0"/>
                      <w:color w:val="auto"/>
                      <w:sz w:val="21"/>
                      <w:szCs w:val="21"/>
                      <w:highlight w:val="none"/>
                      <w:lang w:val="en-US" w:eastAsia="zh-CN"/>
                    </w:rPr>
                    <w:t>/</w:t>
                  </w:r>
                </w:p>
              </w:tc>
              <w:tc>
                <w:tcPr>
                  <w:tcW w:w="870" w:type="dxa"/>
                  <w:tcBorders>
                    <w:tl2br w:val="nil"/>
                    <w:tr2bl w:val="nil"/>
                  </w:tcBorders>
                  <w:noWrap w:val="0"/>
                  <w:vAlign w:val="center"/>
                </w:tcPr>
                <w:p w14:paraId="409DCA53">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75</w:t>
                  </w:r>
                </w:p>
              </w:tc>
              <w:tc>
                <w:tcPr>
                  <w:tcW w:w="825" w:type="dxa"/>
                  <w:vMerge w:val="continue"/>
                  <w:tcBorders>
                    <w:tl2br w:val="nil"/>
                    <w:tr2bl w:val="nil"/>
                  </w:tcBorders>
                  <w:noWrap w:val="0"/>
                  <w:vAlign w:val="center"/>
                </w:tcPr>
                <w:p w14:paraId="48DC6C12">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p>
              </w:tc>
              <w:tc>
                <w:tcPr>
                  <w:tcW w:w="758" w:type="dxa"/>
                  <w:tcBorders>
                    <w:tl2br w:val="nil"/>
                    <w:tr2bl w:val="nil"/>
                  </w:tcBorders>
                  <w:noWrap w:val="0"/>
                  <w:vAlign w:val="center"/>
                </w:tcPr>
                <w:p w14:paraId="1FF903CA">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19.</w:t>
                  </w:r>
                  <w:r>
                    <w:rPr>
                      <w:rFonts w:hint="eastAsia" w:ascii="Times New Roman" w:hAnsi="Times New Roman" w:eastAsia="宋体" w:cs="Times New Roman"/>
                      <w:color w:val="auto"/>
                      <w:sz w:val="21"/>
                      <w:szCs w:val="21"/>
                      <w:highlight w:val="none"/>
                      <w:vertAlign w:val="baseline"/>
                      <w:lang w:val="en-US" w:eastAsia="zh-CN"/>
                    </w:rPr>
                    <w:t>4</w:t>
                  </w:r>
                </w:p>
              </w:tc>
              <w:tc>
                <w:tcPr>
                  <w:tcW w:w="684" w:type="dxa"/>
                  <w:tcBorders>
                    <w:tl2br w:val="nil"/>
                    <w:tr2bl w:val="nil"/>
                  </w:tcBorders>
                  <w:noWrap w:val="0"/>
                  <w:vAlign w:val="center"/>
                </w:tcPr>
                <w:p w14:paraId="4E48A45D">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40.0</w:t>
                  </w:r>
                </w:p>
              </w:tc>
              <w:tc>
                <w:tcPr>
                  <w:tcW w:w="666" w:type="dxa"/>
                  <w:tcBorders>
                    <w:tl2br w:val="nil"/>
                    <w:tr2bl w:val="nil"/>
                  </w:tcBorders>
                  <w:noWrap w:val="0"/>
                  <w:vAlign w:val="center"/>
                </w:tcPr>
                <w:p w14:paraId="19BB524B">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1.2</w:t>
                  </w:r>
                </w:p>
              </w:tc>
              <w:tc>
                <w:tcPr>
                  <w:tcW w:w="2044" w:type="dxa"/>
                  <w:tcBorders>
                    <w:tl2br w:val="nil"/>
                    <w:tr2bl w:val="nil"/>
                  </w:tcBorders>
                  <w:noWrap w:val="0"/>
                  <w:vAlign w:val="center"/>
                </w:tcPr>
                <w:p w14:paraId="450D9647">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11.6/9.0/29.6/17.3</w:t>
                  </w:r>
                </w:p>
              </w:tc>
              <w:tc>
                <w:tcPr>
                  <w:tcW w:w="1082" w:type="dxa"/>
                  <w:tcBorders>
                    <w:tl2br w:val="nil"/>
                    <w:tr2bl w:val="nil"/>
                  </w:tcBorders>
                  <w:noWrap w:val="0"/>
                  <w:vAlign w:val="center"/>
                </w:tcPr>
                <w:p w14:paraId="6A07CA9E">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53.7</w:t>
                  </w:r>
                  <w:r>
                    <w:rPr>
                      <w:rFonts w:hint="eastAsia" w:ascii="Times New Roman" w:hAnsi="Times New Roman" w:eastAsia="宋体" w:cs="Times New Roman"/>
                      <w:color w:val="auto"/>
                      <w:sz w:val="21"/>
                      <w:szCs w:val="21"/>
                      <w:highlight w:val="none"/>
                      <w:vertAlign w:val="baseline"/>
                      <w:lang w:val="en-US" w:eastAsia="zh-CN"/>
                    </w:rPr>
                    <w:t>/45.6/45.5/50.2</w:t>
                  </w:r>
                </w:p>
              </w:tc>
              <w:tc>
                <w:tcPr>
                  <w:tcW w:w="416" w:type="dxa"/>
                  <w:vMerge w:val="continue"/>
                  <w:tcBorders>
                    <w:tl2br w:val="nil"/>
                    <w:tr2bl w:val="nil"/>
                  </w:tcBorders>
                  <w:noWrap w:val="0"/>
                  <w:vAlign w:val="center"/>
                </w:tcPr>
                <w:p w14:paraId="593CBD31">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FF0000"/>
                      <w:sz w:val="21"/>
                      <w:szCs w:val="21"/>
                      <w:highlight w:val="yellow"/>
                      <w:vertAlign w:val="baseline"/>
                      <w:lang w:val="en-US" w:eastAsia="zh-CN"/>
                    </w:rPr>
                  </w:pPr>
                </w:p>
              </w:tc>
              <w:tc>
                <w:tcPr>
                  <w:tcW w:w="974" w:type="dxa"/>
                  <w:vMerge w:val="continue"/>
                  <w:tcBorders>
                    <w:tl2br w:val="nil"/>
                    <w:tr2bl w:val="nil"/>
                  </w:tcBorders>
                  <w:noWrap w:val="0"/>
                  <w:vAlign w:val="center"/>
                </w:tcPr>
                <w:p w14:paraId="592559AE">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cs="Times New Roman"/>
                      <w:color w:val="FF0000"/>
                      <w:sz w:val="21"/>
                      <w:szCs w:val="21"/>
                      <w:highlight w:val="yellow"/>
                      <w:vertAlign w:val="baseline"/>
                      <w:lang w:val="en-US" w:eastAsia="zh-CN"/>
                    </w:rPr>
                  </w:pPr>
                </w:p>
              </w:tc>
              <w:tc>
                <w:tcPr>
                  <w:tcW w:w="901" w:type="dxa"/>
                  <w:tcBorders>
                    <w:tl2br w:val="nil"/>
                    <w:tr2bl w:val="nil"/>
                  </w:tcBorders>
                  <w:noWrap w:val="0"/>
                  <w:vAlign w:val="center"/>
                </w:tcPr>
                <w:p w14:paraId="7476C920">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27.8</w:t>
                  </w:r>
                </w:p>
              </w:tc>
              <w:tc>
                <w:tcPr>
                  <w:tcW w:w="996" w:type="dxa"/>
                  <w:tcBorders>
                    <w:tl2br w:val="nil"/>
                    <w:tr2bl w:val="nil"/>
                  </w:tcBorders>
                  <w:noWrap w:val="0"/>
                  <w:vAlign w:val="center"/>
                </w:tcPr>
                <w:p w14:paraId="01ED7BB7">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r>
            <w:tr w14:paraId="5CE5E02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9" w:type="dxa"/>
                  <w:tcBorders>
                    <w:tl2br w:val="nil"/>
                    <w:tr2bl w:val="nil"/>
                  </w:tcBorders>
                  <w:noWrap w:val="0"/>
                  <w:vAlign w:val="center"/>
                </w:tcPr>
                <w:p w14:paraId="5625191F">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w:t>
                  </w:r>
                </w:p>
              </w:tc>
              <w:tc>
                <w:tcPr>
                  <w:tcW w:w="669" w:type="dxa"/>
                  <w:vMerge w:val="continue"/>
                  <w:tcBorders>
                    <w:tl2br w:val="nil"/>
                    <w:tr2bl w:val="nil"/>
                  </w:tcBorders>
                  <w:noWrap w:val="0"/>
                  <w:vAlign w:val="center"/>
                </w:tcPr>
                <w:p w14:paraId="4D89C50A">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cs="Times New Roman"/>
                      <w:color w:val="FF0000"/>
                      <w:sz w:val="21"/>
                      <w:szCs w:val="21"/>
                      <w:highlight w:val="none"/>
                      <w:vertAlign w:val="baseline"/>
                      <w:lang w:val="en-US" w:eastAsia="zh-CN"/>
                    </w:rPr>
                  </w:pPr>
                </w:p>
              </w:tc>
              <w:tc>
                <w:tcPr>
                  <w:tcW w:w="1305" w:type="dxa"/>
                  <w:tcBorders>
                    <w:tl2br w:val="nil"/>
                    <w:tr2bl w:val="nil"/>
                  </w:tcBorders>
                  <w:noWrap w:val="0"/>
                  <w:vAlign w:val="center"/>
                </w:tcPr>
                <w:p w14:paraId="52AEB4E3">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FF0000"/>
                      <w:sz w:val="21"/>
                      <w:szCs w:val="21"/>
                      <w:highlight w:val="none"/>
                      <w:lang w:val="en-US" w:eastAsia="zh-CN"/>
                    </w:rPr>
                  </w:pPr>
                  <w:r>
                    <w:rPr>
                      <w:rFonts w:hint="eastAsia" w:ascii="Times New Roman" w:hAnsi="Times New Roman" w:cs="Times New Roman" w:eastAsiaTheme="minorEastAsia"/>
                      <w:b w:val="0"/>
                      <w:bCs w:val="0"/>
                      <w:color w:val="auto"/>
                      <w:sz w:val="21"/>
                      <w:szCs w:val="21"/>
                      <w:highlight w:val="none"/>
                      <w:lang w:val="en-US" w:eastAsia="zh-CN"/>
                    </w:rPr>
                    <w:t>一次水变频定压补水装置</w:t>
                  </w:r>
                </w:p>
              </w:tc>
              <w:tc>
                <w:tcPr>
                  <w:tcW w:w="870" w:type="dxa"/>
                  <w:tcBorders>
                    <w:tl2br w:val="nil"/>
                    <w:tr2bl w:val="nil"/>
                  </w:tcBorders>
                  <w:noWrap w:val="0"/>
                  <w:vAlign w:val="center"/>
                </w:tcPr>
                <w:p w14:paraId="37722506">
                  <w:pPr>
                    <w:keepNext w:val="0"/>
                    <w:keepLines w:val="0"/>
                    <w:pageBreakBefore w:val="0"/>
                    <w:widowControl w:val="0"/>
                    <w:kinsoku/>
                    <w:wordWrap/>
                    <w:overflowPunct/>
                    <w:topLinePunct w:val="0"/>
                    <w:bidi w:val="0"/>
                    <w:snapToGrid/>
                    <w:spacing w:line="240" w:lineRule="auto"/>
                    <w:jc w:val="center"/>
                    <w:textAlignment w:val="auto"/>
                    <w:rPr>
                      <w:rFonts w:hint="eastAsia" w:ascii="Times New Roman" w:hAnsi="Times New Roman" w:eastAsia="宋体" w:cs="Times New Roman"/>
                      <w:snapToGrid w:val="0"/>
                      <w:color w:val="FF0000"/>
                      <w:sz w:val="21"/>
                      <w:szCs w:val="21"/>
                      <w:highlight w:val="none"/>
                      <w:lang w:val="en-US" w:eastAsia="zh-CN"/>
                    </w:rPr>
                  </w:pPr>
                  <w:r>
                    <w:rPr>
                      <w:rFonts w:hint="eastAsia" w:cs="Times New Roman"/>
                      <w:snapToGrid w:val="0"/>
                      <w:color w:val="auto"/>
                      <w:sz w:val="21"/>
                      <w:szCs w:val="21"/>
                      <w:highlight w:val="none"/>
                      <w:lang w:val="en-US" w:eastAsia="zh-CN"/>
                    </w:rPr>
                    <w:t>/</w:t>
                  </w:r>
                </w:p>
              </w:tc>
              <w:tc>
                <w:tcPr>
                  <w:tcW w:w="870" w:type="dxa"/>
                  <w:tcBorders>
                    <w:tl2br w:val="nil"/>
                    <w:tr2bl w:val="nil"/>
                  </w:tcBorders>
                  <w:noWrap w:val="0"/>
                  <w:vAlign w:val="center"/>
                </w:tcPr>
                <w:p w14:paraId="1AE669F1">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FF0000"/>
                      <w:sz w:val="21"/>
                      <w:szCs w:val="21"/>
                      <w:highlight w:val="none"/>
                      <w:vertAlign w:val="baseline"/>
                      <w:lang w:val="en-US" w:eastAsia="zh-CN"/>
                    </w:rPr>
                  </w:pPr>
                  <w:r>
                    <w:rPr>
                      <w:rFonts w:hint="eastAsia" w:cs="Times New Roman"/>
                      <w:color w:val="auto"/>
                      <w:sz w:val="21"/>
                      <w:szCs w:val="21"/>
                      <w:highlight w:val="none"/>
                      <w:vertAlign w:val="baseline"/>
                      <w:lang w:val="en-US" w:eastAsia="zh-CN"/>
                    </w:rPr>
                    <w:t>75</w:t>
                  </w:r>
                </w:p>
              </w:tc>
              <w:tc>
                <w:tcPr>
                  <w:tcW w:w="825" w:type="dxa"/>
                  <w:vMerge w:val="continue"/>
                  <w:tcBorders>
                    <w:tl2br w:val="nil"/>
                    <w:tr2bl w:val="nil"/>
                  </w:tcBorders>
                  <w:noWrap w:val="0"/>
                  <w:vAlign w:val="center"/>
                </w:tcPr>
                <w:p w14:paraId="0075FF55">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p>
              </w:tc>
              <w:tc>
                <w:tcPr>
                  <w:tcW w:w="758" w:type="dxa"/>
                  <w:tcBorders>
                    <w:tl2br w:val="nil"/>
                    <w:tr2bl w:val="nil"/>
                  </w:tcBorders>
                  <w:noWrap w:val="0"/>
                  <w:vAlign w:val="center"/>
                </w:tcPr>
                <w:p w14:paraId="7329F239">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17.</w:t>
                  </w:r>
                  <w:r>
                    <w:rPr>
                      <w:rFonts w:hint="eastAsia" w:ascii="Times New Roman" w:hAnsi="Times New Roman" w:eastAsia="宋体" w:cs="Times New Roman"/>
                      <w:color w:val="auto"/>
                      <w:sz w:val="21"/>
                      <w:szCs w:val="21"/>
                      <w:highlight w:val="none"/>
                      <w:vertAlign w:val="baseline"/>
                      <w:lang w:val="en-US" w:eastAsia="zh-CN"/>
                    </w:rPr>
                    <w:t>9</w:t>
                  </w:r>
                </w:p>
              </w:tc>
              <w:tc>
                <w:tcPr>
                  <w:tcW w:w="684" w:type="dxa"/>
                  <w:tcBorders>
                    <w:tl2br w:val="nil"/>
                    <w:tr2bl w:val="nil"/>
                  </w:tcBorders>
                  <w:noWrap w:val="0"/>
                  <w:vAlign w:val="center"/>
                </w:tcPr>
                <w:p w14:paraId="36029E82">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33.7</w:t>
                  </w:r>
                </w:p>
              </w:tc>
              <w:tc>
                <w:tcPr>
                  <w:tcW w:w="666" w:type="dxa"/>
                  <w:tcBorders>
                    <w:tl2br w:val="nil"/>
                    <w:tr2bl w:val="nil"/>
                  </w:tcBorders>
                  <w:noWrap w:val="0"/>
                  <w:vAlign w:val="center"/>
                </w:tcPr>
                <w:p w14:paraId="0EA77AFA">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1.2</w:t>
                  </w:r>
                </w:p>
              </w:tc>
              <w:tc>
                <w:tcPr>
                  <w:tcW w:w="2044" w:type="dxa"/>
                  <w:tcBorders>
                    <w:tl2br w:val="nil"/>
                    <w:tr2bl w:val="nil"/>
                  </w:tcBorders>
                  <w:noWrap w:val="0"/>
                  <w:vAlign w:val="center"/>
                </w:tcPr>
                <w:p w14:paraId="25B62E32">
                  <w:pPr>
                    <w:keepNext w:val="0"/>
                    <w:keepLines w:val="0"/>
                    <w:pageBreakBefore w:val="0"/>
                    <w:widowControl w:val="0"/>
                    <w:kinsoku/>
                    <w:wordWrap/>
                    <w:overflowPunct/>
                    <w:topLinePunct w:val="0"/>
                    <w:bidi w:val="0"/>
                    <w:snapToGrid/>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15.6/4.3/25.8/22.1</w:t>
                  </w:r>
                </w:p>
              </w:tc>
              <w:tc>
                <w:tcPr>
                  <w:tcW w:w="1082" w:type="dxa"/>
                  <w:tcBorders>
                    <w:tl2br w:val="nil"/>
                    <w:tr2bl w:val="nil"/>
                  </w:tcBorders>
                  <w:noWrap w:val="0"/>
                  <w:vAlign w:val="center"/>
                </w:tcPr>
                <w:p w14:paraId="7A72271C">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51.1</w:t>
                  </w:r>
                  <w:r>
                    <w:rPr>
                      <w:rFonts w:hint="eastAsia" w:ascii="Times New Roman" w:hAnsi="Times New Roman" w:eastAsia="宋体" w:cs="Times New Roman"/>
                      <w:color w:val="auto"/>
                      <w:sz w:val="21"/>
                      <w:szCs w:val="21"/>
                      <w:highlight w:val="none"/>
                      <w:vertAlign w:val="baseline"/>
                      <w:lang w:val="en-US" w:eastAsia="zh-CN"/>
                    </w:rPr>
                    <w:t>/62.3/46.8/48.1</w:t>
                  </w:r>
                </w:p>
              </w:tc>
              <w:tc>
                <w:tcPr>
                  <w:tcW w:w="416" w:type="dxa"/>
                  <w:vMerge w:val="continue"/>
                  <w:tcBorders>
                    <w:tl2br w:val="nil"/>
                    <w:tr2bl w:val="nil"/>
                  </w:tcBorders>
                  <w:noWrap w:val="0"/>
                  <w:vAlign w:val="center"/>
                </w:tcPr>
                <w:p w14:paraId="77B96141">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FF0000"/>
                      <w:sz w:val="21"/>
                      <w:szCs w:val="21"/>
                      <w:highlight w:val="yellow"/>
                      <w:vertAlign w:val="baseline"/>
                      <w:lang w:val="en-US" w:eastAsia="zh-CN"/>
                    </w:rPr>
                  </w:pPr>
                </w:p>
              </w:tc>
              <w:tc>
                <w:tcPr>
                  <w:tcW w:w="974" w:type="dxa"/>
                  <w:vMerge w:val="continue"/>
                  <w:tcBorders>
                    <w:tl2br w:val="nil"/>
                    <w:tr2bl w:val="nil"/>
                  </w:tcBorders>
                  <w:noWrap w:val="0"/>
                  <w:vAlign w:val="center"/>
                </w:tcPr>
                <w:p w14:paraId="36F8E8B0">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cs="Times New Roman"/>
                      <w:color w:val="FF0000"/>
                      <w:sz w:val="21"/>
                      <w:szCs w:val="21"/>
                      <w:highlight w:val="yellow"/>
                      <w:vertAlign w:val="baseline"/>
                      <w:lang w:val="en-US" w:eastAsia="zh-CN"/>
                    </w:rPr>
                  </w:pPr>
                </w:p>
              </w:tc>
              <w:tc>
                <w:tcPr>
                  <w:tcW w:w="901" w:type="dxa"/>
                  <w:tcBorders>
                    <w:tl2br w:val="nil"/>
                    <w:tr2bl w:val="nil"/>
                  </w:tcBorders>
                  <w:noWrap w:val="0"/>
                  <w:vAlign w:val="center"/>
                </w:tcPr>
                <w:p w14:paraId="266A3B91">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31.1</w:t>
                  </w:r>
                </w:p>
              </w:tc>
              <w:tc>
                <w:tcPr>
                  <w:tcW w:w="996" w:type="dxa"/>
                  <w:tcBorders>
                    <w:tl2br w:val="nil"/>
                    <w:tr2bl w:val="nil"/>
                  </w:tcBorders>
                  <w:noWrap w:val="0"/>
                  <w:vAlign w:val="center"/>
                </w:tcPr>
                <w:p w14:paraId="6C9AA583">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r>
            <w:tr w14:paraId="13B1385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509" w:type="dxa"/>
                  <w:gridSpan w:val="15"/>
                  <w:tcBorders>
                    <w:tl2br w:val="nil"/>
                    <w:tr2bl w:val="nil"/>
                  </w:tcBorders>
                  <w:noWrap w:val="0"/>
                  <w:vAlign w:val="center"/>
                </w:tcPr>
                <w:p w14:paraId="0B116C95">
                  <w:pPr>
                    <w:keepNext w:val="0"/>
                    <w:keepLines w:val="0"/>
                    <w:pageBreakBefore w:val="0"/>
                    <w:widowControl w:val="0"/>
                    <w:kinsoku/>
                    <w:wordWrap/>
                    <w:overflowPunct/>
                    <w:topLinePunct w:val="0"/>
                    <w:bidi w:val="0"/>
                    <w:snapToGrid/>
                    <w:spacing w:line="240" w:lineRule="auto"/>
                    <w:jc w:val="both"/>
                    <w:textAlignment w:val="auto"/>
                    <w:rPr>
                      <w:rFonts w:hint="eastAsia" w:ascii="Times New Roman" w:hAnsi="Times New Roman" w:cs="Times New Roman"/>
                      <w:color w:val="FF0000"/>
                      <w:sz w:val="21"/>
                      <w:szCs w:val="21"/>
                      <w:highlight w:val="none"/>
                      <w:vertAlign w:val="baseline"/>
                      <w:lang w:val="en-US" w:eastAsia="zh-CN"/>
                    </w:rPr>
                  </w:pPr>
                  <w:r>
                    <w:rPr>
                      <w:rFonts w:hint="default" w:ascii="Times New Roman" w:hAnsi="Times New Roman" w:eastAsia="宋体" w:cs="Times New Roman"/>
                      <w:color w:val="auto"/>
                      <w:kern w:val="2"/>
                      <w:sz w:val="18"/>
                      <w:szCs w:val="18"/>
                      <w:highlight w:val="none"/>
                      <w:lang w:val="en-US" w:eastAsia="zh-CN" w:bidi="ar"/>
                    </w:rPr>
                    <w:t>注：以厂界西南角为参照点。</w:t>
                  </w:r>
                </w:p>
              </w:tc>
            </w:tr>
          </w:tbl>
          <w:p w14:paraId="5C7EDA64">
            <w:pPr>
              <w:rPr>
                <w:rFonts w:hint="default"/>
                <w:color w:val="FF0000"/>
                <w:highlight w:val="none"/>
                <w:lang w:val="en-US" w:eastAsia="zh-CN"/>
              </w:rPr>
            </w:pPr>
          </w:p>
        </w:tc>
      </w:tr>
    </w:tbl>
    <w:p w14:paraId="72B1F45A">
      <w:pPr>
        <w:pStyle w:val="16"/>
        <w:rPr>
          <w:rFonts w:hint="eastAsia"/>
          <w:color w:val="FF0000"/>
          <w:highlight w:val="none"/>
        </w:rPr>
        <w:sectPr>
          <w:pgSz w:w="16840" w:h="11907" w:orient="landscape"/>
          <w:pgMar w:top="1531" w:right="1701" w:bottom="1531" w:left="212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1"/>
        <w:tblW w:w="9484" w:type="dxa"/>
        <w:tblInd w:w="-2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8917"/>
      </w:tblGrid>
      <w:tr w14:paraId="21935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2" w:hRule="atLeast"/>
        </w:trPr>
        <w:tc>
          <w:tcPr>
            <w:tcW w:w="567" w:type="dxa"/>
            <w:vAlign w:val="center"/>
          </w:tcPr>
          <w:p w14:paraId="3ADFBFD4">
            <w:pPr>
              <w:adjustRightInd w:val="0"/>
              <w:snapToGrid w:val="0"/>
              <w:jc w:val="center"/>
              <w:rPr>
                <w:rFonts w:hint="eastAsia"/>
                <w:color w:val="FF0000"/>
                <w:highlight w:val="none"/>
                <w:vertAlign w:val="baseline"/>
              </w:rPr>
            </w:pPr>
            <w:r>
              <w:rPr>
                <w:rFonts w:hint="eastAsia" w:ascii="宋体" w:hAnsi="宋体" w:cs="宋体"/>
                <w:bCs/>
                <w:color w:val="auto"/>
                <w:sz w:val="24"/>
                <w:szCs w:val="24"/>
                <w:highlight w:val="none"/>
              </w:rPr>
              <w:t>运营期环境影响和保护措施</w:t>
            </w:r>
          </w:p>
        </w:tc>
        <w:tc>
          <w:tcPr>
            <w:tcW w:w="8917" w:type="dxa"/>
          </w:tcPr>
          <w:p w14:paraId="612E1D6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（三）厂界达标情况分析</w:t>
            </w:r>
          </w:p>
          <w:p w14:paraId="2DFB13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lang w:val="en-US" w:eastAsia="zh-CN"/>
              </w:rPr>
              <w:t>1.</w:t>
            </w:r>
            <w:r>
              <w:rPr>
                <w:rFonts w:hint="default" w:ascii="Times New Roman" w:hAnsi="Times New Roman" w:cs="Times New Roman"/>
                <w:b w:val="0"/>
                <w:bCs w:val="0"/>
                <w:color w:val="auto"/>
                <w:sz w:val="24"/>
                <w:szCs w:val="24"/>
                <w:highlight w:val="none"/>
              </w:rPr>
              <w:t>分析方法</w:t>
            </w:r>
          </w:p>
          <w:p w14:paraId="4F3A61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本项目</w:t>
            </w:r>
            <w:r>
              <w:rPr>
                <w:rFonts w:hint="default" w:ascii="Times New Roman" w:hAnsi="Times New Roman" w:cs="Times New Roman"/>
                <w:b w:val="0"/>
                <w:bCs w:val="0"/>
                <w:color w:val="auto"/>
                <w:sz w:val="24"/>
                <w:szCs w:val="24"/>
                <w:highlight w:val="none"/>
                <w:lang w:val="en-US" w:eastAsia="zh-CN" w:bidi="ar"/>
              </w:rPr>
              <w:t>噪声设备均</w:t>
            </w:r>
            <w:r>
              <w:rPr>
                <w:rFonts w:hint="default" w:ascii="Times New Roman" w:hAnsi="Times New Roman" w:cs="Times New Roman"/>
                <w:b w:val="0"/>
                <w:bCs w:val="0"/>
                <w:color w:val="auto"/>
                <w:sz w:val="24"/>
                <w:szCs w:val="24"/>
                <w:highlight w:val="none"/>
                <w:lang w:val="en-US" w:eastAsia="zh-CN"/>
              </w:rPr>
              <w:t>设置在厂房</w:t>
            </w:r>
            <w:r>
              <w:rPr>
                <w:rFonts w:hint="default" w:ascii="Times New Roman" w:hAnsi="Times New Roman" w:cs="Times New Roman"/>
                <w:b w:val="0"/>
                <w:bCs w:val="0"/>
                <w:color w:val="auto"/>
                <w:sz w:val="24"/>
                <w:szCs w:val="24"/>
                <w:highlight w:val="none"/>
              </w:rPr>
              <w:t>内。按下述程序分析厂界外噪声值：</w:t>
            </w:r>
          </w:p>
          <w:p w14:paraId="256250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第一步：计算厂房内第i个声源在室内靠近围护结构处的声级</w:t>
            </w:r>
            <w:r>
              <w:rPr>
                <w:rFonts w:hint="default" w:ascii="Times New Roman" w:hAnsi="Times New Roman" w:cs="Times New Roman"/>
                <w:b w:val="0"/>
                <w:bCs w:val="0"/>
                <w:i/>
                <w:iCs/>
                <w:color w:val="auto"/>
                <w:sz w:val="24"/>
                <w:szCs w:val="24"/>
                <w:highlight w:val="none"/>
              </w:rPr>
              <w:t>Lpi</w:t>
            </w:r>
            <w:r>
              <w:rPr>
                <w:rFonts w:hint="default" w:ascii="Times New Roman" w:hAnsi="Times New Roman" w:cs="Times New Roman"/>
                <w:b w:val="0"/>
                <w:bCs w:val="0"/>
                <w:color w:val="auto"/>
                <w:sz w:val="24"/>
                <w:szCs w:val="24"/>
                <w:highlight w:val="none"/>
              </w:rPr>
              <w:t>；</w:t>
            </w:r>
          </w:p>
          <w:p w14:paraId="0E9C27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第二步：计算厂房内多个声源在室内靠近围护结构处的叠加声级；</w:t>
            </w:r>
          </w:p>
          <w:p w14:paraId="2032A5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第三步：计算厂房外靠近围护结构处的声级</w:t>
            </w:r>
            <w:r>
              <w:rPr>
                <w:rFonts w:hint="default" w:ascii="Times New Roman" w:hAnsi="Times New Roman" w:cs="Times New Roman"/>
                <w:b w:val="0"/>
                <w:bCs w:val="0"/>
                <w:i/>
                <w:iCs/>
                <w:color w:val="auto"/>
                <w:sz w:val="24"/>
                <w:szCs w:val="24"/>
                <w:highlight w:val="none"/>
              </w:rPr>
              <w:t>L</w:t>
            </w:r>
            <w:r>
              <w:rPr>
                <w:rFonts w:hint="default" w:ascii="Times New Roman" w:hAnsi="Times New Roman" w:cs="Times New Roman"/>
                <w:b w:val="0"/>
                <w:bCs w:val="0"/>
                <w:i/>
                <w:iCs/>
                <w:color w:val="auto"/>
                <w:sz w:val="24"/>
                <w:szCs w:val="24"/>
                <w:highlight w:val="none"/>
                <w:vertAlign w:val="subscript"/>
              </w:rPr>
              <w:t>P2</w:t>
            </w:r>
            <w:r>
              <w:rPr>
                <w:rFonts w:hint="default" w:ascii="Times New Roman" w:hAnsi="Times New Roman" w:cs="Times New Roman"/>
                <w:b w:val="0"/>
                <w:bCs w:val="0"/>
                <w:color w:val="auto"/>
                <w:sz w:val="24"/>
                <w:szCs w:val="24"/>
                <w:highlight w:val="none"/>
              </w:rPr>
              <w:t>；</w:t>
            </w:r>
          </w:p>
          <w:p w14:paraId="3A9F72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第四步：将围护结构当作等效室外声源，按照室外声源的计算方法，计算该等效室外声源在第i个预测点的声级；</w:t>
            </w:r>
          </w:p>
          <w:p w14:paraId="4E0E67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第五步：计算第i个预测点处各等效室外声源叠加后的总声压级。</w:t>
            </w:r>
          </w:p>
          <w:p w14:paraId="6AEB54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①声源i在室内靠近内墙的声级</w:t>
            </w:r>
            <w:r>
              <w:rPr>
                <w:rFonts w:hint="default" w:ascii="Times New Roman" w:hAnsi="Times New Roman" w:cs="Times New Roman"/>
                <w:b w:val="0"/>
                <w:bCs w:val="0"/>
                <w:i/>
                <w:iCs/>
                <w:color w:val="auto"/>
                <w:sz w:val="24"/>
                <w:szCs w:val="24"/>
                <w:highlight w:val="none"/>
              </w:rPr>
              <w:t>Lpi</w:t>
            </w:r>
          </w:p>
          <w:p w14:paraId="65DE916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position w:val="-30"/>
                <w:sz w:val="24"/>
                <w:szCs w:val="24"/>
                <w:highlight w:val="none"/>
              </w:rPr>
              <w:object>
                <v:shape id="_x0000_i1059" o:spt="75" type="#_x0000_t75" style="height:33.95pt;width:140.6pt;" o:ole="t" filled="f" o:preferrelative="t" stroked="f" coordsize="21600,21600">
                  <v:path/>
                  <v:fill on="f" focussize="0,0"/>
                  <v:stroke on="f"/>
                  <v:imagedata r:id="rId86" o:title=""/>
                  <o:lock v:ext="edit" aspectratio="t"/>
                  <w10:wrap type="none"/>
                  <w10:anchorlock/>
                </v:shape>
                <o:OLEObject Type="Embed" ProgID="Equation.3" ShapeID="_x0000_i1059" DrawAspect="Content" ObjectID="_1468075759" r:id="rId85">
                  <o:LockedField>false</o:LockedField>
                </o:OLEObject>
              </w:object>
            </w:r>
          </w:p>
          <w:p w14:paraId="0B0196B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式中：</w:t>
            </w:r>
            <w:r>
              <w:rPr>
                <w:rFonts w:hint="default" w:ascii="Times New Roman" w:hAnsi="Times New Roman" w:cs="Times New Roman"/>
                <w:b w:val="0"/>
                <w:bCs w:val="0"/>
                <w:i/>
                <w:iCs/>
                <w:color w:val="auto"/>
                <w:sz w:val="24"/>
                <w:szCs w:val="24"/>
                <w:highlight w:val="none"/>
              </w:rPr>
              <w:t>Lw</w:t>
            </w:r>
            <w:r>
              <w:rPr>
                <w:rFonts w:hint="default" w:ascii="Times New Roman" w:hAnsi="Times New Roman" w:cs="Times New Roman"/>
                <w:b w:val="0"/>
                <w:bCs w:val="0"/>
                <w:color w:val="auto"/>
                <w:sz w:val="24"/>
                <w:szCs w:val="24"/>
                <w:highlight w:val="none"/>
              </w:rPr>
              <w:t>i</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厂房内第i个声源的声功率级；</w:t>
            </w:r>
          </w:p>
          <w:p w14:paraId="272D044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i/>
                <w:iCs/>
                <w:color w:val="auto"/>
                <w:sz w:val="24"/>
                <w:szCs w:val="24"/>
                <w:highlight w:val="none"/>
              </w:rPr>
              <w:t>Lw</w:t>
            </w:r>
            <w:r>
              <w:rPr>
                <w:rFonts w:hint="default" w:ascii="Times New Roman" w:hAnsi="Times New Roman" w:cs="Times New Roman"/>
                <w:b w:val="0"/>
                <w:bCs w:val="0"/>
                <w:color w:val="auto"/>
                <w:sz w:val="24"/>
                <w:szCs w:val="24"/>
                <w:highlight w:val="none"/>
              </w:rPr>
              <w:t>=</w:t>
            </w:r>
            <w:r>
              <w:rPr>
                <w:rFonts w:hint="default" w:ascii="Times New Roman" w:hAnsi="Times New Roman" w:cs="Times New Roman"/>
                <w:b w:val="0"/>
                <w:bCs w:val="0"/>
                <w:i/>
                <w:iCs/>
                <w:color w:val="auto"/>
                <w:sz w:val="24"/>
                <w:szCs w:val="24"/>
                <w:highlight w:val="none"/>
              </w:rPr>
              <w:t>Lp</w:t>
            </w:r>
            <w:r>
              <w:rPr>
                <w:rFonts w:hint="default" w:ascii="Times New Roman" w:hAnsi="Times New Roman" w:cs="Times New Roman"/>
                <w:b w:val="0"/>
                <w:bCs w:val="0"/>
                <w:color w:val="auto"/>
                <w:sz w:val="24"/>
                <w:szCs w:val="24"/>
                <w:highlight w:val="none"/>
              </w:rPr>
              <w:t>+10</w:t>
            </w:r>
            <w:r>
              <w:rPr>
                <w:rFonts w:hint="default" w:ascii="Times New Roman" w:hAnsi="Times New Roman" w:cs="Times New Roman"/>
                <w:b w:val="0"/>
                <w:bCs w:val="0"/>
                <w:color w:val="auto"/>
                <w:position w:val="-10"/>
                <w:sz w:val="24"/>
                <w:szCs w:val="24"/>
                <w:highlight w:val="none"/>
              </w:rPr>
              <w:object>
                <v:shape id="_x0000_i1060" o:spt="75" type="#_x0000_t75" style="height:14.95pt;width:13.6pt;" o:ole="t" filled="f" o:preferrelative="t" stroked="f" coordsize="21600,21600">
                  <v:path/>
                  <v:fill on="f" focussize="0,0"/>
                  <v:stroke on="f"/>
                  <v:imagedata r:id="rId88" o:title=""/>
                  <o:lock v:ext="edit" aspectratio="t"/>
                  <w10:wrap type="none"/>
                  <w10:anchorlock/>
                </v:shape>
                <o:OLEObject Type="Embed" ProgID="Equation.3" ShapeID="_x0000_i1060" DrawAspect="Content" ObjectID="_1468075760" r:id="rId87">
                  <o:LockedField>false</o:LockedField>
                </o:OLEObject>
              </w:object>
            </w:r>
            <w:r>
              <w:rPr>
                <w:rFonts w:hint="default" w:ascii="Times New Roman" w:hAnsi="Times New Roman" w:cs="Times New Roman"/>
                <w:b w:val="0"/>
                <w:bCs w:val="0"/>
                <w:i/>
                <w:iCs/>
                <w:color w:val="auto"/>
                <w:sz w:val="24"/>
                <w:szCs w:val="24"/>
                <w:highlight w:val="none"/>
              </w:rPr>
              <w:t>S</w:t>
            </w:r>
          </w:p>
          <w:p w14:paraId="73AE6DA7">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eastAsia" w:cs="Times New Roman"/>
                <w:b w:val="0"/>
                <w:bCs w:val="0"/>
                <w:color w:val="auto"/>
                <w:sz w:val="24"/>
                <w:szCs w:val="24"/>
                <w:highlight w:val="none"/>
                <w:lang w:eastAsia="zh-CN"/>
              </w:rPr>
            </w:pPr>
            <w:r>
              <w:rPr>
                <w:rFonts w:hint="default" w:ascii="Times New Roman" w:hAnsi="Times New Roman" w:cs="Times New Roman"/>
                <w:b w:val="0"/>
                <w:bCs w:val="0"/>
                <w:i/>
                <w:iCs/>
                <w:color w:val="auto"/>
                <w:sz w:val="24"/>
                <w:szCs w:val="24"/>
                <w:highlight w:val="none"/>
              </w:rPr>
              <w:t>S</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室内面积</w:t>
            </w:r>
            <w:r>
              <w:rPr>
                <w:rFonts w:hint="eastAsia" w:cs="Times New Roman"/>
                <w:b w:val="0"/>
                <w:bCs w:val="0"/>
                <w:color w:val="auto"/>
                <w:sz w:val="24"/>
                <w:szCs w:val="24"/>
                <w:highlight w:val="none"/>
                <w:lang w:eastAsia="zh-CN"/>
              </w:rPr>
              <w:t>；</w:t>
            </w:r>
          </w:p>
          <w:p w14:paraId="7BB17638">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i/>
                <w:iCs/>
                <w:color w:val="auto"/>
                <w:sz w:val="24"/>
                <w:szCs w:val="24"/>
                <w:highlight w:val="none"/>
              </w:rPr>
              <w:t>Q</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声源的方向性因数</w:t>
            </w:r>
            <w:r>
              <w:rPr>
                <w:rFonts w:hint="default" w:ascii="Times New Roman" w:hAnsi="Times New Roman"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声源位于地面上的Q值等于2</w:t>
            </w:r>
            <w:r>
              <w:rPr>
                <w:rFonts w:hint="default" w:ascii="Times New Roman" w:hAnsi="Times New Roman"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w:t>
            </w:r>
          </w:p>
          <w:p w14:paraId="145AD0FE">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i/>
                <w:iCs/>
                <w:color w:val="auto"/>
                <w:sz w:val="24"/>
                <w:szCs w:val="24"/>
                <w:highlight w:val="none"/>
                <w:lang w:val="en-US" w:eastAsia="zh-CN"/>
              </w:rPr>
              <w:t>r</w:t>
            </w:r>
            <w:r>
              <w:rPr>
                <w:rFonts w:hint="default" w:ascii="Times New Roman" w:hAnsi="Times New Roman" w:cs="Times New Roman"/>
                <w:b w:val="0"/>
                <w:bCs w:val="0"/>
                <w:i/>
                <w:iCs/>
                <w:color w:val="auto"/>
                <w:sz w:val="24"/>
                <w:szCs w:val="24"/>
                <w:highlight w:val="none"/>
                <w:vertAlign w:val="subscript"/>
              </w:rPr>
              <w:t>i</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室内点距声源的距离，m；</w:t>
            </w:r>
          </w:p>
          <w:p w14:paraId="28E317B0">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i/>
                <w:iCs/>
                <w:color w:val="auto"/>
                <w:sz w:val="24"/>
                <w:szCs w:val="24"/>
                <w:highlight w:val="none"/>
              </w:rPr>
              <w:t>R</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房间常数，m</w:t>
            </w:r>
            <w:r>
              <w:rPr>
                <w:rFonts w:hint="default" w:ascii="Times New Roman" w:hAnsi="Times New Roman" w:cs="Times New Roman"/>
                <w:b w:val="0"/>
                <w:bCs w:val="0"/>
                <w:color w:val="auto"/>
                <w:sz w:val="24"/>
                <w:szCs w:val="24"/>
                <w:highlight w:val="none"/>
                <w:vertAlign w:val="superscript"/>
              </w:rPr>
              <w:t>2</w:t>
            </w:r>
            <w:r>
              <w:rPr>
                <w:rFonts w:hint="default" w:ascii="Times New Roman" w:hAnsi="Times New Roman" w:cs="Times New Roman"/>
                <w:b w:val="0"/>
                <w:bCs w:val="0"/>
                <w:color w:val="auto"/>
                <w:sz w:val="24"/>
                <w:szCs w:val="24"/>
                <w:highlight w:val="none"/>
              </w:rPr>
              <w:t>。由下式计算；</w:t>
            </w:r>
          </w:p>
          <w:p w14:paraId="272C497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position w:val="-24"/>
                <w:sz w:val="24"/>
                <w:szCs w:val="24"/>
                <w:highlight w:val="none"/>
              </w:rPr>
              <w:object>
                <v:shape id="_x0000_i1061" o:spt="75" type="#_x0000_t75" style="height:30.55pt;width:48.25pt;" o:ole="t" filled="f" o:preferrelative="t" stroked="f" coordsize="21600,21600">
                  <v:path/>
                  <v:fill on="f" focussize="0,0"/>
                  <v:stroke on="f"/>
                  <v:imagedata r:id="rId90" o:title=""/>
                  <o:lock v:ext="edit" aspectratio="t"/>
                  <w10:wrap type="none"/>
                  <w10:anchorlock/>
                </v:shape>
                <o:OLEObject Type="Embed" ProgID="Equation.3" ShapeID="_x0000_i1061" DrawAspect="Content" ObjectID="_1468075761" r:id="rId89">
                  <o:LockedField>false</o:LockedField>
                </o:OLEObject>
              </w:object>
            </w:r>
          </w:p>
          <w:p w14:paraId="5235EFE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式中：</w:t>
            </w:r>
            <w:r>
              <w:rPr>
                <w:rFonts w:hint="default" w:ascii="Times New Roman" w:hAnsi="Times New Roman" w:cs="Times New Roman"/>
                <w:b w:val="0"/>
                <w:bCs w:val="0"/>
                <w:color w:val="auto"/>
                <w:position w:val="-6"/>
                <w:sz w:val="24"/>
                <w:szCs w:val="24"/>
                <w:highlight w:val="none"/>
              </w:rPr>
              <w:object>
                <v:shape id="_x0000_i1062" o:spt="75" type="#_x0000_t75" style="height:13.6pt;width:11.55pt;" o:ole="t" filled="f" o:preferrelative="t" stroked="f" coordsize="21600,21600">
                  <v:path/>
                  <v:fill on="f" focussize="0,0"/>
                  <v:stroke on="f"/>
                  <v:imagedata r:id="rId92" o:title=""/>
                  <o:lock v:ext="edit" aspectratio="t"/>
                  <w10:wrap type="none"/>
                  <w10:anchorlock/>
                </v:shape>
                <o:OLEObject Type="Embed" ProgID="Equation.3" ShapeID="_x0000_i1062" DrawAspect="Content" ObjectID="_1468075762" r:id="rId91">
                  <o:LockedField>false</o:LockedField>
                </o:OLEObject>
              </w:objec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房间平均吸声系数；</w:t>
            </w:r>
          </w:p>
          <w:p w14:paraId="32A5B5FC">
            <w:pPr>
              <w:keepNext w:val="0"/>
              <w:keepLines w:val="0"/>
              <w:pageBreakBefore w:val="0"/>
              <w:widowControl w:val="0"/>
              <w:kinsoku/>
              <w:wordWrap/>
              <w:overflowPunct/>
              <w:topLinePunct w:val="0"/>
              <w:autoSpaceDE/>
              <w:autoSpaceDN/>
              <w:bidi w:val="0"/>
              <w:adjustRightInd w:val="0"/>
              <w:snapToGrid w:val="0"/>
              <w:spacing w:line="360" w:lineRule="auto"/>
              <w:ind w:firstLine="1272" w:firstLineChars="53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i/>
                <w:iCs/>
                <w:color w:val="auto"/>
                <w:sz w:val="24"/>
                <w:szCs w:val="24"/>
                <w:highlight w:val="none"/>
              </w:rPr>
              <w:t>S</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房间总壁表面积，m</w:t>
            </w:r>
            <w:r>
              <w:rPr>
                <w:rFonts w:hint="default" w:ascii="Times New Roman" w:hAnsi="Times New Roman" w:cs="Times New Roman"/>
                <w:b w:val="0"/>
                <w:bCs w:val="0"/>
                <w:color w:val="auto"/>
                <w:sz w:val="24"/>
                <w:szCs w:val="24"/>
                <w:highlight w:val="none"/>
                <w:vertAlign w:val="superscript"/>
              </w:rPr>
              <w:t>2</w:t>
            </w:r>
            <w:r>
              <w:rPr>
                <w:rFonts w:hint="default" w:ascii="Times New Roman" w:hAnsi="Times New Roman" w:cs="Times New Roman"/>
                <w:b w:val="0"/>
                <w:bCs w:val="0"/>
                <w:color w:val="auto"/>
                <w:sz w:val="24"/>
                <w:szCs w:val="24"/>
                <w:highlight w:val="none"/>
              </w:rPr>
              <w:t>。</w:t>
            </w:r>
          </w:p>
          <w:p w14:paraId="6A37DA1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②室内</w:t>
            </w:r>
            <w:r>
              <w:rPr>
                <w:rFonts w:hint="default" w:ascii="Times New Roman" w:hAnsi="Times New Roman" w:cs="Times New Roman"/>
                <w:b w:val="0"/>
                <w:bCs w:val="0"/>
                <w:i/>
                <w:iCs/>
                <w:color w:val="auto"/>
                <w:sz w:val="24"/>
                <w:szCs w:val="24"/>
                <w:highlight w:val="none"/>
              </w:rPr>
              <w:t>K</w:t>
            </w:r>
            <w:r>
              <w:rPr>
                <w:rFonts w:hint="default" w:ascii="Times New Roman" w:hAnsi="Times New Roman" w:cs="Times New Roman"/>
                <w:b w:val="0"/>
                <w:bCs w:val="0"/>
                <w:color w:val="auto"/>
                <w:sz w:val="24"/>
                <w:szCs w:val="24"/>
                <w:highlight w:val="none"/>
              </w:rPr>
              <w:t>个声源在室内靠近内墙处的叠加声级</w:t>
            </w:r>
          </w:p>
          <w:p w14:paraId="4DAEF2E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position w:val="-28"/>
                <w:sz w:val="24"/>
                <w:szCs w:val="24"/>
                <w:highlight w:val="none"/>
              </w:rPr>
              <w:object>
                <v:shape id="_x0000_i1063" o:spt="75" type="#_x0000_t75" style="height:33.95pt;width:108pt;" o:ole="t" filled="f" o:preferrelative="t" stroked="f" coordsize="21600,21600">
                  <v:path/>
                  <v:fill on="f" focussize="0,0"/>
                  <v:stroke on="f"/>
                  <v:imagedata r:id="rId94" o:title=""/>
                  <o:lock v:ext="edit" aspectratio="t"/>
                  <w10:wrap type="none"/>
                  <w10:anchorlock/>
                </v:shape>
                <o:OLEObject Type="Embed" ProgID="Equation.3" ShapeID="_x0000_i1063" DrawAspect="Content" ObjectID="_1468075763" r:id="rId93">
                  <o:LockedField>false</o:LockedField>
                </o:OLEObject>
              </w:object>
            </w:r>
          </w:p>
          <w:p w14:paraId="7188FE1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③噪声通过墙壁的隔音到达室外的声级</w:t>
            </w:r>
          </w:p>
          <w:p w14:paraId="68683D2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position w:val="-14"/>
                <w:sz w:val="24"/>
                <w:szCs w:val="24"/>
                <w:highlight w:val="none"/>
              </w:rPr>
              <w:object>
                <v:shape id="_x0000_i1064" o:spt="75" type="#_x0000_t75" style="height:19pt;width:95.05pt;" o:ole="t" filled="f" o:preferrelative="t" stroked="f" coordsize="21600,21600">
                  <v:path/>
                  <v:fill on="f" focussize="0,0"/>
                  <v:stroke on="f"/>
                  <v:imagedata r:id="rId96" o:title=""/>
                  <o:lock v:ext="edit" aspectratio="t"/>
                  <w10:wrap type="none"/>
                  <w10:anchorlock/>
                </v:shape>
                <o:OLEObject Type="Embed" ProgID="Equation.3" ShapeID="_x0000_i1064" DrawAspect="Content" ObjectID="_1468075764" r:id="rId95">
                  <o:LockedField>false</o:LockedField>
                </o:OLEObject>
              </w:object>
            </w:r>
          </w:p>
          <w:p w14:paraId="4CF7015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式中：</w:t>
            </w:r>
            <w:r>
              <w:rPr>
                <w:rFonts w:hint="default" w:ascii="Times New Roman" w:hAnsi="Times New Roman" w:cs="Times New Roman"/>
                <w:b w:val="0"/>
                <w:bCs w:val="0"/>
                <w:i/>
                <w:iCs/>
                <w:color w:val="auto"/>
                <w:sz w:val="24"/>
                <w:szCs w:val="24"/>
                <w:highlight w:val="none"/>
              </w:rPr>
              <w:t>TL</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围护结构的传声损失 dB(A)</w:t>
            </w:r>
          </w:p>
          <w:p w14:paraId="263F14D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④室外噪声的衰减模式</w:t>
            </w:r>
            <w:r>
              <w:rPr>
                <w:rFonts w:hint="default" w:ascii="Times New Roman" w:hAnsi="Times New Roman"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半自由空间</w:t>
            </w:r>
            <w:r>
              <w:rPr>
                <w:rFonts w:hint="default" w:ascii="Times New Roman" w:hAnsi="Times New Roman" w:cs="Times New Roman"/>
                <w:b w:val="0"/>
                <w:bCs w:val="0"/>
                <w:color w:val="auto"/>
                <w:sz w:val="24"/>
                <w:szCs w:val="24"/>
                <w:highlight w:val="none"/>
                <w:lang w:eastAsia="zh-CN"/>
              </w:rPr>
              <w:t>）</w:t>
            </w:r>
          </w:p>
          <w:p w14:paraId="4FA236B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position w:val="-30"/>
                <w:sz w:val="24"/>
                <w:szCs w:val="24"/>
                <w:highlight w:val="none"/>
              </w:rPr>
              <w:object>
                <v:shape id="_x0000_i1065" o:spt="75" type="#_x0000_t75" style="height:33.95pt;width:152.85pt;" o:ole="t" filled="f" o:preferrelative="t" stroked="f" coordsize="21600,21600">
                  <v:path/>
                  <v:fill on="f" focussize="0,0"/>
                  <v:stroke on="f"/>
                  <v:imagedata r:id="rId98" o:title=""/>
                  <o:lock v:ext="edit" aspectratio="t"/>
                  <w10:wrap type="none"/>
                  <w10:anchorlock/>
                </v:shape>
                <o:OLEObject Type="Embed" ProgID="Equation.3" ShapeID="_x0000_i1065" DrawAspect="Content" ObjectID="_1468075765" r:id="rId97">
                  <o:LockedField>false</o:LockedField>
                </o:OLEObject>
              </w:object>
            </w:r>
          </w:p>
          <w:p w14:paraId="4A8D40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式中：</w:t>
            </w:r>
            <w:r>
              <w:rPr>
                <w:rFonts w:hint="default" w:ascii="Times New Roman" w:hAnsi="Times New Roman" w:cs="Times New Roman"/>
                <w:b w:val="0"/>
                <w:bCs w:val="0"/>
                <w:i/>
                <w:iCs/>
                <w:color w:val="auto"/>
                <w:sz w:val="24"/>
                <w:szCs w:val="24"/>
                <w:highlight w:val="none"/>
              </w:rPr>
              <w:t>Lp</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距离声源r处的声压级，dB(A)；</w:t>
            </w:r>
          </w:p>
          <w:p w14:paraId="38479101">
            <w:pPr>
              <w:keepNext w:val="0"/>
              <w:keepLines w:val="0"/>
              <w:pageBreakBefore w:val="0"/>
              <w:widowControl w:val="0"/>
              <w:kinsoku/>
              <w:wordWrap/>
              <w:overflowPunct/>
              <w:topLinePunct w:val="0"/>
              <w:autoSpaceDE/>
              <w:autoSpaceDN/>
              <w:bidi w:val="0"/>
              <w:adjustRightInd w:val="0"/>
              <w:snapToGrid w:val="0"/>
              <w:spacing w:line="360" w:lineRule="auto"/>
              <w:ind w:firstLine="1272" w:firstLineChars="53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i/>
                <w:iCs/>
                <w:color w:val="auto"/>
                <w:sz w:val="24"/>
                <w:szCs w:val="24"/>
                <w:highlight w:val="none"/>
              </w:rPr>
              <w:t>a</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衰减常数，dB(A)；</w:t>
            </w:r>
          </w:p>
          <w:p w14:paraId="78F8AD11">
            <w:pPr>
              <w:keepNext w:val="0"/>
              <w:keepLines w:val="0"/>
              <w:pageBreakBefore w:val="0"/>
              <w:widowControl w:val="0"/>
              <w:kinsoku/>
              <w:wordWrap/>
              <w:overflowPunct/>
              <w:topLinePunct w:val="0"/>
              <w:autoSpaceDE/>
              <w:autoSpaceDN/>
              <w:bidi w:val="0"/>
              <w:adjustRightInd w:val="0"/>
              <w:snapToGrid w:val="0"/>
              <w:spacing w:line="360" w:lineRule="auto"/>
              <w:ind w:firstLine="1272" w:firstLineChars="53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i/>
                <w:iCs/>
                <w:color w:val="auto"/>
                <w:sz w:val="24"/>
                <w:szCs w:val="24"/>
                <w:highlight w:val="none"/>
              </w:rPr>
              <w:t>r</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离声源的距离，m；</w:t>
            </w:r>
          </w:p>
          <w:p w14:paraId="0C0AC3B0">
            <w:pPr>
              <w:keepNext w:val="0"/>
              <w:keepLines w:val="0"/>
              <w:pageBreakBefore w:val="0"/>
              <w:widowControl w:val="0"/>
              <w:kinsoku/>
              <w:wordWrap/>
              <w:overflowPunct/>
              <w:topLinePunct w:val="0"/>
              <w:autoSpaceDE/>
              <w:autoSpaceDN/>
              <w:bidi w:val="0"/>
              <w:adjustRightInd w:val="0"/>
              <w:snapToGrid w:val="0"/>
              <w:spacing w:line="360" w:lineRule="auto"/>
              <w:ind w:firstLine="1272" w:firstLineChars="53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i/>
                <w:iCs/>
                <w:color w:val="auto"/>
                <w:sz w:val="24"/>
                <w:szCs w:val="24"/>
                <w:highlight w:val="none"/>
              </w:rPr>
              <w:t>r</w:t>
            </w:r>
            <w:r>
              <w:rPr>
                <w:rFonts w:hint="default" w:ascii="Times New Roman" w:hAnsi="Times New Roman" w:cs="Times New Roman"/>
                <w:b w:val="0"/>
                <w:bCs w:val="0"/>
                <w:color w:val="auto"/>
                <w:sz w:val="24"/>
                <w:szCs w:val="24"/>
                <w:highlight w:val="none"/>
                <w:vertAlign w:val="subscript"/>
              </w:rPr>
              <w:t>2</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参考点位置，m。</w:t>
            </w:r>
          </w:p>
          <w:p w14:paraId="5B1271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模式中衰减参数</w:t>
            </w:r>
            <w:r>
              <w:rPr>
                <w:rFonts w:hint="default" w:ascii="Times New Roman" w:hAnsi="Times New Roman" w:cs="Times New Roman"/>
                <w:b w:val="0"/>
                <w:bCs w:val="0"/>
                <w:i/>
                <w:iCs/>
                <w:color w:val="auto"/>
                <w:sz w:val="24"/>
                <w:szCs w:val="24"/>
                <w:highlight w:val="none"/>
              </w:rPr>
              <w:t>a</w:t>
            </w:r>
            <w:r>
              <w:rPr>
                <w:rFonts w:hint="default" w:ascii="Times New Roman" w:hAnsi="Times New Roman" w:cs="Times New Roman"/>
                <w:b w:val="0"/>
                <w:bCs w:val="0"/>
                <w:color w:val="auto"/>
                <w:sz w:val="24"/>
                <w:szCs w:val="24"/>
                <w:highlight w:val="none"/>
              </w:rPr>
              <w:t>是与频率、温度、湿度有关的参数，</w:t>
            </w:r>
            <w:r>
              <w:rPr>
                <w:rFonts w:hint="default" w:ascii="Times New Roman" w:hAnsi="Times New Roman" w:cs="Times New Roman"/>
                <w:b w:val="0"/>
                <w:bCs w:val="0"/>
                <w:color w:val="auto"/>
                <w:kern w:val="0"/>
                <w:sz w:val="24"/>
                <w:szCs w:val="24"/>
                <w:highlight w:val="none"/>
                <w:lang w:bidi="ar"/>
              </w:rPr>
              <w:t>本次分析重点考虑几何衰减、建筑物阻挡隔声，忽略大气衰减、地面效应等，</w:t>
            </w:r>
            <w:r>
              <w:rPr>
                <w:rFonts w:hint="default" w:ascii="Times New Roman" w:hAnsi="Times New Roman" w:cs="Times New Roman"/>
                <w:b w:val="0"/>
                <w:bCs w:val="0"/>
                <w:i/>
                <w:iCs/>
                <w:color w:val="auto"/>
                <w:sz w:val="24"/>
                <w:szCs w:val="24"/>
                <w:highlight w:val="none"/>
              </w:rPr>
              <w:t>a</w:t>
            </w:r>
            <w:r>
              <w:rPr>
                <w:rFonts w:hint="default" w:ascii="Times New Roman" w:hAnsi="Times New Roman" w:cs="Times New Roman"/>
                <w:b w:val="0"/>
                <w:bCs w:val="0"/>
                <w:color w:val="auto"/>
                <w:sz w:val="24"/>
                <w:szCs w:val="24"/>
                <w:highlight w:val="none"/>
              </w:rPr>
              <w:t>取值为0。</w:t>
            </w:r>
          </w:p>
          <w:p w14:paraId="56293B1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fldChar w:fldCharType="begin"/>
            </w:r>
            <w:r>
              <w:rPr>
                <w:rFonts w:hint="default" w:ascii="Times New Roman" w:hAnsi="Times New Roman" w:cs="Times New Roman"/>
                <w:b w:val="0"/>
                <w:bCs w:val="0"/>
                <w:color w:val="auto"/>
                <w:sz w:val="24"/>
                <w:szCs w:val="24"/>
                <w:highlight w:val="none"/>
              </w:rPr>
              <w:instrText xml:space="preserve"> = 5 \* GB3 \* MERGEFORMAT </w:instrText>
            </w:r>
            <w:r>
              <w:rPr>
                <w:rFonts w:hint="default" w:ascii="Times New Roman" w:hAnsi="Times New Roman" w:cs="Times New Roman"/>
                <w:b w:val="0"/>
                <w:bCs w:val="0"/>
                <w:color w:val="auto"/>
                <w:sz w:val="24"/>
                <w:szCs w:val="24"/>
                <w:highlight w:val="none"/>
              </w:rPr>
              <w:fldChar w:fldCharType="separate"/>
            </w:r>
            <w:r>
              <w:rPr>
                <w:rFonts w:hint="default" w:ascii="Times New Roman" w:hAnsi="Times New Roman" w:cs="Times New Roman"/>
                <w:b w:val="0"/>
                <w:bCs w:val="0"/>
                <w:color w:val="auto"/>
                <w:sz w:val="24"/>
                <w:szCs w:val="24"/>
                <w:highlight w:val="none"/>
              </w:rPr>
              <w:t>⑤</w:t>
            </w:r>
            <w:r>
              <w:rPr>
                <w:rFonts w:hint="default" w:ascii="Times New Roman" w:hAnsi="Times New Roman" w:cs="Times New Roman"/>
                <w:b w:val="0"/>
                <w:bCs w:val="0"/>
                <w:color w:val="auto"/>
                <w:sz w:val="24"/>
                <w:szCs w:val="24"/>
                <w:highlight w:val="none"/>
              </w:rPr>
              <w:fldChar w:fldCharType="end"/>
            </w:r>
            <w:r>
              <w:rPr>
                <w:rFonts w:hint="default" w:ascii="Times New Roman" w:hAnsi="Times New Roman" w:cs="Times New Roman"/>
                <w:b w:val="0"/>
                <w:bCs w:val="0"/>
                <w:color w:val="auto"/>
                <w:sz w:val="24"/>
                <w:szCs w:val="24"/>
                <w:highlight w:val="none"/>
              </w:rPr>
              <w:t>多个等效室外声源叠加后的总声压级</w:t>
            </w:r>
          </w:p>
          <w:p w14:paraId="66FF9F8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多个噪声源叠加后的总声压级，按下式计算：</w:t>
            </w:r>
          </w:p>
          <w:p w14:paraId="00A79B5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position w:val="-30"/>
                <w:sz w:val="24"/>
                <w:szCs w:val="24"/>
                <w:highlight w:val="none"/>
              </w:rPr>
              <w:object>
                <v:shape id="_x0000_i1066" o:spt="75" type="#_x0000_t75" style="height:36pt;width:115.4pt;" o:ole="t" filled="f" o:preferrelative="t" stroked="f" coordsize="21600,21600">
                  <v:path/>
                  <v:fill on="f" focussize="0,0"/>
                  <v:stroke on="f"/>
                  <v:imagedata r:id="rId100" o:title=""/>
                  <o:lock v:ext="edit" aspectratio="t"/>
                  <w10:wrap type="none"/>
                  <w10:anchorlock/>
                </v:shape>
                <o:OLEObject Type="Embed" ProgID="Equation.3" ShapeID="_x0000_i1066" DrawAspect="Content" ObjectID="_1468075766" r:id="rId99">
                  <o:LockedField>false</o:LockedField>
                </o:OLEObject>
              </w:object>
            </w:r>
          </w:p>
          <w:p w14:paraId="4C1EC74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式中：n</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声源总数；</w:t>
            </w:r>
          </w:p>
          <w:p w14:paraId="0CE977FB">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i/>
                <w:iCs/>
                <w:color w:val="auto"/>
                <w:sz w:val="24"/>
                <w:szCs w:val="24"/>
                <w:highlight w:val="none"/>
              </w:rPr>
              <w:t>L</w:t>
            </w:r>
            <w:r>
              <w:rPr>
                <w:rFonts w:hint="default" w:ascii="Times New Roman" w:hAnsi="Times New Roman" w:cs="Times New Roman"/>
                <w:b w:val="0"/>
                <w:bCs w:val="0"/>
                <w:i/>
                <w:iCs/>
                <w:color w:val="auto"/>
                <w:sz w:val="24"/>
                <w:szCs w:val="24"/>
                <w:highlight w:val="none"/>
                <w:vertAlign w:val="subscript"/>
              </w:rPr>
              <w:t>pt</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对于某点的总声压级。</w:t>
            </w:r>
          </w:p>
          <w:p w14:paraId="641F90F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⑥工业企业噪声计算</w:t>
            </w:r>
          </w:p>
          <w:p w14:paraId="3ED72F6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设第i个室外声源在预测点产生的A声级为</w:t>
            </w:r>
            <w:r>
              <w:rPr>
                <w:rFonts w:hint="default" w:ascii="Times New Roman" w:hAnsi="Times New Roman" w:cs="Times New Roman"/>
                <w:b w:val="0"/>
                <w:bCs w:val="0"/>
                <w:color w:val="auto"/>
                <w:sz w:val="24"/>
                <w:szCs w:val="24"/>
                <w:highlight w:val="none"/>
                <w:lang w:val="en-US" w:eastAsia="zh-CN"/>
              </w:rPr>
              <w:t>L</w:t>
            </w:r>
            <w:r>
              <w:rPr>
                <w:rFonts w:hint="default" w:ascii="Times New Roman" w:hAnsi="Times New Roman" w:cs="Times New Roman"/>
                <w:b w:val="0"/>
                <w:bCs w:val="0"/>
                <w:color w:val="auto"/>
                <w:sz w:val="24"/>
                <w:szCs w:val="24"/>
                <w:highlight w:val="none"/>
                <w:vertAlign w:val="subscript"/>
                <w:lang w:val="en-US" w:eastAsia="zh-CN"/>
              </w:rPr>
              <w:t>Ai</w:t>
            </w:r>
            <w:r>
              <w:rPr>
                <w:rFonts w:hint="default" w:ascii="Times New Roman" w:hAnsi="Times New Roman" w:cs="Times New Roman"/>
                <w:b w:val="0"/>
                <w:bCs w:val="0"/>
                <w:color w:val="auto"/>
                <w:sz w:val="24"/>
                <w:szCs w:val="24"/>
                <w:highlight w:val="none"/>
              </w:rPr>
              <w:t>，在T时间内该声源工作时间为</w:t>
            </w:r>
            <w:r>
              <w:rPr>
                <w:rFonts w:hint="default" w:ascii="Times New Roman" w:hAnsi="Times New Roman" w:cs="Times New Roman"/>
                <w:b w:val="0"/>
                <w:bCs w:val="0"/>
                <w:color w:val="auto"/>
                <w:sz w:val="24"/>
                <w:szCs w:val="24"/>
                <w:highlight w:val="none"/>
                <w:lang w:val="en-US" w:eastAsia="zh-CN"/>
              </w:rPr>
              <w:t>t</w:t>
            </w:r>
            <w:r>
              <w:rPr>
                <w:rFonts w:hint="default" w:ascii="Times New Roman" w:hAnsi="Times New Roman" w:cs="Times New Roman"/>
                <w:b w:val="0"/>
                <w:bCs w:val="0"/>
                <w:color w:val="auto"/>
                <w:sz w:val="24"/>
                <w:szCs w:val="24"/>
                <w:highlight w:val="none"/>
                <w:vertAlign w:val="subscript"/>
                <w:lang w:val="en-US" w:eastAsia="zh-CN"/>
              </w:rPr>
              <w:t>i</w:t>
            </w:r>
            <w:r>
              <w:rPr>
                <w:rFonts w:hint="default" w:ascii="Times New Roman" w:hAnsi="Times New Roman" w:cs="Times New Roman"/>
                <w:b w:val="0"/>
                <w:bCs w:val="0"/>
                <w:color w:val="auto"/>
                <w:sz w:val="24"/>
                <w:szCs w:val="24"/>
                <w:highlight w:val="none"/>
              </w:rPr>
              <w:t>；第j个等效室外声源在预测点产生的A声级为</w:t>
            </w:r>
            <w:r>
              <w:rPr>
                <w:rFonts w:hint="default" w:ascii="Times New Roman" w:hAnsi="Times New Roman" w:cs="Times New Roman"/>
                <w:b w:val="0"/>
                <w:bCs w:val="0"/>
                <w:color w:val="auto"/>
                <w:sz w:val="24"/>
                <w:szCs w:val="24"/>
                <w:highlight w:val="none"/>
                <w:lang w:val="en-US" w:eastAsia="zh-CN"/>
              </w:rPr>
              <w:t>L</w:t>
            </w:r>
            <w:r>
              <w:rPr>
                <w:rFonts w:hint="default" w:ascii="Times New Roman" w:hAnsi="Times New Roman" w:cs="Times New Roman"/>
                <w:b w:val="0"/>
                <w:bCs w:val="0"/>
                <w:color w:val="auto"/>
                <w:sz w:val="24"/>
                <w:szCs w:val="24"/>
                <w:highlight w:val="none"/>
                <w:vertAlign w:val="subscript"/>
                <w:lang w:val="en-US" w:eastAsia="zh-CN"/>
              </w:rPr>
              <w:t>Aj</w:t>
            </w:r>
            <w:r>
              <w:rPr>
                <w:rFonts w:hint="default" w:ascii="Times New Roman" w:hAnsi="Times New Roman" w:cs="Times New Roman"/>
                <w:b w:val="0"/>
                <w:bCs w:val="0"/>
                <w:color w:val="auto"/>
                <w:sz w:val="24"/>
                <w:szCs w:val="24"/>
                <w:highlight w:val="none"/>
              </w:rPr>
              <w:t>，在T时间内该声源工作时间为</w:t>
            </w:r>
            <w:r>
              <w:rPr>
                <w:rFonts w:hint="default" w:ascii="Times New Roman" w:hAnsi="Times New Roman" w:cs="Times New Roman"/>
                <w:b w:val="0"/>
                <w:bCs w:val="0"/>
                <w:color w:val="auto"/>
                <w:sz w:val="24"/>
                <w:szCs w:val="24"/>
                <w:highlight w:val="none"/>
                <w:lang w:val="en-US" w:eastAsia="zh-CN"/>
              </w:rPr>
              <w:t>t</w:t>
            </w:r>
            <w:r>
              <w:rPr>
                <w:rFonts w:hint="default" w:ascii="Times New Roman" w:hAnsi="Times New Roman" w:cs="Times New Roman"/>
                <w:b w:val="0"/>
                <w:bCs w:val="0"/>
                <w:color w:val="auto"/>
                <w:sz w:val="24"/>
                <w:szCs w:val="24"/>
                <w:highlight w:val="none"/>
                <w:vertAlign w:val="subscript"/>
                <w:lang w:val="en-US" w:eastAsia="zh-CN"/>
              </w:rPr>
              <w:t>j</w:t>
            </w:r>
            <w:r>
              <w:rPr>
                <w:rFonts w:hint="default" w:ascii="Times New Roman" w:hAnsi="Times New Roman" w:cs="Times New Roman"/>
                <w:b w:val="0"/>
                <w:bCs w:val="0"/>
                <w:color w:val="auto"/>
                <w:sz w:val="24"/>
                <w:szCs w:val="24"/>
                <w:highlight w:val="none"/>
              </w:rPr>
              <w:t>，则拟建工程声源对预测点产生的贡献值（L</w:t>
            </w:r>
            <w:r>
              <w:rPr>
                <w:rFonts w:hint="default" w:ascii="Times New Roman" w:hAnsi="Times New Roman" w:cs="Times New Roman"/>
                <w:b w:val="0"/>
                <w:bCs w:val="0"/>
                <w:color w:val="auto"/>
                <w:sz w:val="24"/>
                <w:szCs w:val="24"/>
                <w:highlight w:val="none"/>
                <w:vertAlign w:val="subscript"/>
              </w:rPr>
              <w:t>eqg</w:t>
            </w:r>
            <w:r>
              <w:rPr>
                <w:rFonts w:hint="default" w:ascii="Times New Roman" w:hAnsi="Times New Roman" w:cs="Times New Roman"/>
                <w:b w:val="0"/>
                <w:bCs w:val="0"/>
                <w:color w:val="auto"/>
                <w:sz w:val="24"/>
                <w:szCs w:val="24"/>
                <w:highlight w:val="none"/>
              </w:rPr>
              <w:t>）为：</w:t>
            </w:r>
          </w:p>
          <w:p w14:paraId="7328018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position w:val="-30"/>
                <w:sz w:val="24"/>
                <w:szCs w:val="24"/>
                <w:highlight w:val="none"/>
                <w:vertAlign w:val="baseline"/>
                <w:lang w:eastAsia="zh-CN"/>
              </w:rPr>
              <w:object>
                <v:shape id="_x0000_i1067" o:spt="75" type="#_x0000_t75" style="height:35pt;width:199pt;" o:ole="t" filled="f" o:preferrelative="t" stroked="f" coordsize="21600,21600">
                  <v:path/>
                  <v:fill on="f" focussize="0,0"/>
                  <v:stroke on="f"/>
                  <v:imagedata r:id="rId102" o:title=""/>
                  <o:lock v:ext="edit" aspectratio="t"/>
                  <w10:wrap type="none"/>
                  <w10:anchorlock/>
                </v:shape>
                <o:OLEObject Type="Embed" ProgID="Equation.KSEE3" ShapeID="_x0000_i1067" DrawAspect="Content" ObjectID="_1468075767" r:id="rId101">
                  <o:LockedField>false</o:LockedField>
                </o:OLEObject>
              </w:object>
            </w:r>
          </w:p>
          <w:p w14:paraId="2B841BA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lang w:val="en-US" w:eastAsia="zh-CN"/>
              </w:rPr>
              <w:t>式中：L</w:t>
            </w:r>
            <w:r>
              <w:rPr>
                <w:rFonts w:hint="default" w:ascii="Times New Roman" w:hAnsi="Times New Roman" w:cs="Times New Roman"/>
                <w:b w:val="0"/>
                <w:bCs w:val="0"/>
                <w:color w:val="auto"/>
                <w:sz w:val="24"/>
                <w:szCs w:val="24"/>
                <w:highlight w:val="none"/>
                <w:vertAlign w:val="subscript"/>
                <w:lang w:val="en-US" w:eastAsia="zh-CN"/>
              </w:rPr>
              <w:t>eqg</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lang w:val="en-US" w:eastAsia="zh-CN"/>
              </w:rPr>
              <w:t>建设项目声源在预测点产生的噪声贡献值，dB（A）；</w:t>
            </w:r>
          </w:p>
          <w:p w14:paraId="5263237D">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T</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lang w:val="en-US" w:eastAsia="zh-CN"/>
              </w:rPr>
              <w:t>用于计算等效声级的时间，s；</w:t>
            </w:r>
          </w:p>
          <w:p w14:paraId="599CB9E8">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N</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lang w:val="en-US" w:eastAsia="zh-CN"/>
              </w:rPr>
              <w:t>室外声源个数；</w:t>
            </w:r>
          </w:p>
          <w:p w14:paraId="7D6CD4F6">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t</w:t>
            </w:r>
            <w:r>
              <w:rPr>
                <w:rFonts w:hint="default" w:ascii="Times New Roman" w:hAnsi="Times New Roman" w:cs="Times New Roman"/>
                <w:b w:val="0"/>
                <w:bCs w:val="0"/>
                <w:color w:val="auto"/>
                <w:sz w:val="24"/>
                <w:szCs w:val="24"/>
                <w:highlight w:val="none"/>
                <w:vertAlign w:val="subscript"/>
                <w:lang w:val="en-US" w:eastAsia="zh-CN"/>
              </w:rPr>
              <w:t>i</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lang w:val="en-US" w:eastAsia="zh-CN"/>
              </w:rPr>
              <w:t>在T时间内i声源工作时间，s；</w:t>
            </w:r>
          </w:p>
          <w:p w14:paraId="335FC375">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M</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lang w:val="en-US" w:eastAsia="zh-CN"/>
              </w:rPr>
              <w:t>等效室外声源个数；</w:t>
            </w:r>
          </w:p>
          <w:p w14:paraId="7A9EA96E">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lang w:val="en-US" w:eastAsia="zh-CN"/>
              </w:rPr>
              <w:t>t</w:t>
            </w:r>
            <w:r>
              <w:rPr>
                <w:rFonts w:hint="default" w:ascii="Times New Roman" w:hAnsi="Times New Roman" w:cs="Times New Roman"/>
                <w:b w:val="0"/>
                <w:bCs w:val="0"/>
                <w:color w:val="auto"/>
                <w:sz w:val="24"/>
                <w:szCs w:val="24"/>
                <w:highlight w:val="none"/>
                <w:vertAlign w:val="subscript"/>
                <w:lang w:val="en-US" w:eastAsia="zh-CN"/>
              </w:rPr>
              <w:t>j</w:t>
            </w:r>
            <w:r>
              <w:rPr>
                <w:rFonts w:hint="eastAsia"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lang w:val="en-US" w:eastAsia="zh-CN"/>
              </w:rPr>
              <w:t>在T时间内j声源工作时间，s。</w:t>
            </w:r>
          </w:p>
          <w:p w14:paraId="49BDE04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2.达标情况</w:t>
            </w:r>
          </w:p>
          <w:p w14:paraId="759F90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本次噪声预测考虑各设备所采取的噪声防治措施后的影响，具体包括：</w:t>
            </w:r>
            <w:r>
              <w:rPr>
                <w:rFonts w:hint="default" w:ascii="Times New Roman" w:hAnsi="Times New Roman" w:cs="Times New Roman"/>
                <w:b w:val="0"/>
                <w:bCs w:val="0"/>
                <w:color w:val="auto"/>
                <w:sz w:val="24"/>
                <w:szCs w:val="24"/>
                <w:highlight w:val="none"/>
                <w:lang w:val="en-US" w:eastAsia="zh-CN"/>
              </w:rPr>
              <w:t>建筑隔声、基础减振</w:t>
            </w:r>
            <w:r>
              <w:rPr>
                <w:rFonts w:hint="default" w:ascii="Times New Roman" w:hAnsi="Times New Roman"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lang w:val="en-US" w:eastAsia="zh-CN"/>
              </w:rPr>
              <w:t>软连接等</w:t>
            </w:r>
            <w:r>
              <w:rPr>
                <w:rFonts w:hint="default" w:ascii="Times New Roman" w:hAnsi="Times New Roman" w:cs="Times New Roman"/>
                <w:b w:val="0"/>
                <w:bCs w:val="0"/>
                <w:color w:val="auto"/>
                <w:sz w:val="24"/>
                <w:szCs w:val="24"/>
                <w:highlight w:val="none"/>
              </w:rPr>
              <w:t>。在计算声能在户外传播中各种衰减因素时，只考虑屏障（围墙）衰减、距离衰减，</w:t>
            </w:r>
            <w:r>
              <w:rPr>
                <w:rFonts w:hint="default" w:ascii="Times New Roman" w:hAnsi="Times New Roman" w:cs="Times New Roman"/>
                <w:b w:val="0"/>
                <w:bCs w:val="0"/>
                <w:color w:val="auto"/>
                <w:sz w:val="24"/>
                <w:szCs w:val="24"/>
                <w:highlight w:val="none"/>
                <w:lang w:eastAsia="zh-CN"/>
              </w:rPr>
              <w:t>其他影响</w:t>
            </w:r>
            <w:r>
              <w:rPr>
                <w:rFonts w:hint="default" w:ascii="Times New Roman" w:hAnsi="Times New Roman" w:cs="Times New Roman"/>
                <w:b w:val="0"/>
                <w:bCs w:val="0"/>
                <w:color w:val="auto"/>
                <w:sz w:val="24"/>
                <w:szCs w:val="24"/>
                <w:highlight w:val="none"/>
              </w:rPr>
              <w:t>的衰减如空气吸收、地面效应、温度梯度等</w:t>
            </w:r>
            <w:r>
              <w:rPr>
                <w:rFonts w:hint="default" w:ascii="Times New Roman" w:hAnsi="Times New Roman" w:cs="Times New Roman"/>
                <w:b w:val="0"/>
                <w:bCs w:val="0"/>
                <w:color w:val="auto"/>
                <w:sz w:val="24"/>
                <w:szCs w:val="24"/>
                <w:highlight w:val="none"/>
                <w:lang w:val="en-US" w:eastAsia="zh-CN"/>
              </w:rPr>
              <w:t>暂不考虑，以获得噪声最不利预测结果</w:t>
            </w:r>
            <w:r>
              <w:rPr>
                <w:rFonts w:hint="default" w:ascii="Times New Roman" w:hAnsi="Times New Roman" w:cs="Times New Roman"/>
                <w:b w:val="0"/>
                <w:bCs w:val="0"/>
                <w:color w:val="auto"/>
                <w:sz w:val="24"/>
                <w:szCs w:val="24"/>
                <w:highlight w:val="none"/>
              </w:rPr>
              <w:t>。</w:t>
            </w:r>
            <w:r>
              <w:rPr>
                <w:rFonts w:hint="default" w:ascii="Times New Roman" w:hAnsi="Times New Roman" w:cs="Times New Roman"/>
                <w:b w:val="0"/>
                <w:bCs w:val="0"/>
                <w:color w:val="auto"/>
                <w:sz w:val="24"/>
                <w:szCs w:val="24"/>
                <w:highlight w:val="none"/>
                <w:lang w:val="en-US" w:eastAsia="zh-CN"/>
              </w:rPr>
              <w:t>本项目夜间不进行生产，噪声预测详见下图，昼间</w:t>
            </w:r>
            <w:r>
              <w:rPr>
                <w:rFonts w:hint="default" w:ascii="Times New Roman" w:hAnsi="Times New Roman" w:cs="Times New Roman"/>
                <w:b w:val="0"/>
                <w:bCs w:val="0"/>
                <w:color w:val="auto"/>
                <w:sz w:val="24"/>
                <w:szCs w:val="24"/>
                <w:highlight w:val="none"/>
              </w:rPr>
              <w:t>噪声预测结果详见</w:t>
            </w:r>
            <w:r>
              <w:rPr>
                <w:rFonts w:hint="default" w:ascii="Times New Roman" w:hAnsi="Times New Roman" w:cs="Times New Roman"/>
                <w:b w:val="0"/>
                <w:bCs w:val="0"/>
                <w:color w:val="auto"/>
                <w:sz w:val="24"/>
                <w:szCs w:val="24"/>
                <w:highlight w:val="none"/>
                <w:lang w:val="en-US" w:eastAsia="zh-CN"/>
              </w:rPr>
              <w:t>下表</w:t>
            </w:r>
            <w:r>
              <w:rPr>
                <w:rFonts w:hint="default" w:ascii="Times New Roman" w:hAnsi="Times New Roman" w:cs="Times New Roman"/>
                <w:b w:val="0"/>
                <w:bCs w:val="0"/>
                <w:color w:val="auto"/>
                <w:sz w:val="24"/>
                <w:szCs w:val="24"/>
                <w:highlight w:val="none"/>
              </w:rPr>
              <w:t>。</w:t>
            </w:r>
          </w:p>
          <w:tbl>
            <w:tblPr>
              <w:tblStyle w:val="21"/>
              <w:tblW w:w="5000" w:type="pct"/>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01"/>
            </w:tblGrid>
            <w:tr w14:paraId="2AE5D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701" w:type="dxa"/>
                  <w:tcBorders>
                    <w:tl2br w:val="nil"/>
                    <w:tr2bl w:val="nil"/>
                  </w:tcBorders>
                  <w:vAlign w:val="top"/>
                </w:tcPr>
                <w:p w14:paraId="06B2B04B">
                  <w:pPr>
                    <w:pStyle w:val="16"/>
                    <w:spacing w:line="240" w:lineRule="auto"/>
                    <w:ind w:left="0" w:leftChars="0" w:firstLine="0" w:firstLineChars="0"/>
                    <w:jc w:val="center"/>
                    <w:rPr>
                      <w:rFonts w:hint="default" w:ascii="Times New Roman" w:hAnsi="Times New Roman" w:cs="Times New Roman"/>
                      <w:b w:val="0"/>
                      <w:bCs w:val="0"/>
                      <w:color w:val="FF0000"/>
                      <w:sz w:val="24"/>
                      <w:szCs w:val="24"/>
                      <w:highlight w:val="none"/>
                      <w:vertAlign w:val="baseline"/>
                    </w:rPr>
                  </w:pPr>
                  <w:r>
                    <w:drawing>
                      <wp:inline distT="0" distB="0" distL="114300" distR="114300">
                        <wp:extent cx="5379085" cy="3851910"/>
                        <wp:effectExtent l="0" t="0" r="5715" b="8890"/>
                        <wp:docPr id="2"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3"/>
                                <pic:cNvPicPr>
                                  <a:picLocks noChangeAspect="1"/>
                                </pic:cNvPicPr>
                              </pic:nvPicPr>
                              <pic:blipFill>
                                <a:blip r:embed="rId103"/>
                                <a:stretch>
                                  <a:fillRect/>
                                </a:stretch>
                              </pic:blipFill>
                              <pic:spPr>
                                <a:xfrm>
                                  <a:off x="0" y="0"/>
                                  <a:ext cx="5379085" cy="3851910"/>
                                </a:xfrm>
                                <a:prstGeom prst="rect">
                                  <a:avLst/>
                                </a:prstGeom>
                                <a:noFill/>
                                <a:ln>
                                  <a:noFill/>
                                </a:ln>
                              </pic:spPr>
                            </pic:pic>
                          </a:graphicData>
                        </a:graphic>
                      </wp:inline>
                    </w:drawing>
                  </w:r>
                </w:p>
              </w:tc>
            </w:tr>
            <w:tr w14:paraId="3FF50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 w:hRule="atLeast"/>
              </w:trPr>
              <w:tc>
                <w:tcPr>
                  <w:tcW w:w="8701" w:type="dxa"/>
                  <w:tcBorders>
                    <w:tl2br w:val="nil"/>
                    <w:tr2bl w:val="nil"/>
                  </w:tcBorders>
                  <w:vAlign w:val="top"/>
                </w:tcPr>
                <w:p w14:paraId="3EF67416">
                  <w:pPr>
                    <w:pStyle w:val="16"/>
                    <w:spacing w:line="240" w:lineRule="auto"/>
                    <w:ind w:left="0" w:leftChars="0" w:firstLine="0" w:firstLineChars="0"/>
                    <w:jc w:val="center"/>
                    <w:rPr>
                      <w:rFonts w:hint="default" w:ascii="Times New Roman" w:hAnsi="Times New Roman" w:cs="Times New Roman"/>
                      <w:b w:val="0"/>
                      <w:bCs w:val="0"/>
                      <w:color w:val="FF0000"/>
                      <w:sz w:val="24"/>
                      <w:szCs w:val="24"/>
                      <w:highlight w:val="none"/>
                      <w:vertAlign w:val="baseline"/>
                    </w:rPr>
                  </w:pPr>
                  <w:r>
                    <w:rPr>
                      <w:rFonts w:hint="eastAsia" w:cs="Times New Roman"/>
                      <w:b/>
                      <w:bCs/>
                      <w:color w:val="auto"/>
                      <w:sz w:val="21"/>
                      <w:szCs w:val="21"/>
                      <w:highlight w:val="none"/>
                      <w:vertAlign w:val="baseline"/>
                      <w:lang w:val="en-US" w:eastAsia="zh-CN"/>
                    </w:rPr>
                    <w:t>图4-1  项目噪声预测图</w:t>
                  </w:r>
                </w:p>
              </w:tc>
            </w:tr>
          </w:tbl>
          <w:p w14:paraId="09194A5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表</w:t>
            </w:r>
            <w:r>
              <w:rPr>
                <w:rFonts w:hint="default" w:ascii="Times New Roman" w:hAnsi="Times New Roman" w:eastAsia="宋体" w:cs="Times New Roman"/>
                <w:b/>
                <w:bCs/>
                <w:color w:val="auto"/>
                <w:sz w:val="21"/>
                <w:szCs w:val="21"/>
                <w:highlight w:val="none"/>
                <w:lang w:val="en-US" w:eastAsia="zh-CN"/>
              </w:rPr>
              <w:t>4-</w:t>
            </w:r>
            <w:r>
              <w:rPr>
                <w:rFonts w:hint="eastAsia" w:cs="Times New Roman"/>
                <w:b/>
                <w:bCs/>
                <w:color w:val="auto"/>
                <w:sz w:val="21"/>
                <w:szCs w:val="21"/>
                <w:highlight w:val="none"/>
                <w:lang w:val="en-US" w:eastAsia="zh-CN"/>
              </w:rPr>
              <w:t xml:space="preserve">16 </w:t>
            </w:r>
            <w:r>
              <w:rPr>
                <w:rFonts w:hint="default" w:ascii="Times New Roman" w:hAnsi="Times New Roman" w:eastAsia="宋体" w:cs="Times New Roman"/>
                <w:b/>
                <w:bCs/>
                <w:color w:val="auto"/>
                <w:sz w:val="21"/>
                <w:szCs w:val="21"/>
                <w:highlight w:val="none"/>
                <w:lang w:val="en-US" w:eastAsia="zh-CN"/>
              </w:rPr>
              <w:t xml:space="preserve"> 本项目厂界噪声预测结果</w:t>
            </w:r>
            <w:r>
              <w:rPr>
                <w:rFonts w:hint="eastAsia" w:cs="Times New Roman"/>
                <w:b/>
                <w:bCs/>
                <w:color w:val="auto"/>
                <w:sz w:val="21"/>
                <w:szCs w:val="21"/>
                <w:highlight w:val="none"/>
                <w:lang w:val="en-US" w:eastAsia="zh-CN"/>
              </w:rPr>
              <w:t>表</w:t>
            </w:r>
          </w:p>
          <w:tbl>
            <w:tblPr>
              <w:tblStyle w:val="20"/>
              <w:tblW w:w="4997" w:type="pct"/>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43"/>
              <w:gridCol w:w="2007"/>
              <w:gridCol w:w="849"/>
              <w:gridCol w:w="849"/>
              <w:gridCol w:w="1385"/>
              <w:gridCol w:w="2267"/>
              <w:gridCol w:w="896"/>
            </w:tblGrid>
            <w:tr w14:paraId="3E7D767C">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408" w:type="pct"/>
                  <w:gridSpan w:val="2"/>
                  <w:vMerge w:val="restart"/>
                  <w:tcBorders>
                    <w:tl2br w:val="nil"/>
                    <w:tr2bl w:val="nil"/>
                  </w:tcBorders>
                  <w:noWrap w:val="0"/>
                  <w:vAlign w:val="center"/>
                </w:tcPr>
                <w:p w14:paraId="10C25E4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val="0"/>
                      <w:color w:val="auto"/>
                      <w:sz w:val="21"/>
                      <w:szCs w:val="21"/>
                      <w:highlight w:val="none"/>
                      <w:lang w:eastAsia="zh-CN"/>
                    </w:rPr>
                  </w:pPr>
                  <w:r>
                    <w:rPr>
                      <w:rFonts w:hint="default" w:ascii="Times New Roman" w:hAnsi="Times New Roman" w:cs="Times New Roman"/>
                      <w:b/>
                      <w:bCs w:val="0"/>
                      <w:color w:val="auto"/>
                      <w:sz w:val="21"/>
                      <w:szCs w:val="21"/>
                      <w:highlight w:val="none"/>
                      <w:lang w:val="en-US" w:eastAsia="zh-CN"/>
                    </w:rPr>
                    <w:t>厂界</w:t>
                  </w:r>
                </w:p>
              </w:tc>
              <w:tc>
                <w:tcPr>
                  <w:tcW w:w="976" w:type="pct"/>
                  <w:gridSpan w:val="2"/>
                  <w:tcBorders>
                    <w:tl2br w:val="nil"/>
                    <w:tr2bl w:val="nil"/>
                  </w:tcBorders>
                  <w:noWrap w:val="0"/>
                  <w:vAlign w:val="center"/>
                </w:tcPr>
                <w:p w14:paraId="6485417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
                      <w:bCs w:val="0"/>
                      <w:color w:val="auto"/>
                      <w:sz w:val="21"/>
                      <w:szCs w:val="21"/>
                      <w:highlight w:val="none"/>
                      <w:lang w:eastAsia="zh-CN"/>
                    </w:rPr>
                  </w:pPr>
                  <w:r>
                    <w:rPr>
                      <w:rFonts w:hint="default" w:ascii="Times New Roman" w:hAnsi="Times New Roman" w:cs="Times New Roman"/>
                      <w:b/>
                      <w:bCs w:val="0"/>
                      <w:color w:val="auto"/>
                      <w:sz w:val="21"/>
                      <w:szCs w:val="21"/>
                      <w:highlight w:val="none"/>
                    </w:rPr>
                    <w:t>贡献值</w:t>
                  </w:r>
                  <w:r>
                    <w:rPr>
                      <w:rFonts w:hint="eastAsia" w:cs="Times New Roman"/>
                      <w:b/>
                      <w:bCs w:val="0"/>
                      <w:color w:val="auto"/>
                      <w:sz w:val="21"/>
                      <w:szCs w:val="21"/>
                      <w:highlight w:val="none"/>
                      <w:lang w:eastAsia="zh-CN"/>
                    </w:rPr>
                    <w:t>，</w:t>
                  </w:r>
                  <w:r>
                    <w:rPr>
                      <w:rFonts w:hint="default" w:ascii="Times New Roman" w:hAnsi="Times New Roman" w:cs="Times New Roman"/>
                      <w:b/>
                      <w:bCs w:val="0"/>
                      <w:color w:val="auto"/>
                      <w:sz w:val="21"/>
                      <w:szCs w:val="21"/>
                      <w:highlight w:val="none"/>
                      <w:lang w:val="en-US" w:eastAsia="zh-CN"/>
                    </w:rPr>
                    <w:t>dB(A)</w:t>
                  </w:r>
                </w:p>
              </w:tc>
              <w:tc>
                <w:tcPr>
                  <w:tcW w:w="2099" w:type="pct"/>
                  <w:gridSpan w:val="2"/>
                  <w:vMerge w:val="restart"/>
                  <w:tcBorders>
                    <w:tl2br w:val="nil"/>
                    <w:tr2bl w:val="nil"/>
                  </w:tcBorders>
                  <w:noWrap w:val="0"/>
                  <w:vAlign w:val="center"/>
                </w:tcPr>
                <w:p w14:paraId="0BFD192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《工业企业厂界环境噪声排放标准》（GB12348-2008）表1</w:t>
                  </w:r>
                </w:p>
              </w:tc>
              <w:tc>
                <w:tcPr>
                  <w:tcW w:w="515" w:type="pct"/>
                  <w:vMerge w:val="restart"/>
                  <w:tcBorders>
                    <w:tl2br w:val="nil"/>
                    <w:tr2bl w:val="nil"/>
                  </w:tcBorders>
                  <w:noWrap w:val="0"/>
                  <w:vAlign w:val="center"/>
                </w:tcPr>
                <w:p w14:paraId="5E0342E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val="0"/>
                      <w:color w:val="auto"/>
                      <w:sz w:val="21"/>
                      <w:szCs w:val="21"/>
                      <w:highlight w:val="none"/>
                      <w:lang w:val="en-US" w:eastAsia="zh-CN"/>
                    </w:rPr>
                  </w:pPr>
                  <w:r>
                    <w:rPr>
                      <w:rFonts w:hint="default" w:ascii="Times New Roman" w:hAnsi="Times New Roman" w:cs="Times New Roman"/>
                      <w:b/>
                      <w:bCs w:val="0"/>
                      <w:color w:val="auto"/>
                      <w:sz w:val="21"/>
                      <w:szCs w:val="21"/>
                      <w:highlight w:val="none"/>
                      <w:lang w:val="en-US" w:eastAsia="zh-CN"/>
                    </w:rPr>
                    <w:t>达标</w:t>
                  </w:r>
                </w:p>
                <w:p w14:paraId="21249A5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cs="Times New Roman"/>
                      <w:b/>
                      <w:bCs w:val="0"/>
                      <w:color w:val="auto"/>
                      <w:sz w:val="21"/>
                      <w:szCs w:val="21"/>
                      <w:highlight w:val="none"/>
                      <w:lang w:val="en-US" w:eastAsia="zh-CN"/>
                    </w:rPr>
                    <w:t>情况</w:t>
                  </w:r>
                </w:p>
              </w:tc>
            </w:tr>
            <w:tr w14:paraId="63509BAD">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408" w:type="pct"/>
                  <w:gridSpan w:val="2"/>
                  <w:vMerge w:val="continue"/>
                  <w:tcBorders>
                    <w:tl2br w:val="nil"/>
                    <w:tr2bl w:val="nil"/>
                  </w:tcBorders>
                  <w:noWrap w:val="0"/>
                  <w:vAlign w:val="center"/>
                </w:tcPr>
                <w:p w14:paraId="203ED0A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lang w:val="en-US" w:eastAsia="zh-CN"/>
                    </w:rPr>
                  </w:pPr>
                </w:p>
              </w:tc>
              <w:tc>
                <w:tcPr>
                  <w:tcW w:w="488" w:type="pct"/>
                  <w:tcBorders>
                    <w:tl2br w:val="nil"/>
                    <w:tr2bl w:val="nil"/>
                  </w:tcBorders>
                  <w:noWrap w:val="0"/>
                  <w:vAlign w:val="center"/>
                </w:tcPr>
                <w:p w14:paraId="224D918C">
                  <w:pPr>
                    <w:keepNext w:val="0"/>
                    <w:keepLines w:val="0"/>
                    <w:pageBreakBefore w:val="0"/>
                    <w:widowControl w:val="0"/>
                    <w:kinsoku/>
                    <w:wordWrap/>
                    <w:overflowPunct/>
                    <w:topLinePunct w:val="0"/>
                    <w:autoSpaceDE/>
                    <w:autoSpaceDN/>
                    <w:bidi w:val="0"/>
                    <w:adjustRightInd/>
                    <w:snapToGrid/>
                    <w:jc w:val="center"/>
                    <w:textAlignment w:val="auto"/>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昼间</w:t>
                  </w:r>
                </w:p>
              </w:tc>
              <w:tc>
                <w:tcPr>
                  <w:tcW w:w="488" w:type="pct"/>
                  <w:tcBorders>
                    <w:tl2br w:val="nil"/>
                    <w:tr2bl w:val="nil"/>
                  </w:tcBorders>
                  <w:noWrap w:val="0"/>
                  <w:vAlign w:val="center"/>
                </w:tcPr>
                <w:p w14:paraId="1291719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夜间</w:t>
                  </w:r>
                </w:p>
              </w:tc>
              <w:tc>
                <w:tcPr>
                  <w:tcW w:w="2099" w:type="pct"/>
                  <w:gridSpan w:val="2"/>
                  <w:vMerge w:val="continue"/>
                  <w:tcBorders>
                    <w:tl2br w:val="nil"/>
                    <w:tr2bl w:val="nil"/>
                  </w:tcBorders>
                  <w:noWrap w:val="0"/>
                  <w:vAlign w:val="center"/>
                </w:tcPr>
                <w:p w14:paraId="57637715">
                  <w:pPr>
                    <w:keepNext w:val="0"/>
                    <w:keepLines w:val="0"/>
                    <w:pageBreakBefore w:val="0"/>
                    <w:widowControl w:val="0"/>
                    <w:kinsoku/>
                    <w:wordWrap/>
                    <w:overflowPunct/>
                    <w:topLinePunct w:val="0"/>
                    <w:autoSpaceDE/>
                    <w:autoSpaceDN/>
                    <w:bidi w:val="0"/>
                    <w:adjustRightInd/>
                    <w:snapToGrid/>
                    <w:jc w:val="center"/>
                    <w:textAlignment w:val="auto"/>
                    <w:rPr>
                      <w:rFonts w:hint="eastAsia" w:cs="Times New Roman"/>
                      <w:bCs/>
                      <w:color w:val="auto"/>
                      <w:sz w:val="21"/>
                      <w:szCs w:val="21"/>
                      <w:highlight w:val="none"/>
                      <w:lang w:val="en-US" w:eastAsia="zh-CN"/>
                    </w:rPr>
                  </w:pPr>
                </w:p>
              </w:tc>
              <w:tc>
                <w:tcPr>
                  <w:tcW w:w="515" w:type="pct"/>
                  <w:vMerge w:val="continue"/>
                  <w:tcBorders>
                    <w:tl2br w:val="nil"/>
                    <w:tr2bl w:val="nil"/>
                  </w:tcBorders>
                  <w:noWrap w:val="0"/>
                  <w:vAlign w:val="center"/>
                </w:tcPr>
                <w:p w14:paraId="578613B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lang w:val="en-US" w:eastAsia="zh-CN"/>
                    </w:rPr>
                  </w:pPr>
                </w:p>
              </w:tc>
            </w:tr>
            <w:tr w14:paraId="7DC2AF6F">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4" w:type="pct"/>
                  <w:tcBorders>
                    <w:tl2br w:val="nil"/>
                    <w:tr2bl w:val="nil"/>
                  </w:tcBorders>
                  <w:noWrap w:val="0"/>
                  <w:vAlign w:val="center"/>
                </w:tcPr>
                <w:p w14:paraId="344D90F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color w:val="auto"/>
                      <w:sz w:val="21"/>
                      <w:szCs w:val="21"/>
                      <w:highlight w:val="none"/>
                    </w:rPr>
                    <w:t>1#</w:t>
                  </w:r>
                </w:p>
              </w:tc>
              <w:tc>
                <w:tcPr>
                  <w:tcW w:w="1153" w:type="pct"/>
                  <w:tcBorders>
                    <w:tl2br w:val="nil"/>
                    <w:tr2bl w:val="nil"/>
                  </w:tcBorders>
                  <w:noWrap w:val="0"/>
                  <w:vAlign w:val="center"/>
                </w:tcPr>
                <w:p w14:paraId="49DF44E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color w:val="auto"/>
                      <w:sz w:val="21"/>
                      <w:szCs w:val="21"/>
                      <w:highlight w:val="none"/>
                      <w:lang w:val="en-US" w:eastAsia="zh-CN"/>
                    </w:rPr>
                    <w:t>东侧厂</w:t>
                  </w:r>
                  <w:r>
                    <w:rPr>
                      <w:rFonts w:hint="default" w:ascii="Times New Roman" w:hAnsi="Times New Roman" w:cs="Times New Roman"/>
                      <w:color w:val="auto"/>
                      <w:sz w:val="21"/>
                      <w:szCs w:val="21"/>
                      <w:highlight w:val="none"/>
                    </w:rPr>
                    <w:t>界外1m处</w:t>
                  </w:r>
                </w:p>
              </w:tc>
              <w:tc>
                <w:tcPr>
                  <w:tcW w:w="488" w:type="pct"/>
                  <w:tcBorders>
                    <w:tl2br w:val="nil"/>
                    <w:tr2bl w:val="nil"/>
                  </w:tcBorders>
                  <w:noWrap w:val="0"/>
                  <w:vAlign w:val="center"/>
                </w:tcPr>
                <w:p w14:paraId="1C5F403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43.8</w:t>
                  </w:r>
                </w:p>
              </w:tc>
              <w:tc>
                <w:tcPr>
                  <w:tcW w:w="849" w:type="dxa"/>
                  <w:tcBorders>
                    <w:tl2br w:val="nil"/>
                    <w:tr2bl w:val="nil"/>
                  </w:tcBorders>
                  <w:noWrap w:val="0"/>
                  <w:vAlign w:val="center"/>
                </w:tcPr>
                <w:p w14:paraId="7BC2BF0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43.8</w:t>
                  </w:r>
                </w:p>
              </w:tc>
              <w:tc>
                <w:tcPr>
                  <w:tcW w:w="796" w:type="pct"/>
                  <w:vMerge w:val="restart"/>
                  <w:tcBorders>
                    <w:tl2br w:val="nil"/>
                    <w:tr2bl w:val="nil"/>
                  </w:tcBorders>
                  <w:noWrap w:val="0"/>
                  <w:vAlign w:val="center"/>
                </w:tcPr>
                <w:p w14:paraId="20ED7E7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2</w:t>
                  </w:r>
                  <w:r>
                    <w:rPr>
                      <w:rFonts w:hint="default" w:ascii="Times New Roman" w:hAnsi="Times New Roman" w:eastAsia="宋体" w:cs="Times New Roman"/>
                      <w:bCs/>
                      <w:color w:val="auto"/>
                      <w:kern w:val="2"/>
                      <w:sz w:val="21"/>
                      <w:szCs w:val="21"/>
                      <w:highlight w:val="none"/>
                      <w:lang w:val="en-US" w:eastAsia="zh-CN" w:bidi="ar-SA"/>
                    </w:rPr>
                    <w:t>类</w:t>
                  </w:r>
                </w:p>
              </w:tc>
              <w:tc>
                <w:tcPr>
                  <w:tcW w:w="1303" w:type="pct"/>
                  <w:vMerge w:val="restart"/>
                  <w:tcBorders>
                    <w:tl2br w:val="nil"/>
                    <w:tr2bl w:val="nil"/>
                  </w:tcBorders>
                  <w:noWrap w:val="0"/>
                  <w:vAlign w:val="center"/>
                </w:tcPr>
                <w:p w14:paraId="539E6E9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昼间</w:t>
                  </w:r>
                  <w:r>
                    <w:rPr>
                      <w:rFonts w:hint="eastAsia" w:cs="Times New Roman"/>
                      <w:bCs/>
                      <w:color w:val="auto"/>
                      <w:sz w:val="21"/>
                      <w:szCs w:val="21"/>
                      <w:highlight w:val="none"/>
                      <w:lang w:val="en-US" w:eastAsia="zh-CN"/>
                    </w:rPr>
                    <w:t>60</w:t>
                  </w:r>
                  <w:r>
                    <w:rPr>
                      <w:rFonts w:hint="default" w:ascii="Times New Roman" w:hAnsi="Times New Roman" w:cs="Times New Roman"/>
                      <w:bCs/>
                      <w:color w:val="auto"/>
                      <w:sz w:val="21"/>
                      <w:szCs w:val="21"/>
                      <w:highlight w:val="none"/>
                      <w:lang w:val="en-US" w:eastAsia="zh-CN"/>
                    </w:rPr>
                    <w:t>dB(A)</w:t>
                  </w:r>
                </w:p>
                <w:p w14:paraId="2168D76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夜间50</w:t>
                  </w:r>
                  <w:r>
                    <w:rPr>
                      <w:rFonts w:hint="default" w:ascii="Times New Roman" w:hAnsi="Times New Roman" w:cs="Times New Roman"/>
                      <w:bCs/>
                      <w:color w:val="auto"/>
                      <w:sz w:val="21"/>
                      <w:szCs w:val="21"/>
                      <w:highlight w:val="none"/>
                      <w:lang w:val="en-US" w:eastAsia="zh-CN"/>
                    </w:rPr>
                    <w:t>dB(A)</w:t>
                  </w:r>
                </w:p>
              </w:tc>
              <w:tc>
                <w:tcPr>
                  <w:tcW w:w="515" w:type="pct"/>
                  <w:tcBorders>
                    <w:tl2br w:val="nil"/>
                    <w:tr2bl w:val="nil"/>
                  </w:tcBorders>
                  <w:noWrap w:val="0"/>
                  <w:vAlign w:val="center"/>
                </w:tcPr>
                <w:p w14:paraId="10AF970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达标</w:t>
                  </w:r>
                </w:p>
              </w:tc>
            </w:tr>
            <w:tr w14:paraId="61046B27">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4" w:type="pct"/>
                  <w:tcBorders>
                    <w:tl2br w:val="nil"/>
                    <w:tr2bl w:val="nil"/>
                  </w:tcBorders>
                  <w:noWrap w:val="0"/>
                  <w:vAlign w:val="center"/>
                </w:tcPr>
                <w:p w14:paraId="1C9DE1D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color w:val="auto"/>
                      <w:sz w:val="21"/>
                      <w:szCs w:val="21"/>
                      <w:highlight w:val="none"/>
                    </w:rPr>
                    <w:t>2#</w:t>
                  </w:r>
                </w:p>
              </w:tc>
              <w:tc>
                <w:tcPr>
                  <w:tcW w:w="1153" w:type="pct"/>
                  <w:tcBorders>
                    <w:tl2br w:val="nil"/>
                    <w:tr2bl w:val="nil"/>
                  </w:tcBorders>
                  <w:noWrap w:val="0"/>
                  <w:vAlign w:val="center"/>
                </w:tcPr>
                <w:p w14:paraId="0210577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color w:val="auto"/>
                      <w:sz w:val="21"/>
                      <w:szCs w:val="21"/>
                      <w:highlight w:val="none"/>
                      <w:lang w:val="en-US" w:eastAsia="zh-CN"/>
                    </w:rPr>
                    <w:t>南侧厂</w:t>
                  </w:r>
                  <w:r>
                    <w:rPr>
                      <w:rFonts w:hint="default" w:ascii="Times New Roman" w:hAnsi="Times New Roman" w:cs="Times New Roman"/>
                      <w:color w:val="auto"/>
                      <w:sz w:val="21"/>
                      <w:szCs w:val="21"/>
                      <w:highlight w:val="none"/>
                    </w:rPr>
                    <w:t>界外1m处</w:t>
                  </w:r>
                </w:p>
              </w:tc>
              <w:tc>
                <w:tcPr>
                  <w:tcW w:w="488" w:type="pct"/>
                  <w:tcBorders>
                    <w:tl2br w:val="nil"/>
                    <w:tr2bl w:val="nil"/>
                  </w:tcBorders>
                  <w:noWrap w:val="0"/>
                  <w:vAlign w:val="center"/>
                </w:tcPr>
                <w:p w14:paraId="7D0E95D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42.7</w:t>
                  </w:r>
                </w:p>
              </w:tc>
              <w:tc>
                <w:tcPr>
                  <w:tcW w:w="849" w:type="dxa"/>
                  <w:tcBorders>
                    <w:tl2br w:val="nil"/>
                    <w:tr2bl w:val="nil"/>
                  </w:tcBorders>
                  <w:noWrap w:val="0"/>
                  <w:vAlign w:val="center"/>
                </w:tcPr>
                <w:p w14:paraId="7CAAB71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42.7</w:t>
                  </w:r>
                </w:p>
              </w:tc>
              <w:tc>
                <w:tcPr>
                  <w:tcW w:w="796" w:type="pct"/>
                  <w:vMerge w:val="continue"/>
                  <w:tcBorders>
                    <w:tl2br w:val="nil"/>
                    <w:tr2bl w:val="nil"/>
                  </w:tcBorders>
                  <w:noWrap w:val="0"/>
                  <w:vAlign w:val="center"/>
                </w:tcPr>
                <w:p w14:paraId="6F56322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FF0000"/>
                      <w:sz w:val="21"/>
                      <w:szCs w:val="21"/>
                      <w:highlight w:val="none"/>
                      <w:lang w:val="en-US" w:eastAsia="zh-CN"/>
                    </w:rPr>
                  </w:pPr>
                </w:p>
              </w:tc>
              <w:tc>
                <w:tcPr>
                  <w:tcW w:w="1303" w:type="pct"/>
                  <w:vMerge w:val="continue"/>
                  <w:tcBorders>
                    <w:tl2br w:val="nil"/>
                    <w:tr2bl w:val="nil"/>
                  </w:tcBorders>
                  <w:noWrap w:val="0"/>
                  <w:vAlign w:val="center"/>
                </w:tcPr>
                <w:p w14:paraId="7A45411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FF0000"/>
                      <w:sz w:val="21"/>
                      <w:szCs w:val="21"/>
                      <w:highlight w:val="none"/>
                      <w:lang w:val="en-US" w:eastAsia="zh-CN"/>
                    </w:rPr>
                  </w:pPr>
                </w:p>
              </w:tc>
              <w:tc>
                <w:tcPr>
                  <w:tcW w:w="515" w:type="pct"/>
                  <w:tcBorders>
                    <w:tl2br w:val="nil"/>
                    <w:tr2bl w:val="nil"/>
                  </w:tcBorders>
                  <w:noWrap w:val="0"/>
                  <w:vAlign w:val="center"/>
                </w:tcPr>
                <w:p w14:paraId="4CD9DF2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达标</w:t>
                  </w:r>
                </w:p>
              </w:tc>
            </w:tr>
            <w:tr w14:paraId="30CAAC05">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4" w:type="pct"/>
                  <w:tcBorders>
                    <w:tl2br w:val="nil"/>
                    <w:tr2bl w:val="nil"/>
                  </w:tcBorders>
                  <w:noWrap w:val="0"/>
                  <w:vAlign w:val="center"/>
                </w:tcPr>
                <w:p w14:paraId="57E93FD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color w:val="auto"/>
                      <w:sz w:val="21"/>
                      <w:szCs w:val="21"/>
                      <w:highlight w:val="none"/>
                    </w:rPr>
                    <w:t>3#</w:t>
                  </w:r>
                </w:p>
              </w:tc>
              <w:tc>
                <w:tcPr>
                  <w:tcW w:w="1153" w:type="pct"/>
                  <w:tcBorders>
                    <w:tl2br w:val="nil"/>
                    <w:tr2bl w:val="nil"/>
                  </w:tcBorders>
                  <w:noWrap w:val="0"/>
                  <w:vAlign w:val="center"/>
                </w:tcPr>
                <w:p w14:paraId="01B7954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Cs/>
                      <w:color w:val="auto"/>
                      <w:sz w:val="21"/>
                      <w:szCs w:val="21"/>
                      <w:highlight w:val="none"/>
                    </w:rPr>
                  </w:pPr>
                  <w:r>
                    <w:rPr>
                      <w:rFonts w:hint="eastAsia" w:cs="Times New Roman"/>
                      <w:color w:val="auto"/>
                      <w:sz w:val="21"/>
                      <w:szCs w:val="21"/>
                      <w:highlight w:val="none"/>
                      <w:lang w:val="en-US" w:eastAsia="zh-CN"/>
                    </w:rPr>
                    <w:t>西</w:t>
                  </w:r>
                  <w:r>
                    <w:rPr>
                      <w:rFonts w:hint="default" w:ascii="Times New Roman" w:hAnsi="Times New Roman" w:cs="Times New Roman"/>
                      <w:color w:val="auto"/>
                      <w:sz w:val="21"/>
                      <w:szCs w:val="21"/>
                      <w:highlight w:val="none"/>
                      <w:lang w:val="en-US" w:eastAsia="zh-CN"/>
                    </w:rPr>
                    <w:t>侧厂</w:t>
                  </w:r>
                  <w:r>
                    <w:rPr>
                      <w:rFonts w:hint="default" w:ascii="Times New Roman" w:hAnsi="Times New Roman" w:cs="Times New Roman"/>
                      <w:color w:val="auto"/>
                      <w:sz w:val="21"/>
                      <w:szCs w:val="21"/>
                      <w:highlight w:val="none"/>
                    </w:rPr>
                    <w:t>界外1m处</w:t>
                  </w:r>
                </w:p>
              </w:tc>
              <w:tc>
                <w:tcPr>
                  <w:tcW w:w="488" w:type="pct"/>
                  <w:tcBorders>
                    <w:tl2br w:val="nil"/>
                    <w:tr2bl w:val="nil"/>
                  </w:tcBorders>
                  <w:noWrap w:val="0"/>
                  <w:vAlign w:val="center"/>
                </w:tcPr>
                <w:p w14:paraId="2E14605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48.9</w:t>
                  </w:r>
                </w:p>
              </w:tc>
              <w:tc>
                <w:tcPr>
                  <w:tcW w:w="849" w:type="dxa"/>
                  <w:tcBorders>
                    <w:tl2br w:val="nil"/>
                    <w:tr2bl w:val="nil"/>
                  </w:tcBorders>
                  <w:noWrap w:val="0"/>
                  <w:vAlign w:val="center"/>
                </w:tcPr>
                <w:p w14:paraId="10C827B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48.9</w:t>
                  </w:r>
                </w:p>
              </w:tc>
              <w:tc>
                <w:tcPr>
                  <w:tcW w:w="796" w:type="pct"/>
                  <w:vMerge w:val="continue"/>
                  <w:tcBorders>
                    <w:tl2br w:val="nil"/>
                    <w:tr2bl w:val="nil"/>
                  </w:tcBorders>
                  <w:noWrap w:val="0"/>
                  <w:vAlign w:val="center"/>
                </w:tcPr>
                <w:p w14:paraId="41129AD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FF0000"/>
                      <w:sz w:val="21"/>
                      <w:szCs w:val="21"/>
                      <w:highlight w:val="none"/>
                      <w:lang w:val="en-US" w:eastAsia="zh-CN"/>
                    </w:rPr>
                  </w:pPr>
                </w:p>
              </w:tc>
              <w:tc>
                <w:tcPr>
                  <w:tcW w:w="1303" w:type="pct"/>
                  <w:vMerge w:val="continue"/>
                  <w:tcBorders>
                    <w:tl2br w:val="nil"/>
                    <w:tr2bl w:val="nil"/>
                  </w:tcBorders>
                  <w:noWrap w:val="0"/>
                  <w:vAlign w:val="center"/>
                </w:tcPr>
                <w:p w14:paraId="68F9291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FF0000"/>
                      <w:sz w:val="21"/>
                      <w:szCs w:val="21"/>
                      <w:highlight w:val="none"/>
                      <w:lang w:val="en-US" w:eastAsia="zh-CN"/>
                    </w:rPr>
                  </w:pPr>
                </w:p>
              </w:tc>
              <w:tc>
                <w:tcPr>
                  <w:tcW w:w="515" w:type="pct"/>
                  <w:tcBorders>
                    <w:tl2br w:val="nil"/>
                    <w:tr2bl w:val="nil"/>
                  </w:tcBorders>
                  <w:noWrap w:val="0"/>
                  <w:vAlign w:val="center"/>
                </w:tcPr>
                <w:p w14:paraId="7BBB1A9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达标</w:t>
                  </w:r>
                </w:p>
              </w:tc>
            </w:tr>
            <w:tr w14:paraId="3CA86541">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4" w:type="pct"/>
                  <w:tcBorders>
                    <w:tl2br w:val="nil"/>
                    <w:tr2bl w:val="nil"/>
                  </w:tcBorders>
                  <w:noWrap w:val="0"/>
                  <w:vAlign w:val="center"/>
                </w:tcPr>
                <w:p w14:paraId="1D02CD4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1153" w:type="pct"/>
                  <w:tcBorders>
                    <w:tl2br w:val="nil"/>
                    <w:tr2bl w:val="nil"/>
                  </w:tcBorders>
                  <w:noWrap w:val="0"/>
                  <w:vAlign w:val="center"/>
                </w:tcPr>
                <w:p w14:paraId="31C9E36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北</w:t>
                  </w:r>
                  <w:r>
                    <w:rPr>
                      <w:rFonts w:hint="default" w:ascii="Times New Roman" w:hAnsi="Times New Roman" w:cs="Times New Roman"/>
                      <w:color w:val="auto"/>
                      <w:sz w:val="21"/>
                      <w:szCs w:val="21"/>
                      <w:highlight w:val="none"/>
                      <w:lang w:val="en-US" w:eastAsia="zh-CN"/>
                    </w:rPr>
                    <w:t>侧厂</w:t>
                  </w:r>
                  <w:r>
                    <w:rPr>
                      <w:rFonts w:hint="default" w:ascii="Times New Roman" w:hAnsi="Times New Roman" w:cs="Times New Roman"/>
                      <w:color w:val="auto"/>
                      <w:sz w:val="21"/>
                      <w:szCs w:val="21"/>
                      <w:highlight w:val="none"/>
                    </w:rPr>
                    <w:t>界外1m处</w:t>
                  </w:r>
                </w:p>
              </w:tc>
              <w:tc>
                <w:tcPr>
                  <w:tcW w:w="488" w:type="pct"/>
                  <w:tcBorders>
                    <w:tl2br w:val="nil"/>
                    <w:tr2bl w:val="nil"/>
                  </w:tcBorders>
                  <w:noWrap w:val="0"/>
                  <w:vAlign w:val="center"/>
                </w:tcPr>
                <w:p w14:paraId="4F7C2B29">
                  <w:pPr>
                    <w:keepNext w:val="0"/>
                    <w:keepLines w:val="0"/>
                    <w:pageBreakBefore w:val="0"/>
                    <w:widowControl w:val="0"/>
                    <w:kinsoku/>
                    <w:wordWrap/>
                    <w:overflowPunct/>
                    <w:topLinePunct w:val="0"/>
                    <w:autoSpaceDE/>
                    <w:autoSpaceDN/>
                    <w:bidi w:val="0"/>
                    <w:adjustRightInd/>
                    <w:snapToGrid/>
                    <w:jc w:val="center"/>
                    <w:textAlignment w:val="auto"/>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49.6</w:t>
                  </w:r>
                </w:p>
              </w:tc>
              <w:tc>
                <w:tcPr>
                  <w:tcW w:w="849" w:type="dxa"/>
                  <w:tcBorders>
                    <w:tl2br w:val="nil"/>
                    <w:tr2bl w:val="nil"/>
                  </w:tcBorders>
                  <w:noWrap w:val="0"/>
                  <w:vAlign w:val="center"/>
                </w:tcPr>
                <w:p w14:paraId="29159839">
                  <w:pPr>
                    <w:keepNext w:val="0"/>
                    <w:keepLines w:val="0"/>
                    <w:pageBreakBefore w:val="0"/>
                    <w:widowControl w:val="0"/>
                    <w:kinsoku/>
                    <w:wordWrap/>
                    <w:overflowPunct/>
                    <w:topLinePunct w:val="0"/>
                    <w:autoSpaceDE/>
                    <w:autoSpaceDN/>
                    <w:bidi w:val="0"/>
                    <w:adjustRightInd/>
                    <w:snapToGrid/>
                    <w:jc w:val="center"/>
                    <w:textAlignment w:val="auto"/>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49.6</w:t>
                  </w:r>
                </w:p>
              </w:tc>
              <w:tc>
                <w:tcPr>
                  <w:tcW w:w="796" w:type="pct"/>
                  <w:vMerge w:val="continue"/>
                  <w:tcBorders>
                    <w:tl2br w:val="nil"/>
                    <w:tr2bl w:val="nil"/>
                  </w:tcBorders>
                  <w:noWrap w:val="0"/>
                  <w:vAlign w:val="center"/>
                </w:tcPr>
                <w:p w14:paraId="798BE3E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FF0000"/>
                      <w:sz w:val="21"/>
                      <w:szCs w:val="21"/>
                      <w:highlight w:val="none"/>
                      <w:lang w:val="en-US" w:eastAsia="zh-CN"/>
                    </w:rPr>
                  </w:pPr>
                </w:p>
              </w:tc>
              <w:tc>
                <w:tcPr>
                  <w:tcW w:w="1303" w:type="pct"/>
                  <w:vMerge w:val="continue"/>
                  <w:tcBorders>
                    <w:tl2br w:val="nil"/>
                    <w:tr2bl w:val="nil"/>
                  </w:tcBorders>
                  <w:noWrap w:val="0"/>
                  <w:vAlign w:val="center"/>
                </w:tcPr>
                <w:p w14:paraId="799CE54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FF0000"/>
                      <w:sz w:val="21"/>
                      <w:szCs w:val="21"/>
                      <w:highlight w:val="none"/>
                      <w:lang w:val="en-US" w:eastAsia="zh-CN"/>
                    </w:rPr>
                  </w:pPr>
                </w:p>
              </w:tc>
              <w:tc>
                <w:tcPr>
                  <w:tcW w:w="515" w:type="pct"/>
                  <w:tcBorders>
                    <w:tl2br w:val="nil"/>
                    <w:tr2bl w:val="nil"/>
                  </w:tcBorders>
                  <w:noWrap w:val="0"/>
                  <w:vAlign w:val="center"/>
                </w:tcPr>
                <w:p w14:paraId="54C7E9F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达标</w:t>
                  </w:r>
                </w:p>
              </w:tc>
            </w:tr>
          </w:tbl>
          <w:p w14:paraId="574355E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bCs/>
                <w:color w:val="FF0000"/>
                <w:sz w:val="21"/>
                <w:szCs w:val="21"/>
                <w:highlight w:val="none"/>
                <w:lang w:val="en-US" w:eastAsia="zh-CN"/>
              </w:rPr>
            </w:pPr>
          </w:p>
          <w:p w14:paraId="0883C7F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bCs/>
                <w:color w:val="FF0000"/>
                <w:sz w:val="21"/>
                <w:szCs w:val="21"/>
                <w:highlight w:val="none"/>
                <w:lang w:val="en-US" w:eastAsia="zh-CN"/>
              </w:rPr>
            </w:pPr>
          </w:p>
          <w:p w14:paraId="20BFCB5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bCs/>
                <w:color w:val="FF0000"/>
                <w:sz w:val="21"/>
                <w:szCs w:val="21"/>
                <w:highlight w:val="none"/>
                <w:lang w:val="en-US" w:eastAsia="zh-CN"/>
              </w:rPr>
            </w:pPr>
          </w:p>
          <w:p w14:paraId="297D438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eastAsia" w:ascii="Times New Roman" w:hAnsi="Times New Roman" w:eastAsia="宋体" w:cs="Times New Roman"/>
                <w:b/>
                <w:bCs/>
                <w:color w:val="FF0000"/>
                <w:sz w:val="21"/>
                <w:szCs w:val="21"/>
                <w:highlight w:val="none"/>
                <w:lang w:val="en-US" w:eastAsia="zh-CN"/>
              </w:rPr>
            </w:pPr>
          </w:p>
          <w:p w14:paraId="7A10532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表4-</w:t>
            </w:r>
            <w:r>
              <w:rPr>
                <w:rFonts w:hint="eastAsia" w:cs="Times New Roman"/>
                <w:b/>
                <w:bCs/>
                <w:color w:val="auto"/>
                <w:sz w:val="21"/>
                <w:szCs w:val="21"/>
                <w:highlight w:val="none"/>
                <w:lang w:val="en-US" w:eastAsia="zh-CN"/>
              </w:rPr>
              <w:t>17  工业企业声环境保护目标噪声预测结果与达标分析表</w:t>
            </w:r>
          </w:p>
          <w:tbl>
            <w:tblPr>
              <w:tblStyle w:val="21"/>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1"/>
              <w:gridCol w:w="951"/>
              <w:gridCol w:w="605"/>
              <w:gridCol w:w="515"/>
              <w:gridCol w:w="584"/>
              <w:gridCol w:w="519"/>
              <w:gridCol w:w="727"/>
              <w:gridCol w:w="684"/>
              <w:gridCol w:w="709"/>
              <w:gridCol w:w="728"/>
              <w:gridCol w:w="657"/>
              <w:gridCol w:w="593"/>
              <w:gridCol w:w="523"/>
              <w:gridCol w:w="455"/>
            </w:tblGrid>
            <w:tr w14:paraId="5BD22C0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tcBorders>
                    <w:tl2br w:val="nil"/>
                    <w:tr2bl w:val="nil"/>
                  </w:tcBorders>
                  <w:vAlign w:val="center"/>
                </w:tcPr>
                <w:p w14:paraId="0B76CB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序号</w:t>
                  </w:r>
                </w:p>
              </w:tc>
              <w:tc>
                <w:tcPr>
                  <w:tcW w:w="951" w:type="dxa"/>
                  <w:vMerge w:val="restart"/>
                  <w:tcBorders>
                    <w:tl2br w:val="nil"/>
                    <w:tr2bl w:val="nil"/>
                  </w:tcBorders>
                  <w:vAlign w:val="center"/>
                </w:tcPr>
                <w:p w14:paraId="5E594F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声环境保护目标</w:t>
                  </w:r>
                </w:p>
              </w:tc>
              <w:tc>
                <w:tcPr>
                  <w:tcW w:w="1120" w:type="dxa"/>
                  <w:gridSpan w:val="2"/>
                  <w:tcBorders>
                    <w:tl2br w:val="nil"/>
                    <w:tr2bl w:val="nil"/>
                  </w:tcBorders>
                  <w:vAlign w:val="center"/>
                </w:tcPr>
                <w:p w14:paraId="678CD6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噪声现状值/dB（A）</w:t>
                  </w:r>
                </w:p>
              </w:tc>
              <w:tc>
                <w:tcPr>
                  <w:tcW w:w="1103" w:type="dxa"/>
                  <w:gridSpan w:val="2"/>
                  <w:tcBorders>
                    <w:tl2br w:val="nil"/>
                    <w:tr2bl w:val="nil"/>
                  </w:tcBorders>
                  <w:vAlign w:val="center"/>
                </w:tcPr>
                <w:p w14:paraId="012ADD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噪声标准/dB（A）</w:t>
                  </w:r>
                </w:p>
              </w:tc>
              <w:tc>
                <w:tcPr>
                  <w:tcW w:w="1411" w:type="dxa"/>
                  <w:gridSpan w:val="2"/>
                  <w:tcBorders>
                    <w:tl2br w:val="nil"/>
                    <w:tr2bl w:val="nil"/>
                  </w:tcBorders>
                  <w:vAlign w:val="center"/>
                </w:tcPr>
                <w:p w14:paraId="207BEB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噪声贡献值/dB（A）</w:t>
                  </w:r>
                </w:p>
              </w:tc>
              <w:tc>
                <w:tcPr>
                  <w:tcW w:w="1437" w:type="dxa"/>
                  <w:gridSpan w:val="2"/>
                  <w:tcBorders>
                    <w:tl2br w:val="nil"/>
                    <w:tr2bl w:val="nil"/>
                  </w:tcBorders>
                  <w:vAlign w:val="center"/>
                </w:tcPr>
                <w:p w14:paraId="0AC58A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噪声预测值/dB（A）</w:t>
                  </w:r>
                </w:p>
              </w:tc>
              <w:tc>
                <w:tcPr>
                  <w:tcW w:w="1250" w:type="dxa"/>
                  <w:gridSpan w:val="2"/>
                  <w:tcBorders>
                    <w:tl2br w:val="nil"/>
                    <w:tr2bl w:val="nil"/>
                  </w:tcBorders>
                  <w:vAlign w:val="center"/>
                </w:tcPr>
                <w:p w14:paraId="221912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较现状增量/dB（A）</w:t>
                  </w:r>
                </w:p>
              </w:tc>
              <w:tc>
                <w:tcPr>
                  <w:tcW w:w="978" w:type="dxa"/>
                  <w:gridSpan w:val="2"/>
                  <w:tcBorders>
                    <w:tl2br w:val="nil"/>
                    <w:tr2bl w:val="nil"/>
                  </w:tcBorders>
                  <w:vAlign w:val="center"/>
                </w:tcPr>
                <w:p w14:paraId="42644A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超标和达标情况</w:t>
                  </w:r>
                </w:p>
              </w:tc>
            </w:tr>
            <w:tr w14:paraId="5C59A19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tcBorders>
                    <w:tl2br w:val="nil"/>
                    <w:tr2bl w:val="nil"/>
                  </w:tcBorders>
                  <w:vAlign w:val="center"/>
                </w:tcPr>
                <w:p w14:paraId="498F21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sz w:val="21"/>
                      <w:szCs w:val="21"/>
                      <w:highlight w:val="none"/>
                      <w:vertAlign w:val="baseline"/>
                      <w:lang w:val="en-US" w:eastAsia="zh-CN"/>
                    </w:rPr>
                  </w:pPr>
                </w:p>
              </w:tc>
              <w:tc>
                <w:tcPr>
                  <w:tcW w:w="951" w:type="dxa"/>
                  <w:vMerge w:val="continue"/>
                  <w:tcBorders>
                    <w:tl2br w:val="nil"/>
                    <w:tr2bl w:val="nil"/>
                  </w:tcBorders>
                  <w:vAlign w:val="center"/>
                </w:tcPr>
                <w:p w14:paraId="296575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sz w:val="21"/>
                      <w:szCs w:val="21"/>
                      <w:highlight w:val="none"/>
                      <w:vertAlign w:val="baseline"/>
                      <w:lang w:val="en-US" w:eastAsia="zh-CN"/>
                    </w:rPr>
                  </w:pPr>
                </w:p>
              </w:tc>
              <w:tc>
                <w:tcPr>
                  <w:tcW w:w="605" w:type="dxa"/>
                  <w:tcBorders>
                    <w:tl2br w:val="nil"/>
                    <w:tr2bl w:val="nil"/>
                  </w:tcBorders>
                  <w:vAlign w:val="center"/>
                </w:tcPr>
                <w:p w14:paraId="227319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昼间</w:t>
                  </w:r>
                </w:p>
              </w:tc>
              <w:tc>
                <w:tcPr>
                  <w:tcW w:w="515" w:type="dxa"/>
                  <w:tcBorders>
                    <w:tl2br w:val="nil"/>
                    <w:tr2bl w:val="nil"/>
                  </w:tcBorders>
                  <w:vAlign w:val="center"/>
                </w:tcPr>
                <w:p w14:paraId="430E98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夜间</w:t>
                  </w:r>
                </w:p>
              </w:tc>
              <w:tc>
                <w:tcPr>
                  <w:tcW w:w="584" w:type="dxa"/>
                  <w:tcBorders>
                    <w:tl2br w:val="nil"/>
                    <w:tr2bl w:val="nil"/>
                  </w:tcBorders>
                  <w:vAlign w:val="center"/>
                </w:tcPr>
                <w:p w14:paraId="751CD4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昼间</w:t>
                  </w:r>
                </w:p>
              </w:tc>
              <w:tc>
                <w:tcPr>
                  <w:tcW w:w="519" w:type="dxa"/>
                  <w:tcBorders>
                    <w:tl2br w:val="nil"/>
                    <w:tr2bl w:val="nil"/>
                  </w:tcBorders>
                  <w:vAlign w:val="center"/>
                </w:tcPr>
                <w:p w14:paraId="124FD5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夜间</w:t>
                  </w:r>
                </w:p>
              </w:tc>
              <w:tc>
                <w:tcPr>
                  <w:tcW w:w="727" w:type="dxa"/>
                  <w:tcBorders>
                    <w:tl2br w:val="nil"/>
                    <w:tr2bl w:val="nil"/>
                  </w:tcBorders>
                  <w:vAlign w:val="center"/>
                </w:tcPr>
                <w:p w14:paraId="412D5B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昼间</w:t>
                  </w:r>
                </w:p>
              </w:tc>
              <w:tc>
                <w:tcPr>
                  <w:tcW w:w="684" w:type="dxa"/>
                  <w:tcBorders>
                    <w:tl2br w:val="nil"/>
                    <w:tr2bl w:val="nil"/>
                  </w:tcBorders>
                  <w:vAlign w:val="center"/>
                </w:tcPr>
                <w:p w14:paraId="2ABD29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夜间</w:t>
                  </w:r>
                </w:p>
              </w:tc>
              <w:tc>
                <w:tcPr>
                  <w:tcW w:w="709" w:type="dxa"/>
                  <w:tcBorders>
                    <w:tl2br w:val="nil"/>
                    <w:tr2bl w:val="nil"/>
                  </w:tcBorders>
                  <w:vAlign w:val="center"/>
                </w:tcPr>
                <w:p w14:paraId="5DE457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昼间</w:t>
                  </w:r>
                </w:p>
              </w:tc>
              <w:tc>
                <w:tcPr>
                  <w:tcW w:w="728" w:type="dxa"/>
                  <w:tcBorders>
                    <w:tl2br w:val="nil"/>
                    <w:tr2bl w:val="nil"/>
                  </w:tcBorders>
                  <w:vAlign w:val="center"/>
                </w:tcPr>
                <w:p w14:paraId="492435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夜间</w:t>
                  </w:r>
                </w:p>
              </w:tc>
              <w:tc>
                <w:tcPr>
                  <w:tcW w:w="657" w:type="dxa"/>
                  <w:tcBorders>
                    <w:tl2br w:val="nil"/>
                    <w:tr2bl w:val="nil"/>
                  </w:tcBorders>
                  <w:vAlign w:val="center"/>
                </w:tcPr>
                <w:p w14:paraId="7AE319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昼间</w:t>
                  </w:r>
                </w:p>
              </w:tc>
              <w:tc>
                <w:tcPr>
                  <w:tcW w:w="593" w:type="dxa"/>
                  <w:tcBorders>
                    <w:tl2br w:val="nil"/>
                    <w:tr2bl w:val="nil"/>
                  </w:tcBorders>
                  <w:vAlign w:val="center"/>
                </w:tcPr>
                <w:p w14:paraId="173164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夜间</w:t>
                  </w:r>
                </w:p>
              </w:tc>
              <w:tc>
                <w:tcPr>
                  <w:tcW w:w="523" w:type="dxa"/>
                  <w:tcBorders>
                    <w:tl2br w:val="nil"/>
                    <w:tr2bl w:val="nil"/>
                  </w:tcBorders>
                  <w:vAlign w:val="center"/>
                </w:tcPr>
                <w:p w14:paraId="78ED2F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昼间</w:t>
                  </w:r>
                </w:p>
              </w:tc>
              <w:tc>
                <w:tcPr>
                  <w:tcW w:w="455" w:type="dxa"/>
                  <w:tcBorders>
                    <w:tl2br w:val="nil"/>
                    <w:tr2bl w:val="nil"/>
                  </w:tcBorders>
                  <w:vAlign w:val="center"/>
                </w:tcPr>
                <w:p w14:paraId="3446B9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夜间</w:t>
                  </w:r>
                </w:p>
              </w:tc>
            </w:tr>
            <w:tr w14:paraId="0CAF080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tcBorders>
                    <w:tl2br w:val="nil"/>
                    <w:tr2bl w:val="nil"/>
                  </w:tcBorders>
                  <w:vAlign w:val="center"/>
                </w:tcPr>
                <w:p w14:paraId="215FA8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1</w:t>
                  </w:r>
                </w:p>
              </w:tc>
              <w:tc>
                <w:tcPr>
                  <w:tcW w:w="951" w:type="dxa"/>
                  <w:tcBorders>
                    <w:tl2br w:val="nil"/>
                    <w:tr2bl w:val="nil"/>
                  </w:tcBorders>
                  <w:vAlign w:val="center"/>
                </w:tcPr>
                <w:p w14:paraId="277C99A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kern w:val="2"/>
                      <w:sz w:val="21"/>
                      <w:szCs w:val="21"/>
                      <w:highlight w:val="none"/>
                      <w:lang w:val="en-US" w:eastAsia="zh-CN" w:bidi="ar-SA"/>
                    </w:rPr>
                    <w:t>1#</w:t>
                  </w:r>
                  <w:r>
                    <w:rPr>
                      <w:rFonts w:hint="eastAsia" w:cs="Times New Roman"/>
                      <w:color w:val="auto"/>
                      <w:kern w:val="2"/>
                      <w:sz w:val="21"/>
                      <w:szCs w:val="21"/>
                      <w:highlight w:val="none"/>
                      <w:lang w:val="en-US" w:eastAsia="zh-CN" w:bidi="ar-SA"/>
                    </w:rPr>
                    <w:t>东侧居民区</w:t>
                  </w:r>
                </w:p>
              </w:tc>
              <w:tc>
                <w:tcPr>
                  <w:tcW w:w="605" w:type="dxa"/>
                  <w:tcBorders>
                    <w:tl2br w:val="nil"/>
                    <w:tr2bl w:val="nil"/>
                  </w:tcBorders>
                  <w:vAlign w:val="center"/>
                </w:tcPr>
                <w:p w14:paraId="1DBC14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54</w:t>
                  </w:r>
                </w:p>
              </w:tc>
              <w:tc>
                <w:tcPr>
                  <w:tcW w:w="515" w:type="dxa"/>
                  <w:tcBorders>
                    <w:tl2br w:val="nil"/>
                    <w:tr2bl w:val="nil"/>
                  </w:tcBorders>
                  <w:vAlign w:val="center"/>
                </w:tcPr>
                <w:p w14:paraId="716C0C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44</w:t>
                  </w:r>
                </w:p>
              </w:tc>
              <w:tc>
                <w:tcPr>
                  <w:tcW w:w="584" w:type="dxa"/>
                  <w:tcBorders>
                    <w:tl2br w:val="nil"/>
                    <w:tr2bl w:val="nil"/>
                  </w:tcBorders>
                  <w:vAlign w:val="center"/>
                </w:tcPr>
                <w:p w14:paraId="4AC2B7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60</w:t>
                  </w:r>
                </w:p>
              </w:tc>
              <w:tc>
                <w:tcPr>
                  <w:tcW w:w="519" w:type="dxa"/>
                  <w:tcBorders>
                    <w:tl2br w:val="nil"/>
                    <w:tr2bl w:val="nil"/>
                  </w:tcBorders>
                  <w:vAlign w:val="center"/>
                </w:tcPr>
                <w:p w14:paraId="6D4AA2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50</w:t>
                  </w:r>
                </w:p>
              </w:tc>
              <w:tc>
                <w:tcPr>
                  <w:tcW w:w="727" w:type="dxa"/>
                  <w:tcBorders>
                    <w:tl2br w:val="nil"/>
                    <w:tr2bl w:val="nil"/>
                  </w:tcBorders>
                  <w:vAlign w:val="center"/>
                </w:tcPr>
                <w:p w14:paraId="6EF0D7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26.1</w:t>
                  </w:r>
                </w:p>
              </w:tc>
              <w:tc>
                <w:tcPr>
                  <w:tcW w:w="684" w:type="dxa"/>
                  <w:tcBorders>
                    <w:tl2br w:val="nil"/>
                    <w:tr2bl w:val="nil"/>
                  </w:tcBorders>
                  <w:vAlign w:val="center"/>
                </w:tcPr>
                <w:p w14:paraId="6629881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26.1</w:t>
                  </w:r>
                </w:p>
              </w:tc>
              <w:tc>
                <w:tcPr>
                  <w:tcW w:w="709" w:type="dxa"/>
                  <w:tcBorders>
                    <w:tl2br w:val="nil"/>
                    <w:tr2bl w:val="nil"/>
                  </w:tcBorders>
                  <w:vAlign w:val="center"/>
                </w:tcPr>
                <w:p w14:paraId="6AA4FC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54.0</w:t>
                  </w:r>
                </w:p>
              </w:tc>
              <w:tc>
                <w:tcPr>
                  <w:tcW w:w="728" w:type="dxa"/>
                  <w:tcBorders>
                    <w:tl2br w:val="nil"/>
                    <w:tr2bl w:val="nil"/>
                  </w:tcBorders>
                  <w:vAlign w:val="center"/>
                </w:tcPr>
                <w:p w14:paraId="529D68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44.1</w:t>
                  </w:r>
                </w:p>
              </w:tc>
              <w:tc>
                <w:tcPr>
                  <w:tcW w:w="657" w:type="dxa"/>
                  <w:tcBorders>
                    <w:tl2br w:val="nil"/>
                    <w:tr2bl w:val="nil"/>
                  </w:tcBorders>
                  <w:vAlign w:val="center"/>
                </w:tcPr>
                <w:p w14:paraId="2DCFC8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0</w:t>
                  </w:r>
                </w:p>
              </w:tc>
              <w:tc>
                <w:tcPr>
                  <w:tcW w:w="593" w:type="dxa"/>
                  <w:tcBorders>
                    <w:tl2br w:val="nil"/>
                    <w:tr2bl w:val="nil"/>
                  </w:tcBorders>
                  <w:vAlign w:val="center"/>
                </w:tcPr>
                <w:p w14:paraId="477171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0.1</w:t>
                  </w:r>
                </w:p>
              </w:tc>
              <w:tc>
                <w:tcPr>
                  <w:tcW w:w="523" w:type="dxa"/>
                  <w:tcBorders>
                    <w:tl2br w:val="nil"/>
                    <w:tr2bl w:val="nil"/>
                  </w:tcBorders>
                  <w:vAlign w:val="center"/>
                </w:tcPr>
                <w:p w14:paraId="6CA139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达标</w:t>
                  </w:r>
                </w:p>
              </w:tc>
              <w:tc>
                <w:tcPr>
                  <w:tcW w:w="455" w:type="dxa"/>
                  <w:tcBorders>
                    <w:tl2br w:val="nil"/>
                    <w:tr2bl w:val="nil"/>
                  </w:tcBorders>
                  <w:vAlign w:val="center"/>
                </w:tcPr>
                <w:p w14:paraId="4CC2F9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达标</w:t>
                  </w:r>
                </w:p>
              </w:tc>
            </w:tr>
          </w:tbl>
          <w:p w14:paraId="08867BDB">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color w:val="auto"/>
                <w:sz w:val="24"/>
                <w:szCs w:val="24"/>
                <w:highlight w:val="none"/>
              </w:rPr>
              <w:t>根据上表预测可知，项目厂界四周昼</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夜</w:t>
            </w:r>
            <w:r>
              <w:rPr>
                <w:rFonts w:hint="default" w:ascii="Times New Roman" w:hAnsi="Times New Roman" w:cs="Times New Roman"/>
                <w:color w:val="auto"/>
                <w:sz w:val="24"/>
                <w:szCs w:val="24"/>
                <w:highlight w:val="none"/>
              </w:rPr>
              <w:t>间噪声贡献值符合《工业企业厂界环境噪声排放标准》（GB12348-2008）表1中2类标准限值；厂界外声环境保护目标处昼</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夜</w:t>
            </w:r>
            <w:r>
              <w:rPr>
                <w:rFonts w:hint="default" w:ascii="Times New Roman" w:hAnsi="Times New Roman" w:cs="Times New Roman"/>
                <w:color w:val="auto"/>
                <w:sz w:val="24"/>
                <w:szCs w:val="24"/>
                <w:highlight w:val="none"/>
              </w:rPr>
              <w:t>间噪声预测值均符合《声环境质量标准》（GB3096-2008）表1中2类标准，因此项目对周边声环境的影响可被接受。</w:t>
            </w:r>
          </w:p>
          <w:p w14:paraId="5E4114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（四）</w:t>
            </w:r>
            <w:r>
              <w:rPr>
                <w:rFonts w:hint="default" w:ascii="Times New Roman" w:hAnsi="Times New Roman" w:eastAsia="宋体" w:cs="Times New Roman"/>
                <w:b/>
                <w:bCs/>
                <w:color w:val="auto"/>
                <w:sz w:val="24"/>
                <w:szCs w:val="24"/>
                <w:highlight w:val="none"/>
                <w:lang w:val="en-US" w:eastAsia="zh-CN"/>
              </w:rPr>
              <w:t>噪声监测要求</w:t>
            </w:r>
          </w:p>
          <w:p w14:paraId="6013BA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bidi="ar"/>
              </w:rPr>
              <w:t>根据《排污单位自行监测技术</w:t>
            </w:r>
            <w:r>
              <w:rPr>
                <w:rFonts w:hint="default" w:ascii="Times New Roman" w:hAnsi="Times New Roman" w:eastAsia="宋体" w:cs="Times New Roman"/>
                <w:color w:val="auto"/>
                <w:sz w:val="24"/>
                <w:highlight w:val="none"/>
                <w:lang w:val="en-US" w:eastAsia="zh-CN" w:bidi="ar"/>
              </w:rPr>
              <w:t>指南 总则》（HJ819-2017）</w:t>
            </w:r>
            <w:r>
              <w:rPr>
                <w:rFonts w:hint="eastAsia" w:ascii="Times New Roman" w:hAnsi="Times New Roman" w:eastAsia="宋体" w:cs="Times New Roman"/>
                <w:color w:val="auto"/>
                <w:sz w:val="24"/>
                <w:highlight w:val="none"/>
                <w:lang w:val="en-US" w:eastAsia="zh-CN" w:bidi="ar"/>
              </w:rPr>
              <w:t>、《排污许可证申请与核发技术规范 工业噪声》（HJ1301-2023）</w:t>
            </w:r>
            <w:r>
              <w:rPr>
                <w:rFonts w:hint="eastAsia"/>
                <w:color w:val="auto"/>
                <w:sz w:val="24"/>
                <w:lang w:eastAsia="zh-CN"/>
              </w:rPr>
              <w:t>、</w:t>
            </w:r>
            <w:r>
              <w:rPr>
                <w:color w:val="auto"/>
                <w:sz w:val="24"/>
              </w:rPr>
              <w:t xml:space="preserve">《排污单位自行监测技术指南 </w:t>
            </w:r>
            <w:r>
              <w:rPr>
                <w:rFonts w:hint="eastAsia"/>
                <w:color w:val="auto"/>
                <w:sz w:val="24"/>
                <w:lang w:val="en-US" w:eastAsia="zh-CN"/>
              </w:rPr>
              <w:t>火力发电及锅炉</w:t>
            </w:r>
            <w:r>
              <w:rPr>
                <w:color w:val="auto"/>
                <w:sz w:val="24"/>
              </w:rPr>
              <w:t>》（H</w:t>
            </w:r>
            <w:r>
              <w:rPr>
                <w:rFonts w:hint="eastAsia"/>
                <w:color w:val="auto"/>
                <w:sz w:val="24"/>
              </w:rPr>
              <w:t>8</w:t>
            </w:r>
            <w:r>
              <w:rPr>
                <w:rFonts w:hint="eastAsia"/>
                <w:color w:val="auto"/>
                <w:sz w:val="24"/>
                <w:lang w:val="en-US" w:eastAsia="zh-CN"/>
              </w:rPr>
              <w:t>20</w:t>
            </w:r>
            <w:r>
              <w:rPr>
                <w:color w:val="auto"/>
                <w:sz w:val="24"/>
              </w:rPr>
              <w:t>-20</w:t>
            </w:r>
            <w:r>
              <w:rPr>
                <w:rFonts w:hint="eastAsia"/>
                <w:color w:val="auto"/>
                <w:sz w:val="24"/>
              </w:rPr>
              <w:t>17</w:t>
            </w:r>
            <w:r>
              <w:rPr>
                <w:color w:val="auto"/>
                <w:sz w:val="24"/>
              </w:rPr>
              <w:t>）</w:t>
            </w:r>
            <w:r>
              <w:rPr>
                <w:rFonts w:hint="default" w:ascii="Times New Roman" w:hAnsi="Times New Roman" w:cs="Times New Roman"/>
                <w:color w:val="auto"/>
                <w:sz w:val="24"/>
                <w:highlight w:val="none"/>
                <w:lang w:val="en-US" w:eastAsia="zh-CN" w:bidi="ar"/>
              </w:rPr>
              <w:t>中厂界环境噪声自行监测的要求，具体监测计划</w:t>
            </w:r>
            <w:r>
              <w:rPr>
                <w:rFonts w:hint="default" w:ascii="Times New Roman" w:hAnsi="Times New Roman" w:cs="Times New Roman"/>
                <w:b w:val="0"/>
                <w:bCs w:val="0"/>
                <w:color w:val="auto"/>
                <w:sz w:val="24"/>
                <w:highlight w:val="none"/>
              </w:rPr>
              <w:t>详见</w:t>
            </w:r>
            <w:r>
              <w:rPr>
                <w:rFonts w:hint="eastAsia" w:cs="Times New Roman"/>
                <w:b w:val="0"/>
                <w:bCs w:val="0"/>
                <w:color w:val="auto"/>
                <w:sz w:val="24"/>
                <w:highlight w:val="none"/>
                <w:lang w:val="en-US" w:eastAsia="zh-CN"/>
              </w:rPr>
              <w:t>下表</w:t>
            </w:r>
            <w:r>
              <w:rPr>
                <w:rFonts w:hint="default" w:ascii="Times New Roman" w:hAnsi="Times New Roman" w:cs="Times New Roman"/>
                <w:b w:val="0"/>
                <w:bCs w:val="0"/>
                <w:color w:val="auto"/>
                <w:sz w:val="24"/>
                <w:highlight w:val="none"/>
              </w:rPr>
              <w:t>。</w:t>
            </w:r>
          </w:p>
          <w:p w14:paraId="46DAB86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表</w:t>
            </w:r>
            <w:r>
              <w:rPr>
                <w:rFonts w:hint="default" w:ascii="Times New Roman" w:hAnsi="Times New Roman" w:eastAsia="宋体" w:cs="Times New Roman"/>
                <w:b/>
                <w:bCs/>
                <w:color w:val="auto"/>
                <w:sz w:val="21"/>
                <w:szCs w:val="21"/>
                <w:highlight w:val="none"/>
                <w:lang w:val="en-US" w:eastAsia="zh-CN"/>
              </w:rPr>
              <w:t>4-</w:t>
            </w:r>
            <w:r>
              <w:rPr>
                <w:rFonts w:hint="eastAsia" w:cs="Times New Roman"/>
                <w:b/>
                <w:bCs/>
                <w:color w:val="auto"/>
                <w:sz w:val="21"/>
                <w:szCs w:val="21"/>
                <w:highlight w:val="none"/>
                <w:lang w:val="en-US" w:eastAsia="zh-CN"/>
              </w:rPr>
              <w:t>18</w:t>
            </w:r>
            <w:r>
              <w:rPr>
                <w:rFonts w:hint="default" w:ascii="Times New Roman" w:hAnsi="Times New Roman" w:eastAsia="宋体" w:cs="Times New Roman"/>
                <w:b/>
                <w:bCs/>
                <w:color w:val="auto"/>
                <w:sz w:val="21"/>
                <w:szCs w:val="21"/>
                <w:highlight w:val="none"/>
                <w:lang w:val="en-US" w:eastAsia="zh-CN"/>
              </w:rPr>
              <w:t xml:space="preserve">  </w:t>
            </w:r>
            <w:r>
              <w:rPr>
                <w:rFonts w:hint="eastAsia" w:cs="Times New Roman"/>
                <w:b/>
                <w:bCs/>
                <w:color w:val="auto"/>
                <w:sz w:val="21"/>
                <w:szCs w:val="21"/>
                <w:highlight w:val="none"/>
                <w:lang w:val="en-US" w:eastAsia="zh-CN"/>
              </w:rPr>
              <w:t>运营</w:t>
            </w:r>
            <w:r>
              <w:rPr>
                <w:rFonts w:hint="default" w:ascii="Times New Roman" w:hAnsi="Times New Roman" w:eastAsia="宋体" w:cs="Times New Roman"/>
                <w:b/>
                <w:bCs/>
                <w:color w:val="auto"/>
                <w:sz w:val="21"/>
                <w:szCs w:val="21"/>
                <w:highlight w:val="none"/>
                <w:lang w:val="en-US" w:eastAsia="zh-CN"/>
              </w:rPr>
              <w:t>期噪声监测计划一览表</w:t>
            </w:r>
          </w:p>
          <w:tbl>
            <w:tblPr>
              <w:tblStyle w:val="20"/>
              <w:tblW w:w="5000" w:type="pct"/>
              <w:tblInd w:w="0" w:type="dxa"/>
              <w:tblBorders>
                <w:top w:val="single" w:color="auto" w:sz="8" w:space="0"/>
                <w:left w:val="none" w:color="auto" w:sz="0" w:space="0"/>
                <w:bottom w:val="single" w:color="auto" w:sz="8"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553"/>
              <w:gridCol w:w="2169"/>
              <w:gridCol w:w="2882"/>
              <w:gridCol w:w="2097"/>
            </w:tblGrid>
            <w:tr w14:paraId="3DCC4410">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447" w:type="dxa"/>
                  <w:tcBorders>
                    <w:tl2br w:val="nil"/>
                    <w:tr2bl w:val="nil"/>
                  </w:tcBorders>
                  <w:noWrap w:val="0"/>
                  <w:vAlign w:val="center"/>
                </w:tcPr>
                <w:p w14:paraId="0FC78C60">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类别</w:t>
                  </w:r>
                </w:p>
              </w:tc>
              <w:tc>
                <w:tcPr>
                  <w:tcW w:w="2020" w:type="dxa"/>
                  <w:tcBorders>
                    <w:tl2br w:val="nil"/>
                    <w:tr2bl w:val="nil"/>
                  </w:tcBorders>
                  <w:noWrap w:val="0"/>
                  <w:vAlign w:val="center"/>
                </w:tcPr>
                <w:p w14:paraId="32016F6D">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监测点</w:t>
                  </w:r>
                </w:p>
              </w:tc>
              <w:tc>
                <w:tcPr>
                  <w:tcW w:w="2685" w:type="dxa"/>
                  <w:tcBorders>
                    <w:tl2br w:val="nil"/>
                    <w:tr2bl w:val="nil"/>
                  </w:tcBorders>
                  <w:noWrap w:val="0"/>
                  <w:vAlign w:val="center"/>
                </w:tcPr>
                <w:p w14:paraId="53EAB60B">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监测项目</w:t>
                  </w:r>
                </w:p>
              </w:tc>
              <w:tc>
                <w:tcPr>
                  <w:tcW w:w="1953" w:type="dxa"/>
                  <w:tcBorders>
                    <w:tl2br w:val="nil"/>
                    <w:tr2bl w:val="nil"/>
                  </w:tcBorders>
                  <w:noWrap w:val="0"/>
                  <w:vAlign w:val="center"/>
                </w:tcPr>
                <w:p w14:paraId="10D74DFF">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监测频次</w:t>
                  </w:r>
                </w:p>
              </w:tc>
            </w:tr>
            <w:tr w14:paraId="5F3DFD5D">
              <w:tblPrEx>
                <w:tblBorders>
                  <w:top w:val="single" w:color="auto" w:sz="8" w:space="0"/>
                  <w:left w:val="none" w:color="auto" w:sz="0" w:space="0"/>
                  <w:bottom w:val="single" w:color="auto" w:sz="8"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447" w:type="dxa"/>
                  <w:tcBorders>
                    <w:tl2br w:val="nil"/>
                    <w:tr2bl w:val="nil"/>
                  </w:tcBorders>
                  <w:noWrap w:val="0"/>
                  <w:vAlign w:val="center"/>
                </w:tcPr>
                <w:p w14:paraId="1B9D7CAF">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厂界</w:t>
                  </w:r>
                  <w:r>
                    <w:rPr>
                      <w:rFonts w:hint="default" w:ascii="Times New Roman" w:hAnsi="Times New Roman" w:cs="Times New Roman"/>
                      <w:color w:val="auto"/>
                      <w:sz w:val="21"/>
                      <w:szCs w:val="21"/>
                      <w:highlight w:val="none"/>
                    </w:rPr>
                    <w:t>噪声</w:t>
                  </w:r>
                </w:p>
              </w:tc>
              <w:tc>
                <w:tcPr>
                  <w:tcW w:w="2020" w:type="dxa"/>
                  <w:tcBorders>
                    <w:tl2br w:val="nil"/>
                    <w:tr2bl w:val="nil"/>
                  </w:tcBorders>
                  <w:noWrap w:val="0"/>
                  <w:vAlign w:val="center"/>
                </w:tcPr>
                <w:p w14:paraId="71B12DE7">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四周厂界</w:t>
                  </w:r>
                </w:p>
              </w:tc>
              <w:tc>
                <w:tcPr>
                  <w:tcW w:w="2685" w:type="dxa"/>
                  <w:tcBorders>
                    <w:tl2br w:val="nil"/>
                    <w:tr2bl w:val="nil"/>
                  </w:tcBorders>
                  <w:noWrap w:val="0"/>
                  <w:vAlign w:val="center"/>
                </w:tcPr>
                <w:p w14:paraId="6A2675A4">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昼</w:t>
                  </w:r>
                  <w:r>
                    <w:rPr>
                      <w:rFonts w:hint="eastAsia" w:cs="Times New Roman"/>
                      <w:color w:val="auto"/>
                      <w:sz w:val="21"/>
                      <w:szCs w:val="21"/>
                      <w:highlight w:val="none"/>
                      <w:lang w:val="en-US" w:eastAsia="zh-CN"/>
                    </w:rPr>
                    <w:t>、夜</w:t>
                  </w:r>
                  <w:r>
                    <w:rPr>
                      <w:rFonts w:hint="default" w:ascii="Times New Roman" w:hAnsi="Times New Roman" w:cs="Times New Roman"/>
                      <w:color w:val="auto"/>
                      <w:sz w:val="21"/>
                      <w:szCs w:val="21"/>
                      <w:highlight w:val="none"/>
                      <w:lang w:val="en-US" w:eastAsia="zh-CN"/>
                    </w:rPr>
                    <w:t>间噪声，</w:t>
                  </w:r>
                  <w:r>
                    <w:rPr>
                      <w:rFonts w:hint="default" w:ascii="Times New Roman" w:hAnsi="Times New Roman" w:cs="Times New Roman"/>
                      <w:color w:val="auto"/>
                      <w:sz w:val="21"/>
                      <w:szCs w:val="21"/>
                      <w:highlight w:val="none"/>
                    </w:rPr>
                    <w:t>等效A声级</w:t>
                  </w:r>
                </w:p>
              </w:tc>
              <w:tc>
                <w:tcPr>
                  <w:tcW w:w="1953" w:type="dxa"/>
                  <w:tcBorders>
                    <w:tl2br w:val="nil"/>
                    <w:tr2bl w:val="nil"/>
                  </w:tcBorders>
                  <w:noWrap w:val="0"/>
                  <w:vAlign w:val="center"/>
                </w:tcPr>
                <w:p w14:paraId="6C5E9A86">
                  <w:pPr>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1次/季度</w:t>
                  </w:r>
                </w:p>
              </w:tc>
            </w:tr>
          </w:tbl>
          <w:p w14:paraId="0CF90904">
            <w:pPr>
              <w:keepNext w:val="0"/>
              <w:keepLines w:val="0"/>
              <w:pageBreakBefore w:val="0"/>
              <w:widowControl/>
              <w:kinsoku/>
              <w:wordWrap/>
              <w:overflowPunct/>
              <w:topLinePunct w:val="0"/>
              <w:autoSpaceDE/>
              <w:autoSpaceDN/>
              <w:bidi w:val="0"/>
              <w:adjustRightInd/>
              <w:snapToGrid/>
              <w:spacing w:before="157" w:beforeLines="50" w:line="360" w:lineRule="auto"/>
              <w:ind w:firstLine="482" w:firstLineChars="200"/>
              <w:jc w:val="left"/>
              <w:textAlignment w:val="auto"/>
              <w:rPr>
                <w:rFonts w:hint="default" w:ascii="宋体" w:hAnsi="宋体" w:eastAsia="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四、固体废物</w:t>
            </w:r>
          </w:p>
          <w:p w14:paraId="29AA5EF6">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eastAsia="zh-CN"/>
              </w:rPr>
              <w:t>（</w:t>
            </w:r>
            <w:r>
              <w:rPr>
                <w:rFonts w:hint="eastAsia" w:ascii="宋体" w:hAnsi="宋体" w:cs="宋体"/>
                <w:b/>
                <w:bCs/>
                <w:color w:val="auto"/>
                <w:kern w:val="0"/>
                <w:sz w:val="24"/>
                <w:szCs w:val="24"/>
                <w:highlight w:val="none"/>
                <w:lang w:val="en-US" w:eastAsia="zh-CN"/>
              </w:rPr>
              <w:t>一</w:t>
            </w:r>
            <w:r>
              <w:rPr>
                <w:rFonts w:hint="eastAsia" w:ascii="宋体" w:hAnsi="宋体" w:cs="宋体"/>
                <w:b/>
                <w:bCs/>
                <w:color w:val="auto"/>
                <w:kern w:val="0"/>
                <w:sz w:val="24"/>
                <w:szCs w:val="24"/>
                <w:highlight w:val="none"/>
                <w:lang w:eastAsia="zh-CN"/>
              </w:rPr>
              <w:t>）</w:t>
            </w:r>
            <w:r>
              <w:rPr>
                <w:rFonts w:hint="eastAsia" w:ascii="宋体" w:hAnsi="宋体" w:cs="宋体"/>
                <w:b/>
                <w:bCs/>
                <w:color w:val="auto"/>
                <w:kern w:val="0"/>
                <w:sz w:val="24"/>
                <w:szCs w:val="24"/>
                <w:highlight w:val="none"/>
                <w:lang w:val="en-US" w:eastAsia="zh-CN"/>
              </w:rPr>
              <w:t>固体废物产生情况</w:t>
            </w:r>
          </w:p>
          <w:p w14:paraId="751613C0">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 w:val="0"/>
                <w:bCs w:val="0"/>
                <w:color w:val="auto"/>
                <w:kern w:val="0"/>
                <w:sz w:val="24"/>
                <w:szCs w:val="24"/>
                <w:highlight w:val="none"/>
                <w:lang w:val="en-US" w:eastAsia="zh-CN"/>
              </w:rPr>
            </w:pPr>
            <w:r>
              <w:rPr>
                <w:rFonts w:hint="eastAsia" w:ascii="宋体" w:hAnsi="宋体" w:cs="宋体"/>
                <w:b w:val="0"/>
                <w:bCs w:val="0"/>
                <w:color w:val="auto"/>
                <w:kern w:val="0"/>
                <w:sz w:val="24"/>
                <w:szCs w:val="24"/>
                <w:highlight w:val="none"/>
                <w:lang w:val="en-US" w:eastAsia="zh-CN"/>
              </w:rPr>
              <w:t>项目运营期产生一般固体废物为生活垃圾、锅炉灰渣</w:t>
            </w:r>
            <w:r>
              <w:rPr>
                <w:rFonts w:hint="default" w:ascii="Times New Roman" w:hAnsi="Times New Roman" w:cs="Times New Roman"/>
                <w:b w:val="0"/>
                <w:bCs w:val="0"/>
                <w:color w:val="auto"/>
                <w:kern w:val="0"/>
                <w:sz w:val="24"/>
                <w:szCs w:val="24"/>
                <w:highlight w:val="none"/>
                <w:lang w:val="en-US" w:eastAsia="zh-CN"/>
              </w:rPr>
              <w:t>、废弃除尘布袋、废包装材料</w:t>
            </w:r>
            <w:r>
              <w:rPr>
                <w:rFonts w:hint="eastAsia" w:ascii="Times New Roman" w:hAnsi="Times New Roman" w:cs="Times New Roman"/>
                <w:b w:val="0"/>
                <w:bCs w:val="0"/>
                <w:color w:val="auto"/>
                <w:kern w:val="0"/>
                <w:sz w:val="24"/>
                <w:szCs w:val="24"/>
                <w:highlight w:val="none"/>
                <w:lang w:val="en-US" w:eastAsia="zh-CN"/>
              </w:rPr>
              <w:t>、</w:t>
            </w:r>
            <w:r>
              <w:rPr>
                <w:rFonts w:hint="eastAsia" w:cs="Times New Roman"/>
                <w:b w:val="0"/>
                <w:bCs w:val="0"/>
                <w:color w:val="auto"/>
                <w:kern w:val="0"/>
                <w:sz w:val="24"/>
                <w:szCs w:val="24"/>
                <w:highlight w:val="none"/>
                <w:lang w:val="en-US" w:eastAsia="zh-CN"/>
              </w:rPr>
              <w:t>废弃离子交换树脂</w:t>
            </w:r>
            <w:r>
              <w:rPr>
                <w:rFonts w:hint="eastAsia" w:ascii="Times New Roman" w:hAnsi="Times New Roman" w:cs="Times New Roman"/>
                <w:b w:val="0"/>
                <w:bCs w:val="0"/>
                <w:color w:val="auto"/>
                <w:kern w:val="0"/>
                <w:sz w:val="24"/>
                <w:szCs w:val="24"/>
                <w:highlight w:val="none"/>
                <w:lang w:val="en-US" w:eastAsia="zh-CN"/>
              </w:rPr>
              <w:t>，</w:t>
            </w:r>
            <w:r>
              <w:rPr>
                <w:rFonts w:hint="eastAsia" w:cs="Times New Roman"/>
                <w:color w:val="auto"/>
                <w:sz w:val="24"/>
                <w:szCs w:val="24"/>
                <w:highlight w:val="none"/>
                <w:lang w:val="en-US" w:eastAsia="zh-CN"/>
              </w:rPr>
              <w:t>一般固体废物根据</w:t>
            </w:r>
            <w:r>
              <w:rPr>
                <w:rFonts w:hint="eastAsia" w:cs="Times New Roman"/>
                <w:color w:val="auto"/>
                <w:sz w:val="24"/>
                <w:szCs w:val="24"/>
                <w:highlight w:val="none"/>
                <w:lang w:val="en-US" w:eastAsia="zh-CN" w:bidi="ar"/>
              </w:rPr>
              <w:t>《固体废物分类与代码目录》进行分类。</w:t>
            </w:r>
          </w:p>
          <w:p w14:paraId="5D3C242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b w:val="0"/>
                <w:bCs w:val="0"/>
                <w:color w:val="auto"/>
                <w:kern w:val="0"/>
                <w:sz w:val="24"/>
                <w:szCs w:val="24"/>
                <w:highlight w:val="none"/>
                <w:lang w:val="en-US" w:eastAsia="zh-CN"/>
              </w:rPr>
            </w:pPr>
            <w:r>
              <w:rPr>
                <w:rFonts w:hint="eastAsia" w:ascii="Times New Roman" w:hAnsi="Times New Roman" w:eastAsia="宋体" w:cs="Times New Roman"/>
                <w:b w:val="0"/>
                <w:bCs w:val="0"/>
                <w:color w:val="auto"/>
                <w:kern w:val="0"/>
                <w:sz w:val="24"/>
                <w:szCs w:val="24"/>
                <w:highlight w:val="none"/>
                <w:lang w:val="en-US" w:eastAsia="zh-CN"/>
              </w:rPr>
              <w:t>1.一般固体废物</w:t>
            </w:r>
          </w:p>
          <w:p w14:paraId="39C01C2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b w:val="0"/>
                <w:bCs w:val="0"/>
                <w:color w:val="auto"/>
                <w:kern w:val="0"/>
                <w:sz w:val="24"/>
                <w:szCs w:val="24"/>
                <w:highlight w:val="none"/>
                <w:lang w:val="en-US" w:eastAsia="zh-CN"/>
              </w:rPr>
            </w:pPr>
            <w:r>
              <w:rPr>
                <w:rFonts w:hint="eastAsia" w:ascii="Times New Roman" w:hAnsi="Times New Roman" w:eastAsia="宋体" w:cs="Times New Roman"/>
                <w:b w:val="0"/>
                <w:bCs w:val="0"/>
                <w:color w:val="auto"/>
                <w:kern w:val="0"/>
                <w:sz w:val="24"/>
                <w:szCs w:val="24"/>
                <w:highlight w:val="none"/>
                <w:lang w:val="en-US" w:eastAsia="zh-CN"/>
              </w:rPr>
              <w:t>（1）生活垃圾</w:t>
            </w:r>
          </w:p>
          <w:p w14:paraId="20D95E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highlight w:val="none"/>
                <w:lang w:val="en-US" w:eastAsia="zh-CN" w:bidi="ar"/>
              </w:rPr>
            </w:pPr>
            <w:r>
              <w:rPr>
                <w:rFonts w:hint="eastAsia" w:ascii="Times New Roman" w:hAnsi="Times New Roman" w:eastAsia="宋体" w:cs="Times New Roman"/>
                <w:b w:val="0"/>
                <w:bCs w:val="0"/>
                <w:color w:val="auto"/>
                <w:kern w:val="0"/>
                <w:sz w:val="24"/>
                <w:szCs w:val="24"/>
                <w:highlight w:val="none"/>
                <w:lang w:val="en-US" w:eastAsia="zh-CN"/>
              </w:rPr>
              <w:t>劳动定员</w:t>
            </w:r>
            <w:r>
              <w:rPr>
                <w:rFonts w:hint="eastAsia" w:cs="Times New Roman"/>
                <w:b w:val="0"/>
                <w:bCs w:val="0"/>
                <w:color w:val="auto"/>
                <w:kern w:val="0"/>
                <w:sz w:val="24"/>
                <w:szCs w:val="24"/>
                <w:highlight w:val="none"/>
                <w:lang w:val="en-US" w:eastAsia="zh-CN"/>
              </w:rPr>
              <w:t>2</w:t>
            </w:r>
            <w:r>
              <w:rPr>
                <w:rFonts w:hint="eastAsia" w:ascii="Times New Roman" w:hAnsi="Times New Roman" w:eastAsia="宋体" w:cs="Times New Roman"/>
                <w:b w:val="0"/>
                <w:bCs w:val="0"/>
                <w:color w:val="auto"/>
                <w:kern w:val="0"/>
                <w:sz w:val="24"/>
                <w:szCs w:val="24"/>
                <w:highlight w:val="none"/>
                <w:lang w:val="en-US" w:eastAsia="zh-CN"/>
              </w:rPr>
              <w:t>人，年工作</w:t>
            </w:r>
            <w:r>
              <w:rPr>
                <w:rFonts w:hint="eastAsia" w:cs="Times New Roman"/>
                <w:b w:val="0"/>
                <w:bCs w:val="0"/>
                <w:color w:val="auto"/>
                <w:kern w:val="0"/>
                <w:sz w:val="24"/>
                <w:szCs w:val="24"/>
                <w:highlight w:val="none"/>
                <w:lang w:val="en-US" w:eastAsia="zh-CN"/>
              </w:rPr>
              <w:t>213</w:t>
            </w:r>
            <w:r>
              <w:rPr>
                <w:rFonts w:hint="eastAsia" w:ascii="Times New Roman" w:hAnsi="Times New Roman" w:eastAsia="宋体" w:cs="Times New Roman"/>
                <w:b w:val="0"/>
                <w:bCs w:val="0"/>
                <w:color w:val="auto"/>
                <w:kern w:val="0"/>
                <w:sz w:val="24"/>
                <w:szCs w:val="24"/>
                <w:highlight w:val="none"/>
                <w:lang w:val="en-US" w:eastAsia="zh-CN"/>
              </w:rPr>
              <w:t>天，</w:t>
            </w:r>
            <w:r>
              <w:rPr>
                <w:rFonts w:hint="default" w:ascii="Times New Roman" w:hAnsi="Times New Roman" w:cs="Times New Roman"/>
                <w:color w:val="auto"/>
                <w:sz w:val="24"/>
                <w:highlight w:val="none"/>
                <w:lang w:val="en-US" w:eastAsia="zh-CN" w:bidi="ar"/>
              </w:rPr>
              <w:t>生活垃圾产生量约为每人0.</w:t>
            </w:r>
            <w:r>
              <w:rPr>
                <w:rFonts w:hint="eastAsia" w:cs="Times New Roman"/>
                <w:color w:val="auto"/>
                <w:sz w:val="24"/>
                <w:highlight w:val="none"/>
                <w:lang w:val="en-US" w:eastAsia="zh-CN" w:bidi="ar"/>
              </w:rPr>
              <w:t>3</w:t>
            </w:r>
            <w:r>
              <w:rPr>
                <w:rFonts w:hint="default" w:ascii="Times New Roman" w:hAnsi="Times New Roman" w:cs="Times New Roman"/>
                <w:color w:val="auto"/>
                <w:sz w:val="24"/>
                <w:highlight w:val="none"/>
                <w:lang w:val="en-US" w:eastAsia="zh-CN" w:bidi="ar"/>
              </w:rPr>
              <w:t>kg/d，</w:t>
            </w:r>
            <w:r>
              <w:rPr>
                <w:rFonts w:hint="eastAsia" w:ascii="Times New Roman" w:hAnsi="Times New Roman" w:cs="Times New Roman"/>
                <w:color w:val="auto"/>
                <w:sz w:val="24"/>
                <w:highlight w:val="none"/>
                <w:lang w:val="en-US" w:eastAsia="zh-CN" w:bidi="ar"/>
              </w:rPr>
              <w:t>生活垃圾产生量为</w:t>
            </w:r>
            <w:r>
              <w:rPr>
                <w:rFonts w:hint="eastAsia" w:cs="Times New Roman"/>
                <w:color w:val="auto"/>
                <w:sz w:val="24"/>
                <w:highlight w:val="none"/>
                <w:lang w:val="en-US" w:eastAsia="zh-CN" w:bidi="ar"/>
              </w:rPr>
              <w:t>0.6</w:t>
            </w:r>
            <w:r>
              <w:rPr>
                <w:rFonts w:hint="eastAsia" w:ascii="Times New Roman" w:hAnsi="Times New Roman" w:cs="Times New Roman"/>
                <w:color w:val="auto"/>
                <w:sz w:val="24"/>
                <w:highlight w:val="none"/>
                <w:lang w:val="en-US" w:eastAsia="zh-CN" w:bidi="ar"/>
              </w:rPr>
              <w:t>kg/d，0.</w:t>
            </w:r>
            <w:r>
              <w:rPr>
                <w:rFonts w:hint="eastAsia" w:cs="Times New Roman"/>
                <w:color w:val="auto"/>
                <w:sz w:val="24"/>
                <w:highlight w:val="none"/>
                <w:lang w:val="en-US" w:eastAsia="zh-CN" w:bidi="ar"/>
              </w:rPr>
              <w:t>128</w:t>
            </w:r>
            <w:r>
              <w:rPr>
                <w:rFonts w:hint="default" w:ascii="Times New Roman" w:hAnsi="Times New Roman" w:cs="Times New Roman"/>
                <w:color w:val="auto"/>
                <w:sz w:val="24"/>
                <w:highlight w:val="none"/>
                <w:lang w:val="en-US" w:eastAsia="zh-CN" w:bidi="ar"/>
              </w:rPr>
              <w:t>t/a，</w:t>
            </w:r>
            <w:r>
              <w:rPr>
                <w:rFonts w:hint="eastAsia" w:ascii="Times New Roman" w:hAnsi="Times New Roman" w:eastAsia="宋体" w:cs="Times New Roman"/>
                <w:color w:val="auto"/>
                <w:sz w:val="24"/>
                <w:highlight w:val="none"/>
                <w:lang w:val="en-US" w:eastAsia="zh-CN" w:bidi="ar"/>
              </w:rPr>
              <w:t>垃圾桶分类收集后，由环卫部门</w:t>
            </w:r>
            <w:r>
              <w:rPr>
                <w:rFonts w:hint="eastAsia" w:cs="Times New Roman"/>
                <w:color w:val="auto"/>
                <w:sz w:val="24"/>
                <w:highlight w:val="none"/>
                <w:lang w:val="en-US" w:eastAsia="zh-CN" w:bidi="ar"/>
              </w:rPr>
              <w:t>统一</w:t>
            </w:r>
            <w:r>
              <w:rPr>
                <w:rFonts w:hint="eastAsia" w:ascii="Times New Roman" w:hAnsi="Times New Roman" w:eastAsia="宋体" w:cs="Times New Roman"/>
                <w:color w:val="auto"/>
                <w:sz w:val="24"/>
                <w:highlight w:val="none"/>
                <w:lang w:val="en-US" w:eastAsia="zh-CN" w:bidi="ar"/>
              </w:rPr>
              <w:t>清运处理，</w:t>
            </w:r>
            <w:r>
              <w:rPr>
                <w:rFonts w:hint="eastAsia" w:cs="Times New Roman"/>
                <w:color w:val="auto"/>
                <w:sz w:val="24"/>
                <w:highlight w:val="none"/>
                <w:lang w:val="en-US" w:eastAsia="zh-CN" w:bidi="ar"/>
              </w:rPr>
              <w:t>属于SW64其他垃圾</w:t>
            </w:r>
            <w:r>
              <w:rPr>
                <w:rFonts w:hint="eastAsia" w:eastAsia="宋体" w:cs="Times New Roman"/>
                <w:color w:val="auto"/>
                <w:kern w:val="2"/>
                <w:sz w:val="24"/>
                <w:szCs w:val="24"/>
                <w:highlight w:val="none"/>
                <w:lang w:val="en-US" w:eastAsia="zh-CN" w:bidi="ar"/>
              </w:rPr>
              <w:t>，废物代码</w:t>
            </w:r>
            <w:r>
              <w:rPr>
                <w:rFonts w:hint="eastAsia" w:cs="Times New Roman"/>
                <w:color w:val="auto"/>
                <w:sz w:val="24"/>
                <w:highlight w:val="none"/>
                <w:lang w:val="en-US" w:eastAsia="zh-CN" w:bidi="ar"/>
              </w:rPr>
              <w:t>900-099-S64。</w:t>
            </w:r>
          </w:p>
          <w:p w14:paraId="1CE9A5C8">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val="0"/>
                <w:color w:val="auto"/>
                <w:kern w:val="0"/>
                <w:sz w:val="24"/>
                <w:szCs w:val="24"/>
                <w:highlight w:val="none"/>
                <w:lang w:val="en-US" w:eastAsia="zh-CN"/>
              </w:rPr>
            </w:pPr>
            <w:r>
              <w:rPr>
                <w:rFonts w:hint="eastAsia" w:ascii="Times New Roman" w:hAnsi="Times New Roman" w:eastAsia="宋体" w:cs="Times New Roman"/>
                <w:b w:val="0"/>
                <w:bCs w:val="0"/>
                <w:color w:val="auto"/>
                <w:kern w:val="0"/>
                <w:sz w:val="24"/>
                <w:szCs w:val="24"/>
                <w:highlight w:val="none"/>
                <w:lang w:val="en-US" w:eastAsia="zh-CN"/>
              </w:rPr>
              <w:t>（2）</w:t>
            </w:r>
            <w:r>
              <w:rPr>
                <w:rFonts w:hint="eastAsia" w:ascii="宋体" w:hAnsi="宋体" w:cs="宋体"/>
                <w:b w:val="0"/>
                <w:bCs w:val="0"/>
                <w:color w:val="auto"/>
                <w:kern w:val="0"/>
                <w:sz w:val="24"/>
                <w:szCs w:val="24"/>
                <w:highlight w:val="none"/>
                <w:lang w:val="en-US" w:eastAsia="zh-CN"/>
              </w:rPr>
              <w:t>锅炉灰渣</w:t>
            </w:r>
          </w:p>
          <w:p w14:paraId="02A0A1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color w:val="auto"/>
                <w:sz w:val="24"/>
                <w:szCs w:val="22"/>
                <w:highlight w:val="none"/>
                <w:lang w:val="en-US" w:eastAsia="zh-CN"/>
              </w:rPr>
            </w:pPr>
            <w:r>
              <w:rPr>
                <w:rFonts w:hint="eastAsia"/>
                <w:color w:val="auto"/>
                <w:sz w:val="24"/>
                <w:szCs w:val="22"/>
                <w:highlight w:val="none"/>
                <w:lang w:val="en-US" w:eastAsia="zh-CN"/>
              </w:rPr>
              <w:t>①锅炉炉渣</w:t>
            </w:r>
          </w:p>
          <w:p w14:paraId="0939BA6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color w:val="FF0000"/>
                <w:sz w:val="24"/>
                <w:szCs w:val="22"/>
                <w:highlight w:val="none"/>
              </w:rPr>
            </w:pPr>
            <w:r>
              <w:rPr>
                <w:rFonts w:hint="eastAsia"/>
                <w:color w:val="auto"/>
                <w:sz w:val="24"/>
                <w:szCs w:val="22"/>
                <w:highlight w:val="none"/>
                <w:lang w:val="en-US" w:eastAsia="zh-CN"/>
              </w:rPr>
              <w:t>本</w:t>
            </w:r>
            <w:r>
              <w:rPr>
                <w:color w:val="auto"/>
                <w:sz w:val="24"/>
                <w:szCs w:val="22"/>
                <w:highlight w:val="none"/>
              </w:rPr>
              <w:t>项目</w:t>
            </w:r>
            <w:r>
              <w:rPr>
                <w:rFonts w:hint="eastAsia"/>
                <w:color w:val="auto"/>
                <w:sz w:val="24"/>
                <w:szCs w:val="22"/>
                <w:highlight w:val="none"/>
                <w:lang w:val="en-US" w:eastAsia="zh-CN"/>
              </w:rPr>
              <w:t>锅炉</w:t>
            </w:r>
            <w:r>
              <w:rPr>
                <w:color w:val="auto"/>
                <w:sz w:val="24"/>
                <w:szCs w:val="22"/>
                <w:highlight w:val="none"/>
              </w:rPr>
              <w:t>产生的</w:t>
            </w:r>
            <w:r>
              <w:rPr>
                <w:rFonts w:hint="eastAsia"/>
                <w:color w:val="auto"/>
                <w:sz w:val="24"/>
                <w:szCs w:val="22"/>
                <w:highlight w:val="none"/>
              </w:rPr>
              <w:t>灰渣</w:t>
            </w:r>
            <w:r>
              <w:rPr>
                <w:color w:val="auto"/>
                <w:sz w:val="24"/>
                <w:szCs w:val="22"/>
                <w:highlight w:val="none"/>
              </w:rPr>
              <w:t>量</w:t>
            </w:r>
            <w:r>
              <w:rPr>
                <w:rFonts w:hint="eastAsia"/>
                <w:color w:val="auto"/>
                <w:sz w:val="24"/>
                <w:szCs w:val="22"/>
                <w:highlight w:val="none"/>
              </w:rPr>
              <w:t>参照</w:t>
            </w:r>
            <w:r>
              <w:rPr>
                <w:color w:val="auto"/>
                <w:sz w:val="24"/>
                <w:szCs w:val="22"/>
                <w:highlight w:val="none"/>
              </w:rPr>
              <w:t>《污染源源强核算技术指南 锅炉》（HJ991</w:t>
            </w:r>
            <w:r>
              <w:rPr>
                <w:rFonts w:hint="eastAsia"/>
                <w:color w:val="auto"/>
                <w:sz w:val="24"/>
                <w:szCs w:val="22"/>
                <w:highlight w:val="none"/>
              </w:rPr>
              <w:t>-</w:t>
            </w:r>
            <w:r>
              <w:rPr>
                <w:color w:val="auto"/>
                <w:sz w:val="24"/>
                <w:szCs w:val="22"/>
                <w:highlight w:val="none"/>
              </w:rPr>
              <w:t>2018）中</w:t>
            </w:r>
            <w:r>
              <w:rPr>
                <w:rFonts w:hint="eastAsia"/>
                <w:color w:val="auto"/>
                <w:sz w:val="24"/>
                <w:szCs w:val="22"/>
                <w:highlight w:val="none"/>
              </w:rPr>
              <w:t>“</w:t>
            </w:r>
            <w:r>
              <w:rPr>
                <w:color w:val="auto"/>
                <w:sz w:val="24"/>
                <w:szCs w:val="22"/>
                <w:highlight w:val="none"/>
              </w:rPr>
              <w:t>8.1.1 物料衡算法</w:t>
            </w:r>
            <w:r>
              <w:rPr>
                <w:rFonts w:hint="eastAsia"/>
                <w:color w:val="auto"/>
                <w:sz w:val="24"/>
                <w:szCs w:val="22"/>
                <w:highlight w:val="none"/>
              </w:rPr>
              <w:t>”</w:t>
            </w:r>
            <w:r>
              <w:rPr>
                <w:color w:val="auto"/>
                <w:sz w:val="24"/>
                <w:szCs w:val="22"/>
                <w:highlight w:val="none"/>
              </w:rPr>
              <w:t>进行计算确定，计算公式如下：</w:t>
            </w:r>
          </w:p>
          <w:p w14:paraId="49FB1884">
            <w:pPr>
              <w:spacing w:line="360" w:lineRule="auto"/>
              <w:jc w:val="center"/>
              <w:rPr>
                <w:color w:val="FF0000"/>
                <w:sz w:val="24"/>
                <w:szCs w:val="22"/>
                <w:highlight w:val="none"/>
              </w:rPr>
            </w:pPr>
            <w:r>
              <w:rPr>
                <w:color w:val="FF0000"/>
                <w:position w:val="-28"/>
                <w:sz w:val="24"/>
                <w:szCs w:val="22"/>
                <w:highlight w:val="none"/>
              </w:rPr>
              <w:object>
                <v:shape id="_x0000_i1068" o:spt="75" type="#_x0000_t75" style="height:33.75pt;width:146.25pt;" o:ole="t" filled="f" o:preferrelative="t" stroked="f" coordsize="21600,21600">
                  <v:path/>
                  <v:fill on="f" focussize="0,0"/>
                  <v:stroke on="f"/>
                  <v:imagedata r:id="rId105" o:title=""/>
                  <o:lock v:ext="edit" aspectratio="t"/>
                  <w10:wrap type="none"/>
                  <w10:anchorlock/>
                </v:shape>
                <o:OLEObject Type="Embed" ProgID="Equation.KSEE3" ShapeID="_x0000_i1068" DrawAspect="Content" ObjectID="_1468075768" r:id="rId104">
                  <o:LockedField>false</o:LockedField>
                </o:OLEObject>
              </w:object>
            </w:r>
          </w:p>
          <w:p w14:paraId="6783079A">
            <w:pPr>
              <w:spacing w:line="360" w:lineRule="auto"/>
              <w:ind w:firstLine="480" w:firstLineChars="200"/>
              <w:rPr>
                <w:color w:val="auto"/>
                <w:sz w:val="24"/>
                <w:szCs w:val="22"/>
                <w:highlight w:val="none"/>
              </w:rPr>
            </w:pPr>
            <w:r>
              <w:rPr>
                <w:color w:val="auto"/>
                <w:sz w:val="24"/>
                <w:szCs w:val="22"/>
                <w:highlight w:val="none"/>
              </w:rPr>
              <w:t>式中：</w:t>
            </w:r>
            <w:r>
              <w:rPr>
                <w:color w:val="auto"/>
                <w:position w:val="-12"/>
                <w:sz w:val="24"/>
                <w:szCs w:val="22"/>
                <w:highlight w:val="none"/>
                <w:lang w:eastAsia="en-US"/>
              </w:rPr>
              <w:object>
                <v:shape id="_x0000_i1069" o:spt="75" type="#_x0000_t75" style="height:17.25pt;width:17.8pt;" o:ole="t" filled="f" o:preferrelative="t" stroked="f" coordsize="21600,21600">
                  <v:path/>
                  <v:fill on="f" focussize="0,0"/>
                  <v:stroke on="f"/>
                  <v:imagedata r:id="rId107" o:title=""/>
                  <o:lock v:ext="edit" aspectratio="t"/>
                  <w10:wrap type="none"/>
                  <w10:anchorlock/>
                </v:shape>
                <o:OLEObject Type="Embed" ProgID="Equation.KSEE3" ShapeID="_x0000_i1069" DrawAspect="Content" ObjectID="_1468075769" r:id="rId106">
                  <o:LockedField>false</o:LockedField>
                </o:OLEObject>
              </w:object>
            </w:r>
            <w:r>
              <w:rPr>
                <w:color w:val="auto"/>
                <w:sz w:val="24"/>
                <w:szCs w:val="22"/>
                <w:highlight w:val="none"/>
              </w:rPr>
              <w:t>—核算时段内灰渣产生量，t</w:t>
            </w:r>
          </w:p>
          <w:p w14:paraId="0B596622">
            <w:pPr>
              <w:spacing w:line="360" w:lineRule="auto"/>
              <w:ind w:firstLine="1200" w:firstLineChars="500"/>
              <w:rPr>
                <w:color w:val="auto"/>
                <w:kern w:val="0"/>
                <w:sz w:val="24"/>
                <w:highlight w:val="none"/>
              </w:rPr>
            </w:pPr>
            <w:r>
              <w:rPr>
                <w:color w:val="auto"/>
                <w:position w:val="-4"/>
                <w:sz w:val="24"/>
                <w:szCs w:val="22"/>
                <w:highlight w:val="none"/>
              </w:rPr>
              <w:object>
                <v:shape id="_x0000_i1070" o:spt="75" type="#_x0000_t75" style="height:12.75pt;width:12pt;" o:ole="t" filled="f" o:preferrelative="t" stroked="f" coordsize="21600,21600">
                  <v:path/>
                  <v:fill on="f" focussize="0,0"/>
                  <v:stroke on="f" joinstyle="miter"/>
                  <v:imagedata r:id="rId109" o:title=""/>
                  <o:lock v:ext="edit" aspectratio="t"/>
                  <w10:wrap type="none"/>
                  <w10:anchorlock/>
                </v:shape>
                <o:OLEObject Type="Embed" ProgID="Equation.KSEE3" ShapeID="_x0000_i1070" DrawAspect="Content" ObjectID="_1468075770" r:id="rId108">
                  <o:LockedField>false</o:LockedField>
                </o:OLEObject>
              </w:object>
            </w:r>
            <w:r>
              <w:rPr>
                <w:color w:val="auto"/>
                <w:sz w:val="24"/>
                <w:szCs w:val="22"/>
                <w:highlight w:val="none"/>
              </w:rPr>
              <w:t>—核算时段内</w:t>
            </w:r>
            <w:r>
              <w:rPr>
                <w:rFonts w:hint="eastAsia"/>
                <w:color w:val="auto"/>
                <w:sz w:val="24"/>
                <w:szCs w:val="22"/>
                <w:highlight w:val="none"/>
                <w:lang w:val="en-US" w:eastAsia="zh-CN"/>
              </w:rPr>
              <w:t>锅炉</w:t>
            </w:r>
            <w:r>
              <w:rPr>
                <w:color w:val="auto"/>
                <w:sz w:val="24"/>
                <w:szCs w:val="22"/>
                <w:highlight w:val="none"/>
              </w:rPr>
              <w:t>燃料耗量，</w:t>
            </w:r>
            <w:r>
              <w:rPr>
                <w:rFonts w:hint="eastAsia"/>
                <w:color w:val="auto"/>
                <w:sz w:val="24"/>
                <w:highlight w:val="none"/>
                <w:lang w:val="en-US" w:eastAsia="zh-CN"/>
              </w:rPr>
              <w:t>6219</w:t>
            </w:r>
            <w:r>
              <w:rPr>
                <w:color w:val="auto"/>
                <w:kern w:val="0"/>
                <w:sz w:val="24"/>
                <w:highlight w:val="none"/>
              </w:rPr>
              <w:t>t/</w:t>
            </w:r>
            <w:r>
              <w:rPr>
                <w:rFonts w:hint="eastAsia"/>
                <w:color w:val="auto"/>
                <w:kern w:val="0"/>
                <w:sz w:val="24"/>
                <w:highlight w:val="none"/>
              </w:rPr>
              <w:t>a</w:t>
            </w:r>
            <w:r>
              <w:rPr>
                <w:color w:val="auto"/>
                <w:kern w:val="0"/>
                <w:sz w:val="24"/>
                <w:highlight w:val="none"/>
              </w:rPr>
              <w:t>；</w:t>
            </w:r>
          </w:p>
          <w:p w14:paraId="149E87A6">
            <w:pPr>
              <w:spacing w:line="360" w:lineRule="auto"/>
              <w:ind w:firstLine="1200" w:firstLineChars="500"/>
              <w:rPr>
                <w:rFonts w:hint="eastAsia" w:ascii="Times New Roman" w:hAnsi="Times New Roman" w:eastAsia="宋体" w:cs="Times New Roman"/>
                <w:color w:val="auto"/>
                <w:position w:val="-4"/>
                <w:sz w:val="24"/>
                <w:szCs w:val="22"/>
                <w:highlight w:val="none"/>
                <w:lang w:eastAsia="zh-CN"/>
              </w:rPr>
            </w:pPr>
            <w:r>
              <w:rPr>
                <w:rFonts w:ascii="Times New Roman" w:hAnsi="Times New Roman" w:eastAsia="宋体" w:cs="Times New Roman"/>
                <w:color w:val="auto"/>
                <w:position w:val="-4"/>
                <w:sz w:val="24"/>
                <w:szCs w:val="22"/>
                <w:highlight w:val="none"/>
              </w:rPr>
              <w:object>
                <v:shape id="_x0000_i1071" o:spt="75" type="#_x0000_t75" style="height:17.25pt;width:17.25pt;" o:ole="t" filled="f" o:preferrelative="t" stroked="f" coordsize="21600,21600">
                  <v:path/>
                  <v:fill on="f" focussize="0,0"/>
                  <v:stroke on="f" joinstyle="miter"/>
                  <v:imagedata r:id="rId111" o:title=""/>
                  <o:lock v:ext="edit" aspectratio="t"/>
                  <w10:wrap type="none"/>
                  <w10:anchorlock/>
                </v:shape>
                <o:OLEObject Type="Embed" ProgID="Equation.KSEE3" ShapeID="_x0000_i1071" DrawAspect="Content" ObjectID="_1468075771" r:id="rId110">
                  <o:LockedField>false</o:LockedField>
                </o:OLEObject>
              </w:object>
            </w:r>
            <w:r>
              <w:rPr>
                <w:rFonts w:ascii="Times New Roman" w:hAnsi="Times New Roman" w:eastAsia="宋体" w:cs="Times New Roman"/>
                <w:color w:val="auto"/>
                <w:position w:val="-4"/>
                <w:sz w:val="24"/>
                <w:szCs w:val="22"/>
                <w:highlight w:val="none"/>
              </w:rPr>
              <w:t>—收到基灰分的质量分数，</w:t>
            </w:r>
            <w:r>
              <w:rPr>
                <w:rFonts w:hint="eastAsia" w:ascii="Times New Roman" w:hAnsi="Times New Roman" w:cs="Times New Roman"/>
                <w:color w:val="auto"/>
                <w:position w:val="-4"/>
                <w:sz w:val="24"/>
                <w:szCs w:val="22"/>
                <w:highlight w:val="none"/>
                <w:lang w:val="en-US" w:eastAsia="zh-CN"/>
              </w:rPr>
              <w:t>8.05</w:t>
            </w:r>
            <w:r>
              <w:rPr>
                <w:rFonts w:ascii="Times New Roman" w:hAnsi="Times New Roman" w:eastAsia="宋体" w:cs="Times New Roman"/>
                <w:color w:val="auto"/>
                <w:position w:val="-4"/>
                <w:sz w:val="24"/>
                <w:szCs w:val="22"/>
                <w:highlight w:val="none"/>
              </w:rPr>
              <w:t>%</w:t>
            </w:r>
            <w:r>
              <w:rPr>
                <w:rFonts w:hint="eastAsia" w:ascii="Times New Roman" w:hAnsi="Times New Roman" w:eastAsia="宋体" w:cs="Times New Roman"/>
                <w:color w:val="auto"/>
                <w:position w:val="-4"/>
                <w:sz w:val="24"/>
                <w:szCs w:val="22"/>
                <w:highlight w:val="none"/>
              </w:rPr>
              <w:t>（</w:t>
            </w:r>
            <w:r>
              <w:rPr>
                <w:rFonts w:hint="default" w:ascii="Times New Roman" w:hAnsi="Times New Roman" w:eastAsia="宋体" w:cs="Times New Roman"/>
                <w:color w:val="auto"/>
                <w:position w:val="-4"/>
                <w:sz w:val="24"/>
                <w:szCs w:val="22"/>
                <w:highlight w:val="none"/>
              </w:rPr>
              <w:t>数据来源生物质成型燃料成分检测报告</w:t>
            </w:r>
            <w:r>
              <w:rPr>
                <w:rFonts w:hint="eastAsia" w:ascii="Times New Roman" w:hAnsi="Times New Roman" w:eastAsia="宋体" w:cs="Times New Roman"/>
                <w:color w:val="auto"/>
                <w:position w:val="-4"/>
                <w:sz w:val="24"/>
                <w:szCs w:val="22"/>
                <w:highlight w:val="none"/>
                <w:lang w:eastAsia="zh-CN"/>
              </w:rPr>
              <w:t>，</w:t>
            </w:r>
            <w:r>
              <w:rPr>
                <w:rFonts w:hint="eastAsia" w:ascii="Times New Roman" w:hAnsi="Times New Roman" w:eastAsia="宋体" w:cs="Times New Roman"/>
                <w:color w:val="auto"/>
                <w:position w:val="-4"/>
                <w:sz w:val="24"/>
                <w:szCs w:val="22"/>
                <w:highlight w:val="none"/>
                <w:lang w:val="en-US" w:eastAsia="zh-CN"/>
              </w:rPr>
              <w:t>详见附件</w:t>
            </w:r>
            <w:r>
              <w:rPr>
                <w:rFonts w:hint="eastAsia" w:ascii="Times New Roman" w:hAnsi="Times New Roman" w:cs="Times New Roman"/>
                <w:color w:val="auto"/>
                <w:position w:val="-4"/>
                <w:sz w:val="24"/>
                <w:szCs w:val="22"/>
                <w:highlight w:val="none"/>
                <w:lang w:val="en-US" w:eastAsia="zh-CN"/>
              </w:rPr>
              <w:t>3</w:t>
            </w:r>
            <w:r>
              <w:rPr>
                <w:rFonts w:hint="eastAsia" w:ascii="Times New Roman" w:hAnsi="Times New Roman" w:eastAsia="宋体" w:cs="Times New Roman"/>
                <w:color w:val="auto"/>
                <w:position w:val="-4"/>
                <w:sz w:val="24"/>
                <w:szCs w:val="22"/>
                <w:highlight w:val="none"/>
              </w:rPr>
              <w:t>）</w:t>
            </w:r>
            <w:r>
              <w:rPr>
                <w:rFonts w:hint="eastAsia" w:ascii="Times New Roman" w:hAnsi="Times New Roman" w:eastAsia="宋体" w:cs="Times New Roman"/>
                <w:color w:val="auto"/>
                <w:position w:val="-4"/>
                <w:sz w:val="24"/>
                <w:szCs w:val="22"/>
                <w:highlight w:val="none"/>
                <w:lang w:eastAsia="zh-CN"/>
              </w:rPr>
              <w:t>；</w:t>
            </w:r>
          </w:p>
          <w:p w14:paraId="7ED1BE8C">
            <w:pPr>
              <w:spacing w:line="360" w:lineRule="auto"/>
              <w:ind w:firstLine="1200" w:firstLineChars="500"/>
              <w:rPr>
                <w:rFonts w:hint="eastAsia" w:eastAsia="宋体"/>
                <w:color w:val="auto"/>
                <w:sz w:val="24"/>
                <w:szCs w:val="24"/>
                <w:highlight w:val="none"/>
                <w:lang w:eastAsia="zh-CN"/>
              </w:rPr>
            </w:pPr>
            <w:r>
              <w:rPr>
                <w:color w:val="auto"/>
                <w:position w:val="-14"/>
                <w:sz w:val="24"/>
                <w:szCs w:val="24"/>
                <w:highlight w:val="none"/>
              </w:rPr>
              <w:object>
                <v:shape id="_x0000_i1072" o:spt="75" type="#_x0000_t75" style="height:18.75pt;width:30pt;" o:ole="t" filled="f" o:preferrelative="t" stroked="f" coordsize="21600,21600">
                  <v:path/>
                  <v:fill on="f" focussize="0,0"/>
                  <v:stroke on="f" joinstyle="miter"/>
                  <v:imagedata r:id="rId113" o:title=""/>
                  <o:lock v:ext="edit" aspectratio="t"/>
                  <w10:wrap type="none"/>
                  <w10:anchorlock/>
                </v:shape>
                <o:OLEObject Type="Embed" ProgID="Equation.KSEE3" ShapeID="_x0000_i1072" DrawAspect="Content" ObjectID="_1468075772" r:id="rId112">
                  <o:LockedField>false</o:LockedField>
                </o:OLEObject>
              </w:object>
            </w:r>
            <w:r>
              <w:rPr>
                <w:color w:val="auto"/>
                <w:sz w:val="24"/>
                <w:szCs w:val="24"/>
                <w:highlight w:val="none"/>
              </w:rPr>
              <w:t>—燃料收到基低位发热量，</w:t>
            </w:r>
            <w:r>
              <w:rPr>
                <w:rFonts w:hint="eastAsia"/>
                <w:color w:val="auto"/>
                <w:sz w:val="24"/>
                <w:szCs w:val="24"/>
                <w:highlight w:val="none"/>
                <w:lang w:val="en-US" w:eastAsia="zh-CN"/>
              </w:rPr>
              <w:t>14908</w:t>
            </w:r>
            <w:r>
              <w:rPr>
                <w:color w:val="auto"/>
                <w:sz w:val="24"/>
                <w:szCs w:val="24"/>
                <w:highlight w:val="none"/>
              </w:rPr>
              <w:t>kJ/kg</w:t>
            </w:r>
            <w:r>
              <w:rPr>
                <w:rFonts w:hint="eastAsia"/>
                <w:color w:val="auto"/>
                <w:sz w:val="24"/>
                <w:szCs w:val="24"/>
                <w:highlight w:val="none"/>
                <w:lang w:eastAsia="zh-CN"/>
              </w:rPr>
              <w:t>；</w:t>
            </w:r>
          </w:p>
          <w:p w14:paraId="3335DEE6">
            <w:pPr>
              <w:widowControl/>
              <w:spacing w:line="360" w:lineRule="auto"/>
              <w:ind w:firstLine="1200" w:firstLineChars="500"/>
              <w:jc w:val="left"/>
              <w:rPr>
                <w:rFonts w:hint="eastAsia" w:ascii="宋体" w:hAnsi="宋体" w:cs="宋体"/>
                <w:b w:val="0"/>
                <w:bCs w:val="0"/>
                <w:color w:val="auto"/>
                <w:kern w:val="0"/>
                <w:highlight w:val="none"/>
              </w:rPr>
            </w:pPr>
            <w:r>
              <w:rPr>
                <w:color w:val="auto"/>
                <w:position w:val="-10"/>
                <w:sz w:val="24"/>
                <w:szCs w:val="24"/>
                <w:highlight w:val="none"/>
              </w:rPr>
              <w:object>
                <v:shape id="_x0000_i1073" o:spt="75" type="#_x0000_t75" style="height:16.5pt;width:16.5pt;" o:ole="t" filled="f" o:preferrelative="t" stroked="f" coordsize="21600,21600">
                  <v:path/>
                  <v:fill on="f" focussize="0,0"/>
                  <v:stroke on="f" joinstyle="miter"/>
                  <v:imagedata r:id="rId115" o:title=""/>
                  <o:lock v:ext="edit" aspectratio="t"/>
                  <w10:wrap type="none"/>
                  <w10:anchorlock/>
                </v:shape>
                <o:OLEObject Type="Embed" ProgID="Equation.KSEE3" ShapeID="_x0000_i1073" DrawAspect="Content" ObjectID="_1468075773" r:id="rId114">
                  <o:LockedField>false</o:LockedField>
                </o:OLEObject>
              </w:object>
            </w:r>
            <w:r>
              <w:rPr>
                <w:color w:val="auto"/>
                <w:sz w:val="24"/>
                <w:szCs w:val="24"/>
                <w:highlight w:val="none"/>
              </w:rPr>
              <w:t>—</w:t>
            </w:r>
            <w:r>
              <w:rPr>
                <w:rFonts w:hint="eastAsia"/>
                <w:color w:val="auto"/>
                <w:sz w:val="24"/>
                <w:szCs w:val="22"/>
                <w:highlight w:val="none"/>
                <w:lang w:val="en-US" w:eastAsia="zh-CN"/>
              </w:rPr>
              <w:t>锅炉</w:t>
            </w:r>
            <w:r>
              <w:rPr>
                <w:color w:val="auto"/>
                <w:sz w:val="24"/>
                <w:szCs w:val="24"/>
                <w:highlight w:val="none"/>
              </w:rPr>
              <w:t>机械不完全燃烧热损失，</w:t>
            </w:r>
            <w:r>
              <w:rPr>
                <w:rFonts w:hint="eastAsia"/>
                <w:color w:val="auto"/>
                <w:sz w:val="24"/>
                <w:szCs w:val="24"/>
                <w:highlight w:val="none"/>
              </w:rPr>
              <w:t>10</w:t>
            </w:r>
            <w:r>
              <w:rPr>
                <w:color w:val="auto"/>
                <w:sz w:val="24"/>
                <w:szCs w:val="24"/>
                <w:highlight w:val="none"/>
              </w:rPr>
              <w:t>%</w:t>
            </w:r>
            <w:r>
              <w:rPr>
                <w:rFonts w:hint="eastAsia"/>
                <w:color w:val="auto"/>
                <w:sz w:val="24"/>
                <w:szCs w:val="24"/>
                <w:highlight w:val="none"/>
              </w:rPr>
              <w:t>（数据来源</w:t>
            </w:r>
            <w:r>
              <w:rPr>
                <w:color w:val="auto"/>
                <w:sz w:val="24"/>
                <w:szCs w:val="24"/>
                <w:highlight w:val="none"/>
              </w:rPr>
              <w:t>《污染源源强核算技术指南 锅炉》（HJ991</w:t>
            </w:r>
            <w:r>
              <w:rPr>
                <w:rFonts w:hint="eastAsia"/>
                <w:color w:val="auto"/>
                <w:sz w:val="24"/>
                <w:szCs w:val="24"/>
                <w:highlight w:val="none"/>
              </w:rPr>
              <w:t>-</w:t>
            </w:r>
            <w:r>
              <w:rPr>
                <w:color w:val="auto"/>
                <w:sz w:val="24"/>
                <w:szCs w:val="24"/>
                <w:highlight w:val="none"/>
              </w:rPr>
              <w:t>2018）</w:t>
            </w:r>
            <w:r>
              <w:rPr>
                <w:rFonts w:hint="eastAsia"/>
                <w:color w:val="auto"/>
                <w:sz w:val="24"/>
                <w:szCs w:val="24"/>
                <w:highlight w:val="none"/>
              </w:rPr>
              <w:t>附录B表B.1链条炉排炉）</w:t>
            </w:r>
          </w:p>
          <w:p w14:paraId="2AEE7F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eastAsia" w:ascii="Times New Roman" w:hAnsi="Times New Roman" w:eastAsia="宋体" w:cs="Times New Roman"/>
                <w:color w:val="auto"/>
                <w:sz w:val="24"/>
                <w:highlight w:val="none"/>
                <w:lang w:val="en-US" w:eastAsia="zh-CN" w:bidi="ar"/>
              </w:rPr>
              <w:t>根据</w:t>
            </w:r>
            <w:r>
              <w:rPr>
                <w:rFonts w:hint="eastAsia" w:cs="Times New Roman"/>
                <w:color w:val="auto"/>
                <w:sz w:val="24"/>
                <w:highlight w:val="none"/>
                <w:lang w:val="en-US" w:eastAsia="zh-CN" w:bidi="ar"/>
              </w:rPr>
              <w:t>前文可知，</w:t>
            </w:r>
            <w:r>
              <w:rPr>
                <w:rFonts w:hint="eastAsia" w:cs="Times New Roman"/>
                <w:i/>
                <w:iCs/>
                <w:color w:val="auto"/>
                <w:sz w:val="24"/>
                <w:highlight w:val="none"/>
                <w:lang w:val="en-US" w:eastAsia="zh-CN" w:bidi="ar"/>
              </w:rPr>
              <w:t>d</w:t>
            </w:r>
            <w:r>
              <w:rPr>
                <w:rFonts w:hint="eastAsia" w:cs="Times New Roman"/>
                <w:color w:val="auto"/>
                <w:sz w:val="24"/>
                <w:highlight w:val="none"/>
                <w:vertAlign w:val="subscript"/>
                <w:lang w:val="en-US" w:eastAsia="zh-CN" w:bidi="ar"/>
              </w:rPr>
              <w:t>fh</w:t>
            </w:r>
            <w:r>
              <w:rPr>
                <w:color w:val="auto"/>
                <w:sz w:val="24"/>
                <w:szCs w:val="24"/>
                <w:highlight w:val="none"/>
              </w:rPr>
              <w:t>—</w:t>
            </w:r>
            <w:r>
              <w:rPr>
                <w:rFonts w:hint="eastAsia" w:cs="Times New Roman"/>
                <w:color w:val="auto"/>
                <w:sz w:val="24"/>
                <w:highlight w:val="none"/>
                <w:vertAlign w:val="baseline"/>
                <w:lang w:val="en-US" w:eastAsia="zh-CN" w:bidi="ar"/>
              </w:rPr>
              <w:t>锅炉锅炉烟气带出的飞灰份额取50%，</w:t>
            </w:r>
            <w:r>
              <w:rPr>
                <w:rFonts w:hint="eastAsia" w:ascii="Times New Roman" w:hAnsi="Times New Roman" w:eastAsia="宋体" w:cs="Times New Roman"/>
                <w:color w:val="auto"/>
                <w:sz w:val="24"/>
                <w:highlight w:val="none"/>
                <w:lang w:val="en-US" w:eastAsia="zh-CN" w:bidi="ar"/>
              </w:rPr>
              <w:t>计算得出</w:t>
            </w:r>
            <w:r>
              <w:rPr>
                <w:rFonts w:hint="eastAsia" w:ascii="Times New Roman" w:hAnsi="Times New Roman" w:cs="Times New Roman"/>
                <w:color w:val="auto"/>
                <w:sz w:val="24"/>
                <w:highlight w:val="none"/>
                <w:lang w:val="en-US" w:eastAsia="zh-CN" w:bidi="ar"/>
              </w:rPr>
              <w:t>锅炉</w:t>
            </w:r>
            <w:r>
              <w:rPr>
                <w:color w:val="auto"/>
                <w:sz w:val="24"/>
                <w:szCs w:val="22"/>
                <w:highlight w:val="none"/>
              </w:rPr>
              <w:t>灰渣</w:t>
            </w:r>
            <w:r>
              <w:rPr>
                <w:rFonts w:hint="eastAsia" w:ascii="Times New Roman" w:hAnsi="Times New Roman" w:eastAsia="宋体" w:cs="Times New Roman"/>
                <w:color w:val="auto"/>
                <w:sz w:val="24"/>
                <w:highlight w:val="none"/>
                <w:lang w:val="en-US" w:eastAsia="zh-CN" w:bidi="ar"/>
              </w:rPr>
              <w:t>产生量为</w:t>
            </w:r>
            <w:r>
              <w:rPr>
                <w:rFonts w:hint="eastAsia" w:ascii="Times New Roman" w:hAnsi="Times New Roman" w:eastAsia="宋体" w:cs="Times New Roman"/>
                <w:color w:val="auto"/>
                <w:sz w:val="24"/>
                <w:szCs w:val="22"/>
                <w:highlight w:val="none"/>
                <w:lang w:val="en-US" w:eastAsia="zh-CN"/>
              </w:rPr>
              <w:t>E</w:t>
            </w:r>
            <w:r>
              <w:rPr>
                <w:rFonts w:hint="eastAsia" w:ascii="Times New Roman" w:hAnsi="Times New Roman" w:eastAsia="宋体" w:cs="Times New Roman"/>
                <w:color w:val="auto"/>
                <w:sz w:val="24"/>
                <w:szCs w:val="22"/>
                <w:highlight w:val="none"/>
                <w:vertAlign w:val="subscript"/>
                <w:lang w:val="en-US" w:eastAsia="zh-CN"/>
              </w:rPr>
              <w:t>hz</w:t>
            </w:r>
            <w:r>
              <w:rPr>
                <w:rFonts w:hint="eastAsia" w:ascii="Times New Roman" w:hAnsi="Times New Roman" w:eastAsia="宋体" w:cs="Times New Roman"/>
                <w:color w:val="auto"/>
                <w:sz w:val="24"/>
                <w:szCs w:val="22"/>
                <w:highlight w:val="none"/>
                <w:lang w:val="en-US" w:eastAsia="zh-CN"/>
              </w:rPr>
              <w:t>=</w:t>
            </w:r>
            <w:r>
              <w:rPr>
                <w:rFonts w:hint="eastAsia" w:cs="Times New Roman"/>
                <w:color w:val="auto"/>
                <w:sz w:val="24"/>
                <w:szCs w:val="22"/>
                <w:highlight w:val="none"/>
                <w:lang w:val="en-US" w:eastAsia="zh-CN"/>
              </w:rPr>
              <w:t>774.36</w:t>
            </w:r>
            <w:r>
              <w:rPr>
                <w:rFonts w:hint="eastAsia" w:ascii="Times New Roman" w:hAnsi="Times New Roman" w:eastAsia="宋体" w:cs="Times New Roman"/>
                <w:color w:val="auto"/>
                <w:sz w:val="24"/>
                <w:szCs w:val="22"/>
                <w:highlight w:val="none"/>
                <w:lang w:val="en-US" w:eastAsia="zh-CN"/>
              </w:rPr>
              <w:t>t/a，</w:t>
            </w:r>
            <w:r>
              <w:rPr>
                <w:rFonts w:hint="eastAsia" w:ascii="Times New Roman" w:hAnsi="Times New Roman" w:eastAsia="宋体" w:cs="Times New Roman"/>
                <w:color w:val="auto"/>
                <w:sz w:val="24"/>
                <w:szCs w:val="24"/>
                <w:highlight w:val="none"/>
                <w:lang w:val="en-US" w:eastAsia="zh-CN"/>
              </w:rPr>
              <w:t>其中飞灰量（即</w:t>
            </w:r>
            <w:r>
              <w:rPr>
                <w:rFonts w:hint="eastAsia" w:ascii="Times New Roman" w:hAnsi="Times New Roman" w:cs="Times New Roman"/>
                <w:color w:val="auto"/>
                <w:sz w:val="24"/>
                <w:szCs w:val="24"/>
                <w:highlight w:val="none"/>
                <w:lang w:val="en-US" w:eastAsia="zh-CN"/>
              </w:rPr>
              <w:t>锅炉</w:t>
            </w:r>
            <w:r>
              <w:rPr>
                <w:rFonts w:hint="eastAsia" w:ascii="Times New Roman" w:hAnsi="Times New Roman" w:eastAsia="宋体" w:cs="Times New Roman"/>
                <w:color w:val="auto"/>
                <w:sz w:val="24"/>
                <w:szCs w:val="24"/>
                <w:highlight w:val="none"/>
                <w:lang w:val="en-US" w:eastAsia="zh-CN"/>
              </w:rPr>
              <w:t>烟气中颗粒物产生量）为</w:t>
            </w:r>
            <w:r>
              <w:rPr>
                <w:rFonts w:hint="eastAsia" w:cs="Times New Roman"/>
                <w:iCs/>
                <w:color w:val="auto"/>
                <w:sz w:val="24"/>
                <w:szCs w:val="24"/>
                <w:highlight w:val="none"/>
                <w:shd w:val="clear"/>
                <w:vertAlign w:val="baseline"/>
                <w:lang w:val="en-US" w:eastAsia="zh-CN"/>
              </w:rPr>
              <w:t>300.00t/a</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则锅炉炉底灰渣产生量为</w:t>
            </w:r>
            <w:r>
              <w:rPr>
                <w:rFonts w:hint="eastAsia" w:cs="Times New Roman"/>
                <w:color w:val="auto"/>
                <w:sz w:val="24"/>
                <w:szCs w:val="24"/>
                <w:highlight w:val="none"/>
                <w:lang w:val="en-US" w:eastAsia="zh-CN"/>
              </w:rPr>
              <w:t>474.36</w:t>
            </w:r>
            <w:r>
              <w:rPr>
                <w:rFonts w:hint="eastAsia" w:ascii="Times New Roman" w:hAnsi="Times New Roman" w:cs="Times New Roman"/>
                <w:color w:val="auto"/>
                <w:sz w:val="24"/>
                <w:szCs w:val="24"/>
                <w:highlight w:val="none"/>
                <w:lang w:val="en-US" w:eastAsia="zh-CN"/>
              </w:rPr>
              <w:t>t/a</w:t>
            </w:r>
            <w:r>
              <w:rPr>
                <w:rFonts w:hint="eastAsia"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bidi="ar"/>
              </w:rPr>
              <w:t>属于SW03炉渣</w:t>
            </w:r>
            <w:r>
              <w:rPr>
                <w:rFonts w:hint="eastAsia" w:eastAsia="宋体" w:cs="Times New Roman"/>
                <w:color w:val="auto"/>
                <w:kern w:val="2"/>
                <w:sz w:val="24"/>
                <w:szCs w:val="24"/>
                <w:highlight w:val="none"/>
                <w:lang w:val="en-US" w:eastAsia="zh-CN" w:bidi="ar"/>
              </w:rPr>
              <w:t>，废物代码</w:t>
            </w:r>
            <w:r>
              <w:rPr>
                <w:rFonts w:hint="eastAsia" w:cs="Times New Roman"/>
                <w:color w:val="auto"/>
                <w:sz w:val="24"/>
                <w:szCs w:val="24"/>
                <w:highlight w:val="none"/>
                <w:lang w:val="en-US" w:eastAsia="zh-CN" w:bidi="ar"/>
              </w:rPr>
              <w:t>900-099-S03。</w:t>
            </w:r>
            <w:r>
              <w:rPr>
                <w:rFonts w:hint="default" w:ascii="Times New Roman" w:hAnsi="Times New Roman" w:eastAsia="宋体" w:cs="Times New Roman"/>
                <w:color w:val="auto"/>
                <w:sz w:val="24"/>
                <w:szCs w:val="24"/>
                <w:highlight w:val="none"/>
                <w:lang w:eastAsia="zh-CN"/>
              </w:rPr>
              <w:t>统一</w:t>
            </w:r>
            <w:r>
              <w:rPr>
                <w:rFonts w:hint="default" w:ascii="Times New Roman" w:hAnsi="Times New Roman" w:eastAsia="宋体" w:cs="Times New Roman"/>
                <w:color w:val="auto"/>
                <w:sz w:val="24"/>
                <w:szCs w:val="24"/>
                <w:highlight w:val="none"/>
                <w:lang w:val="en-US" w:eastAsia="zh-CN"/>
              </w:rPr>
              <w:t>收集</w:t>
            </w:r>
            <w:r>
              <w:rPr>
                <w:rFonts w:hint="eastAsia" w:ascii="Times New Roman" w:hAnsi="Times New Roman" w:eastAsia="宋体" w:cs="Times New Roman"/>
                <w:color w:val="auto"/>
                <w:sz w:val="24"/>
                <w:szCs w:val="24"/>
                <w:highlight w:val="none"/>
                <w:lang w:val="en-US" w:eastAsia="zh-CN"/>
              </w:rPr>
              <w:t>袋装储存于</w:t>
            </w:r>
            <w:r>
              <w:rPr>
                <w:rFonts w:hint="eastAsia" w:cs="Times New Roman"/>
                <w:color w:val="auto"/>
                <w:sz w:val="24"/>
                <w:szCs w:val="24"/>
                <w:highlight w:val="none"/>
                <w:lang w:val="en-US" w:eastAsia="zh-CN"/>
              </w:rPr>
              <w:t>灰渣暂存间临时堆放</w:t>
            </w:r>
            <w:r>
              <w:rPr>
                <w:rFonts w:hint="eastAsia"/>
                <w:bCs/>
                <w:color w:val="auto"/>
                <w:spacing w:val="0"/>
                <w:sz w:val="24"/>
                <w:szCs w:val="24"/>
                <w:highlight w:val="none"/>
                <w:lang w:val="en-US" w:eastAsia="zh-CN"/>
              </w:rPr>
              <w:t>，采用人工搬运装袋后的锅炉炉渣，搬运过程中洒水抑尘，经厂区内道路外运运输车辆，</w:t>
            </w:r>
            <w:r>
              <w:rPr>
                <w:rFonts w:hint="eastAsia" w:cs="Times New Roman"/>
                <w:color w:val="auto"/>
                <w:sz w:val="24"/>
                <w:szCs w:val="24"/>
                <w:highlight w:val="none"/>
                <w:vertAlign w:val="baseline"/>
                <w:lang w:val="en-US" w:eastAsia="zh-CN"/>
              </w:rPr>
              <w:t>定期外售企业进行综合利用。</w:t>
            </w:r>
          </w:p>
          <w:p w14:paraId="010F577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color w:val="auto"/>
                <w:sz w:val="24"/>
                <w:szCs w:val="22"/>
                <w:highlight w:val="none"/>
                <w:lang w:val="en-US" w:eastAsia="zh-CN"/>
              </w:rPr>
            </w:pPr>
            <w:r>
              <w:rPr>
                <w:rFonts w:hint="eastAsia"/>
                <w:color w:val="auto"/>
                <w:sz w:val="24"/>
                <w:szCs w:val="22"/>
                <w:highlight w:val="none"/>
                <w:lang w:val="en-US" w:eastAsia="zh-CN"/>
              </w:rPr>
              <w:t>②</w:t>
            </w:r>
            <w:r>
              <w:rPr>
                <w:rFonts w:hint="eastAsia" w:ascii="Times New Roman" w:hAnsi="Times New Roman" w:eastAsia="宋体" w:cs="Times New Roman"/>
                <w:color w:val="auto"/>
                <w:sz w:val="24"/>
                <w:highlight w:val="none"/>
                <w:lang w:val="en-US" w:eastAsia="zh-CN" w:bidi="ar"/>
              </w:rPr>
              <w:t>布袋除尘器收尘</w:t>
            </w:r>
          </w:p>
          <w:p w14:paraId="34A74BEE">
            <w:pPr>
              <w:pStyle w:val="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宋体" w:cs="Times New Roman"/>
                <w:color w:val="auto"/>
                <w:sz w:val="24"/>
                <w:szCs w:val="22"/>
                <w:highlight w:val="none"/>
                <w:lang w:val="en-US" w:eastAsia="zh-CN"/>
              </w:rPr>
            </w:pPr>
            <w:r>
              <w:rPr>
                <w:rFonts w:hint="eastAsia" w:ascii="Times New Roman" w:hAnsi="Times New Roman" w:eastAsia="宋体" w:cs="Times New Roman"/>
                <w:color w:val="auto"/>
                <w:sz w:val="24"/>
                <w:highlight w:val="none"/>
                <w:lang w:val="en-US" w:eastAsia="zh-CN" w:bidi="ar"/>
              </w:rPr>
              <w:t>根据</w:t>
            </w:r>
            <w:r>
              <w:rPr>
                <w:rFonts w:hint="eastAsia" w:cs="Times New Roman"/>
                <w:color w:val="auto"/>
                <w:sz w:val="24"/>
                <w:highlight w:val="none"/>
                <w:lang w:val="en-US" w:eastAsia="zh-CN" w:bidi="ar"/>
              </w:rPr>
              <w:t>源强分析可知</w:t>
            </w:r>
            <w:r>
              <w:rPr>
                <w:rFonts w:hint="eastAsia" w:ascii="Times New Roman" w:hAnsi="Times New Roman" w:eastAsia="宋体" w:cs="Times New Roman"/>
                <w:color w:val="auto"/>
                <w:sz w:val="24"/>
                <w:highlight w:val="none"/>
                <w:lang w:val="en-US" w:eastAsia="zh-CN" w:bidi="ar"/>
              </w:rPr>
              <w:t>，</w:t>
            </w:r>
            <w:r>
              <w:rPr>
                <w:rFonts w:hint="eastAsia" w:ascii="Times New Roman" w:hAnsi="Times New Roman" w:cs="Times New Roman"/>
                <w:color w:val="auto"/>
                <w:sz w:val="24"/>
                <w:highlight w:val="none"/>
                <w:lang w:val="en-US" w:eastAsia="zh-CN" w:bidi="ar"/>
              </w:rPr>
              <w:t>锅炉</w:t>
            </w:r>
            <w:r>
              <w:rPr>
                <w:rFonts w:hint="eastAsia" w:ascii="Times New Roman" w:hAnsi="Times New Roman" w:eastAsia="宋体" w:cs="Times New Roman"/>
                <w:color w:val="auto"/>
                <w:sz w:val="24"/>
                <w:highlight w:val="none"/>
                <w:lang w:val="en-US" w:eastAsia="zh-CN" w:bidi="ar"/>
              </w:rPr>
              <w:t>布袋除尘器收尘量为</w:t>
            </w:r>
            <w:r>
              <w:rPr>
                <w:rFonts w:hint="eastAsia" w:cs="Times New Roman"/>
                <w:color w:val="auto"/>
                <w:sz w:val="24"/>
                <w:highlight w:val="none"/>
                <w:lang w:val="en-US" w:eastAsia="zh-CN" w:bidi="ar"/>
              </w:rPr>
              <w:t>299.4t</w:t>
            </w:r>
            <w:r>
              <w:rPr>
                <w:rFonts w:hint="eastAsia" w:ascii="Times New Roman" w:hAnsi="Times New Roman" w:eastAsia="宋体" w:cs="Times New Roman"/>
                <w:color w:val="auto"/>
                <w:sz w:val="24"/>
                <w:szCs w:val="22"/>
                <w:highlight w:val="none"/>
                <w:lang w:val="en-US" w:eastAsia="zh-CN"/>
              </w:rPr>
              <w:t>/a。</w:t>
            </w:r>
            <w:r>
              <w:rPr>
                <w:rFonts w:hint="eastAsia" w:ascii="Times New Roman" w:hAnsi="Times New Roman" w:eastAsia="宋体" w:cs="Times New Roman"/>
                <w:color w:val="auto"/>
                <w:kern w:val="2"/>
                <w:sz w:val="24"/>
                <w:szCs w:val="24"/>
                <w:highlight w:val="none"/>
                <w:lang w:val="en-US" w:eastAsia="zh-CN" w:bidi="ar"/>
              </w:rPr>
              <w:t>属于SW59其他工业固体废物</w:t>
            </w:r>
            <w:r>
              <w:rPr>
                <w:rFonts w:hint="eastAsia" w:eastAsia="宋体" w:cs="Times New Roman"/>
                <w:color w:val="auto"/>
                <w:kern w:val="2"/>
                <w:sz w:val="24"/>
                <w:szCs w:val="24"/>
                <w:highlight w:val="none"/>
                <w:lang w:val="en-US" w:eastAsia="zh-CN" w:bidi="ar"/>
              </w:rPr>
              <w:t>，废物代码</w:t>
            </w:r>
            <w:r>
              <w:rPr>
                <w:rFonts w:hint="eastAsia" w:ascii="Times New Roman" w:hAnsi="Times New Roman" w:eastAsia="宋体" w:cs="Times New Roman"/>
                <w:color w:val="auto"/>
                <w:kern w:val="2"/>
                <w:sz w:val="24"/>
                <w:szCs w:val="24"/>
                <w:highlight w:val="none"/>
                <w:lang w:val="en-US" w:eastAsia="zh-CN" w:bidi="ar"/>
              </w:rPr>
              <w:t>900-099-S59。</w:t>
            </w:r>
            <w:r>
              <w:rPr>
                <w:rFonts w:hint="default" w:ascii="Times New Roman" w:hAnsi="Times New Roman" w:eastAsia="宋体" w:cs="Times New Roman"/>
                <w:color w:val="auto"/>
                <w:sz w:val="24"/>
                <w:szCs w:val="24"/>
                <w:highlight w:val="none"/>
                <w:lang w:eastAsia="zh-CN"/>
              </w:rPr>
              <w:t>统一</w:t>
            </w:r>
            <w:r>
              <w:rPr>
                <w:rFonts w:hint="default" w:ascii="Times New Roman" w:hAnsi="Times New Roman" w:eastAsia="宋体" w:cs="Times New Roman"/>
                <w:color w:val="auto"/>
                <w:sz w:val="24"/>
                <w:szCs w:val="22"/>
                <w:highlight w:val="none"/>
                <w:lang w:val="en-US" w:eastAsia="zh-CN"/>
              </w:rPr>
              <w:t>收集</w:t>
            </w:r>
            <w:r>
              <w:rPr>
                <w:rFonts w:hint="eastAsia" w:ascii="Times New Roman" w:hAnsi="Times New Roman" w:eastAsia="宋体" w:cs="Times New Roman"/>
                <w:color w:val="auto"/>
                <w:sz w:val="24"/>
                <w:szCs w:val="22"/>
                <w:highlight w:val="none"/>
                <w:lang w:val="en-US" w:eastAsia="zh-CN"/>
              </w:rPr>
              <w:t>袋装储存于</w:t>
            </w:r>
            <w:r>
              <w:rPr>
                <w:rFonts w:hint="eastAsia" w:cs="Times New Roman"/>
                <w:color w:val="auto"/>
                <w:sz w:val="24"/>
                <w:szCs w:val="22"/>
                <w:highlight w:val="none"/>
                <w:lang w:val="en-US" w:eastAsia="zh-CN"/>
              </w:rPr>
              <w:t>灰渣暂存间临时堆放</w:t>
            </w:r>
            <w:r>
              <w:rPr>
                <w:rFonts w:hint="eastAsia"/>
                <w:bCs/>
                <w:color w:val="auto"/>
                <w:spacing w:val="0"/>
                <w:sz w:val="24"/>
                <w:highlight w:val="none"/>
                <w:lang w:val="en-US" w:eastAsia="zh-CN"/>
              </w:rPr>
              <w:t>，采用人工搬运装袋后的</w:t>
            </w:r>
            <w:r>
              <w:rPr>
                <w:rFonts w:hint="eastAsia" w:ascii="Times New Roman" w:hAnsi="Times New Roman" w:eastAsia="宋体" w:cs="Times New Roman"/>
                <w:color w:val="auto"/>
                <w:sz w:val="24"/>
                <w:highlight w:val="none"/>
                <w:lang w:val="en-US" w:eastAsia="zh-CN" w:bidi="ar"/>
              </w:rPr>
              <w:t>布袋除尘器收尘</w:t>
            </w:r>
            <w:r>
              <w:rPr>
                <w:rFonts w:hint="eastAsia"/>
                <w:bCs/>
                <w:color w:val="auto"/>
                <w:spacing w:val="0"/>
                <w:sz w:val="24"/>
                <w:highlight w:val="none"/>
                <w:lang w:val="en-US" w:eastAsia="zh-CN"/>
              </w:rPr>
              <w:t>，搬运过程中洒水抑尘，经厂区内道路外运运输车辆，</w:t>
            </w:r>
            <w:r>
              <w:rPr>
                <w:rFonts w:hint="eastAsia" w:cs="Times New Roman"/>
                <w:color w:val="auto"/>
                <w:sz w:val="24"/>
                <w:szCs w:val="24"/>
                <w:highlight w:val="none"/>
                <w:vertAlign w:val="baseline"/>
                <w:lang w:val="en-US" w:eastAsia="zh-CN"/>
              </w:rPr>
              <w:t>定期外售企业进行综合利用</w:t>
            </w:r>
            <w:r>
              <w:rPr>
                <w:rFonts w:hint="eastAsia" w:ascii="Times New Roman" w:hAnsi="Times New Roman" w:eastAsia="宋体" w:cs="Times New Roman"/>
                <w:color w:val="auto"/>
                <w:sz w:val="24"/>
                <w:szCs w:val="22"/>
                <w:highlight w:val="none"/>
                <w:lang w:val="en-US" w:eastAsia="zh-CN"/>
              </w:rPr>
              <w:t>。</w:t>
            </w:r>
          </w:p>
          <w:p w14:paraId="20046EC8">
            <w:pPr>
              <w:pStyle w:val="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宋体" w:cs="Times New Roman"/>
                <w:color w:val="auto"/>
                <w:sz w:val="24"/>
                <w:szCs w:val="22"/>
                <w:highlight w:val="none"/>
                <w:lang w:val="en-US" w:eastAsia="zh-CN"/>
              </w:rPr>
            </w:pPr>
            <w:r>
              <w:rPr>
                <w:rFonts w:hint="eastAsia" w:ascii="Times New Roman" w:hAnsi="Times New Roman" w:eastAsia="宋体" w:cs="Times New Roman"/>
                <w:color w:val="auto"/>
                <w:sz w:val="24"/>
                <w:szCs w:val="22"/>
                <w:highlight w:val="none"/>
                <w:lang w:val="en-US" w:eastAsia="zh-CN"/>
              </w:rPr>
              <w:t>（3）废弃除尘布袋</w:t>
            </w:r>
          </w:p>
          <w:p w14:paraId="6C2D0234">
            <w:pPr>
              <w:pStyle w:val="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b w:val="0"/>
                <w:bCs w:val="0"/>
                <w:color w:val="auto"/>
                <w:kern w:val="2"/>
                <w:sz w:val="24"/>
                <w:szCs w:val="24"/>
                <w:highlight w:val="none"/>
                <w:lang w:val="en-US" w:eastAsia="zh-CN" w:bidi="ar"/>
              </w:rPr>
            </w:pPr>
            <w:r>
              <w:rPr>
                <w:rFonts w:hint="eastAsia" w:eastAsia="宋体" w:cs="Times New Roman"/>
                <w:color w:val="auto"/>
                <w:sz w:val="24"/>
                <w:highlight w:val="none"/>
                <w:lang w:val="en-US" w:eastAsia="zh-CN" w:bidi="ar"/>
              </w:rPr>
              <w:t>项</w:t>
            </w:r>
            <w:r>
              <w:rPr>
                <w:rFonts w:hint="eastAsia" w:ascii="Times New Roman" w:hAnsi="Times New Roman" w:eastAsia="宋体" w:cs="Times New Roman"/>
                <w:color w:val="auto"/>
                <w:sz w:val="24"/>
                <w:highlight w:val="none"/>
                <w:lang w:val="en-US" w:eastAsia="zh-CN" w:bidi="ar"/>
              </w:rPr>
              <w:t>目废弃除尘布袋产生量约为0.1</w:t>
            </w:r>
            <w:r>
              <w:rPr>
                <w:rFonts w:hint="eastAsia" w:ascii="Times New Roman" w:hAnsi="Times New Roman" w:eastAsia="宋体" w:cs="Times New Roman"/>
                <w:color w:val="auto"/>
                <w:sz w:val="24"/>
                <w:szCs w:val="24"/>
                <w:highlight w:val="none"/>
                <w:lang w:val="en-US" w:eastAsia="zh-CN" w:bidi="ar"/>
              </w:rPr>
              <w:t>t/a，暂存于</w:t>
            </w:r>
            <w:r>
              <w:rPr>
                <w:rFonts w:hint="eastAsia" w:cs="Times New Roman"/>
                <w:color w:val="auto"/>
                <w:sz w:val="24"/>
                <w:szCs w:val="24"/>
                <w:highlight w:val="none"/>
                <w:lang w:val="en-US" w:eastAsia="zh-CN" w:bidi="ar"/>
              </w:rPr>
              <w:t>灰渣暂存间</w:t>
            </w:r>
            <w:r>
              <w:rPr>
                <w:rFonts w:hint="eastAsia" w:ascii="Times New Roman" w:hAnsi="Times New Roman" w:eastAsia="宋体" w:cs="Times New Roman"/>
                <w:color w:val="auto"/>
                <w:sz w:val="24"/>
                <w:szCs w:val="24"/>
                <w:highlight w:val="none"/>
                <w:lang w:val="en-US" w:eastAsia="zh-CN" w:bidi="ar"/>
              </w:rPr>
              <w:t>指定区域临时存放，定期委托具备处理能力单位回收处置。</w:t>
            </w:r>
            <w:r>
              <w:rPr>
                <w:rFonts w:hint="eastAsia" w:ascii="Times New Roman" w:hAnsi="Times New Roman" w:eastAsia="宋体" w:cs="Times New Roman"/>
                <w:color w:val="auto"/>
                <w:kern w:val="2"/>
                <w:sz w:val="24"/>
                <w:szCs w:val="24"/>
                <w:highlight w:val="none"/>
                <w:lang w:val="en-US" w:eastAsia="zh-CN" w:bidi="ar"/>
              </w:rPr>
              <w:t>属于SW59其他工业固体废物</w:t>
            </w:r>
            <w:r>
              <w:rPr>
                <w:rFonts w:hint="eastAsia" w:eastAsia="宋体" w:cs="Times New Roman"/>
                <w:color w:val="auto"/>
                <w:kern w:val="2"/>
                <w:sz w:val="24"/>
                <w:szCs w:val="24"/>
                <w:highlight w:val="none"/>
                <w:lang w:val="en-US" w:eastAsia="zh-CN" w:bidi="ar"/>
              </w:rPr>
              <w:t>，废物</w:t>
            </w:r>
            <w:r>
              <w:rPr>
                <w:rFonts w:hint="default" w:ascii="Times New Roman" w:hAnsi="Times New Roman" w:eastAsia="宋体" w:cs="Times New Roman"/>
                <w:b w:val="0"/>
                <w:bCs w:val="0"/>
                <w:color w:val="auto"/>
                <w:kern w:val="2"/>
                <w:sz w:val="24"/>
                <w:szCs w:val="24"/>
                <w:highlight w:val="none"/>
                <w:lang w:val="en-US" w:eastAsia="zh-CN" w:bidi="ar"/>
              </w:rPr>
              <w:t>代码900-099-S59。</w:t>
            </w:r>
          </w:p>
          <w:p w14:paraId="2D1F268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kern w:val="2"/>
                <w:sz w:val="24"/>
                <w:szCs w:val="24"/>
                <w:highlight w:val="none"/>
                <w:lang w:val="en-US" w:eastAsia="zh-CN" w:bidi="ar"/>
              </w:rPr>
            </w:pPr>
            <w:r>
              <w:rPr>
                <w:rFonts w:hint="default" w:ascii="Times New Roman" w:hAnsi="Times New Roman" w:eastAsia="宋体" w:cs="Times New Roman"/>
                <w:color w:val="auto"/>
                <w:kern w:val="2"/>
                <w:sz w:val="24"/>
                <w:szCs w:val="24"/>
                <w:highlight w:val="none"/>
                <w:lang w:val="en-US" w:eastAsia="zh-CN" w:bidi="ar"/>
              </w:rPr>
              <w:t>（</w:t>
            </w:r>
            <w:r>
              <w:rPr>
                <w:rFonts w:hint="eastAsia" w:ascii="Times New Roman" w:hAnsi="Times New Roman" w:eastAsia="宋体" w:cs="Times New Roman"/>
                <w:color w:val="auto"/>
                <w:kern w:val="2"/>
                <w:sz w:val="24"/>
                <w:szCs w:val="24"/>
                <w:highlight w:val="none"/>
                <w:lang w:val="en-US" w:eastAsia="zh-CN" w:bidi="ar"/>
              </w:rPr>
              <w:t>4</w:t>
            </w:r>
            <w:r>
              <w:rPr>
                <w:rFonts w:hint="default" w:ascii="Times New Roman" w:hAnsi="Times New Roman" w:eastAsia="宋体" w:cs="Times New Roman"/>
                <w:color w:val="auto"/>
                <w:kern w:val="2"/>
                <w:sz w:val="24"/>
                <w:szCs w:val="24"/>
                <w:highlight w:val="none"/>
                <w:lang w:val="en-US" w:eastAsia="zh-CN" w:bidi="ar"/>
              </w:rPr>
              <w:t>）</w:t>
            </w:r>
            <w:r>
              <w:rPr>
                <w:rFonts w:hint="eastAsia" w:ascii="Times New Roman" w:hAnsi="Times New Roman" w:eastAsia="宋体" w:cs="Times New Roman"/>
                <w:color w:val="auto"/>
                <w:kern w:val="2"/>
                <w:sz w:val="24"/>
                <w:szCs w:val="24"/>
                <w:highlight w:val="none"/>
                <w:lang w:val="en-US" w:eastAsia="zh-CN" w:bidi="ar"/>
              </w:rPr>
              <w:t>废弃包装物</w:t>
            </w:r>
          </w:p>
          <w:p w14:paraId="7E42E7FF">
            <w:pPr>
              <w:pStyle w:val="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宋体" w:cs="Times New Roman"/>
                <w:color w:val="auto"/>
                <w:kern w:val="2"/>
                <w:sz w:val="24"/>
                <w:szCs w:val="24"/>
                <w:highlight w:val="none"/>
                <w:lang w:val="en-US" w:eastAsia="zh-CN" w:bidi="ar"/>
              </w:rPr>
            </w:pPr>
            <w:r>
              <w:rPr>
                <w:rFonts w:hint="eastAsia" w:ascii="Times New Roman" w:hAnsi="Times New Roman" w:eastAsia="宋体" w:cs="Times New Roman"/>
                <w:color w:val="auto"/>
                <w:kern w:val="2"/>
                <w:sz w:val="24"/>
                <w:szCs w:val="24"/>
                <w:highlight w:val="none"/>
                <w:lang w:val="en-US" w:eastAsia="zh-CN" w:bidi="ar"/>
              </w:rPr>
              <w:t>外购燃料会产生一定废弃包装物，主要为废包装袋等，根据建设单位提供资料，废弃包装物产生量约为</w:t>
            </w:r>
            <w:r>
              <w:rPr>
                <w:rFonts w:hint="eastAsia" w:cs="Times New Roman"/>
                <w:color w:val="auto"/>
                <w:kern w:val="2"/>
                <w:sz w:val="24"/>
                <w:szCs w:val="24"/>
                <w:highlight w:val="none"/>
                <w:lang w:val="en-US" w:eastAsia="zh-CN" w:bidi="ar"/>
              </w:rPr>
              <w:t>1</w:t>
            </w:r>
            <w:r>
              <w:rPr>
                <w:rFonts w:hint="eastAsia" w:ascii="Times New Roman" w:hAnsi="Times New Roman" w:eastAsia="宋体" w:cs="Times New Roman"/>
                <w:color w:val="auto"/>
                <w:kern w:val="2"/>
                <w:sz w:val="24"/>
                <w:szCs w:val="24"/>
                <w:highlight w:val="none"/>
                <w:lang w:val="en-US" w:eastAsia="zh-CN" w:bidi="ar"/>
              </w:rPr>
              <w:t>t/a，暂存于</w:t>
            </w:r>
            <w:r>
              <w:rPr>
                <w:rFonts w:hint="eastAsia" w:cs="Times New Roman"/>
                <w:color w:val="auto"/>
                <w:kern w:val="2"/>
                <w:sz w:val="24"/>
                <w:szCs w:val="24"/>
                <w:highlight w:val="none"/>
                <w:lang w:val="en-US" w:eastAsia="zh-CN" w:bidi="ar"/>
              </w:rPr>
              <w:t>燃料贮存间</w:t>
            </w:r>
            <w:r>
              <w:rPr>
                <w:rFonts w:hint="eastAsia" w:ascii="Times New Roman" w:hAnsi="Times New Roman" w:eastAsia="宋体" w:cs="Times New Roman"/>
                <w:color w:val="auto"/>
                <w:kern w:val="2"/>
                <w:sz w:val="24"/>
                <w:szCs w:val="24"/>
                <w:highlight w:val="none"/>
                <w:lang w:val="en-US" w:eastAsia="zh-CN" w:bidi="ar"/>
              </w:rPr>
              <w:t>指定区域临时存放后，统一进行外售，属于“</w:t>
            </w:r>
            <w:r>
              <w:rPr>
                <w:rFonts w:hint="default" w:ascii="Times New Roman" w:hAnsi="Times New Roman" w:eastAsia="宋体" w:cs="Times New Roman"/>
                <w:color w:val="auto"/>
                <w:kern w:val="2"/>
                <w:sz w:val="24"/>
                <w:szCs w:val="24"/>
                <w:highlight w:val="none"/>
                <w:lang w:val="en-US" w:eastAsia="zh-CN" w:bidi="ar"/>
              </w:rPr>
              <w:t>SW17</w:t>
            </w:r>
            <w:r>
              <w:rPr>
                <w:rFonts w:hint="eastAsia" w:ascii="Times New Roman" w:hAnsi="Times New Roman" w:eastAsia="宋体" w:cs="Times New Roman"/>
                <w:color w:val="auto"/>
                <w:kern w:val="2"/>
                <w:sz w:val="24"/>
                <w:szCs w:val="24"/>
                <w:highlight w:val="none"/>
                <w:lang w:val="en-US" w:eastAsia="zh-CN" w:bidi="ar"/>
              </w:rPr>
              <w:t>可再生类废物”类别，代码为</w:t>
            </w:r>
            <w:r>
              <w:rPr>
                <w:rFonts w:hint="default" w:ascii="Times New Roman" w:hAnsi="Times New Roman" w:eastAsia="宋体" w:cs="Times New Roman"/>
                <w:color w:val="auto"/>
                <w:kern w:val="2"/>
                <w:sz w:val="24"/>
                <w:szCs w:val="24"/>
                <w:highlight w:val="none"/>
                <w:lang w:val="en-US" w:eastAsia="zh-CN" w:bidi="ar"/>
              </w:rPr>
              <w:t>900-005-S17</w:t>
            </w:r>
            <w:r>
              <w:rPr>
                <w:rFonts w:hint="eastAsia" w:ascii="Times New Roman" w:hAnsi="Times New Roman" w:eastAsia="宋体" w:cs="Times New Roman"/>
                <w:color w:val="auto"/>
                <w:kern w:val="2"/>
                <w:sz w:val="24"/>
                <w:szCs w:val="24"/>
                <w:highlight w:val="none"/>
                <w:lang w:val="en-US" w:eastAsia="zh-CN" w:bidi="ar"/>
              </w:rPr>
              <w:t>。</w:t>
            </w:r>
          </w:p>
          <w:p w14:paraId="4AF72A6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kern w:val="2"/>
                <w:sz w:val="24"/>
                <w:szCs w:val="24"/>
                <w:highlight w:val="none"/>
                <w:lang w:val="en-US" w:eastAsia="zh-CN" w:bidi="ar"/>
              </w:rPr>
            </w:pPr>
            <w:r>
              <w:rPr>
                <w:rFonts w:hint="eastAsia" w:cs="Times New Roman"/>
                <w:color w:val="auto"/>
                <w:kern w:val="2"/>
                <w:sz w:val="24"/>
                <w:szCs w:val="24"/>
                <w:highlight w:val="none"/>
                <w:lang w:val="en-US" w:eastAsia="zh-CN" w:bidi="ar"/>
              </w:rPr>
              <w:t>（5）</w:t>
            </w:r>
            <w:r>
              <w:rPr>
                <w:rFonts w:hint="eastAsia" w:ascii="Times New Roman" w:hAnsi="Times New Roman" w:eastAsia="宋体" w:cs="Times New Roman"/>
                <w:color w:val="auto"/>
                <w:kern w:val="2"/>
                <w:sz w:val="24"/>
                <w:szCs w:val="24"/>
                <w:highlight w:val="none"/>
                <w:lang w:val="en-US" w:eastAsia="zh-CN" w:bidi="ar"/>
              </w:rPr>
              <w:t>废弃离子交换树脂</w:t>
            </w:r>
          </w:p>
          <w:p w14:paraId="592D025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kern w:val="2"/>
                <w:sz w:val="24"/>
                <w:szCs w:val="24"/>
                <w:highlight w:val="none"/>
                <w:lang w:val="en-US" w:eastAsia="zh-CN" w:bidi="ar"/>
              </w:rPr>
            </w:pPr>
            <w:r>
              <w:rPr>
                <w:rFonts w:hint="eastAsia" w:ascii="Times New Roman" w:hAnsi="Times New Roman" w:eastAsia="宋体" w:cs="Times New Roman"/>
                <w:color w:val="auto"/>
                <w:kern w:val="2"/>
                <w:sz w:val="24"/>
                <w:szCs w:val="24"/>
                <w:highlight w:val="none"/>
                <w:lang w:val="en-US" w:eastAsia="zh-CN" w:bidi="ar"/>
              </w:rPr>
              <w:t>项目全自动软化水装置内离子交换树脂每3年进行一次更换，每次更换会产生废弃离子交换树脂0.1t，即0.1t/3a，不在厂区内暂存，</w:t>
            </w:r>
            <w:r>
              <w:rPr>
                <w:rFonts w:hint="eastAsia" w:cs="Times New Roman"/>
                <w:color w:val="auto"/>
                <w:kern w:val="2"/>
                <w:sz w:val="24"/>
                <w:szCs w:val="24"/>
                <w:highlight w:val="none"/>
                <w:lang w:val="en-US" w:eastAsia="zh-CN" w:bidi="ar"/>
              </w:rPr>
              <w:t>更换后由厂家回收</w:t>
            </w:r>
            <w:r>
              <w:rPr>
                <w:rFonts w:hint="eastAsia" w:ascii="Times New Roman" w:hAnsi="Times New Roman" w:eastAsia="宋体" w:cs="Times New Roman"/>
                <w:color w:val="auto"/>
                <w:kern w:val="2"/>
                <w:sz w:val="24"/>
                <w:szCs w:val="24"/>
                <w:highlight w:val="none"/>
                <w:lang w:val="en-US" w:eastAsia="zh-CN" w:bidi="ar"/>
              </w:rPr>
              <w:t>处置。</w:t>
            </w:r>
          </w:p>
          <w:p w14:paraId="403DF46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表4-</w:t>
            </w:r>
            <w:r>
              <w:rPr>
                <w:rFonts w:hint="eastAsia" w:cs="Times New Roman"/>
                <w:b/>
                <w:bCs/>
                <w:color w:val="auto"/>
                <w:sz w:val="21"/>
                <w:szCs w:val="21"/>
                <w:highlight w:val="none"/>
                <w:lang w:val="en-US" w:eastAsia="zh-CN"/>
              </w:rPr>
              <w:t>19</w:t>
            </w:r>
            <w:r>
              <w:rPr>
                <w:rFonts w:hint="default" w:ascii="Times New Roman" w:hAnsi="Times New Roman" w:eastAsia="宋体" w:cs="Times New Roman"/>
                <w:b/>
                <w:bCs/>
                <w:color w:val="auto"/>
                <w:sz w:val="21"/>
                <w:szCs w:val="21"/>
                <w:highlight w:val="none"/>
                <w:lang w:val="en-US" w:eastAsia="zh-CN"/>
              </w:rPr>
              <w:t xml:space="preserve">  固体废物产生情况一览表</w:t>
            </w:r>
          </w:p>
          <w:tbl>
            <w:tblPr>
              <w:tblStyle w:val="20"/>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4"/>
              <w:gridCol w:w="568"/>
              <w:gridCol w:w="806"/>
              <w:gridCol w:w="655"/>
              <w:gridCol w:w="1085"/>
              <w:gridCol w:w="870"/>
              <w:gridCol w:w="1710"/>
              <w:gridCol w:w="851"/>
              <w:gridCol w:w="1477"/>
            </w:tblGrid>
            <w:tr w14:paraId="0A70C90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4" w:type="dxa"/>
                  <w:vMerge w:val="restart"/>
                  <w:tcBorders>
                    <w:tl2br w:val="nil"/>
                    <w:tr2bl w:val="nil"/>
                  </w:tcBorders>
                  <w:noWrap w:val="0"/>
                  <w:vAlign w:val="center"/>
                </w:tcPr>
                <w:p w14:paraId="51F26EFC">
                  <w:pPr>
                    <w:widowControl/>
                    <w:adjustRightInd w:val="0"/>
                    <w:snapToGrid w:val="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工序</w:t>
                  </w:r>
                </w:p>
              </w:tc>
              <w:tc>
                <w:tcPr>
                  <w:tcW w:w="1374" w:type="dxa"/>
                  <w:gridSpan w:val="2"/>
                  <w:vMerge w:val="restart"/>
                  <w:tcBorders>
                    <w:tl2br w:val="nil"/>
                    <w:tr2bl w:val="nil"/>
                  </w:tcBorders>
                  <w:noWrap w:val="0"/>
                  <w:vAlign w:val="center"/>
                </w:tcPr>
                <w:p w14:paraId="5FFE5FEE">
                  <w:pPr>
                    <w:widowControl/>
                    <w:adjustRightInd w:val="0"/>
                    <w:snapToGrid w:val="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固体废物名称</w:t>
                  </w:r>
                </w:p>
              </w:tc>
              <w:tc>
                <w:tcPr>
                  <w:tcW w:w="655" w:type="dxa"/>
                  <w:vMerge w:val="restart"/>
                  <w:tcBorders>
                    <w:tl2br w:val="nil"/>
                    <w:tr2bl w:val="nil"/>
                  </w:tcBorders>
                  <w:noWrap w:val="0"/>
                  <w:vAlign w:val="center"/>
                </w:tcPr>
                <w:p w14:paraId="7E365FE1">
                  <w:pPr>
                    <w:widowControl/>
                    <w:adjustRightInd w:val="0"/>
                    <w:snapToGrid w:val="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固废属性</w:t>
                  </w:r>
                </w:p>
              </w:tc>
              <w:tc>
                <w:tcPr>
                  <w:tcW w:w="1085" w:type="dxa"/>
                  <w:vMerge w:val="restart"/>
                  <w:tcBorders>
                    <w:tl2br w:val="nil"/>
                    <w:tr2bl w:val="nil"/>
                  </w:tcBorders>
                  <w:noWrap w:val="0"/>
                  <w:vAlign w:val="center"/>
                </w:tcPr>
                <w:p w14:paraId="1D3CA854">
                  <w:pPr>
                    <w:widowControl/>
                    <w:adjustRightInd w:val="0"/>
                    <w:snapToGrid w:val="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sz w:val="21"/>
                      <w:szCs w:val="21"/>
                      <w:highlight w:val="none"/>
                    </w:rPr>
                    <w:t>固体废物分类与代码</w:t>
                  </w:r>
                </w:p>
              </w:tc>
              <w:tc>
                <w:tcPr>
                  <w:tcW w:w="870" w:type="dxa"/>
                  <w:vMerge w:val="restart"/>
                  <w:tcBorders>
                    <w:tl2br w:val="nil"/>
                    <w:tr2bl w:val="nil"/>
                  </w:tcBorders>
                  <w:noWrap w:val="0"/>
                  <w:vAlign w:val="center"/>
                </w:tcPr>
                <w:p w14:paraId="5E413273">
                  <w:pPr>
                    <w:widowControl/>
                    <w:adjustRightInd w:val="0"/>
                    <w:snapToGrid w:val="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产生量</w:t>
                  </w:r>
                </w:p>
                <w:p w14:paraId="24440141">
                  <w:pPr>
                    <w:widowControl/>
                    <w:adjustRightInd w:val="0"/>
                    <w:snapToGrid w:val="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（t/a）</w:t>
                  </w:r>
                </w:p>
              </w:tc>
              <w:tc>
                <w:tcPr>
                  <w:tcW w:w="2561" w:type="dxa"/>
                  <w:gridSpan w:val="2"/>
                  <w:tcBorders>
                    <w:tl2br w:val="nil"/>
                    <w:tr2bl w:val="nil"/>
                  </w:tcBorders>
                  <w:noWrap w:val="0"/>
                  <w:vAlign w:val="center"/>
                </w:tcPr>
                <w:p w14:paraId="4695AEA7">
                  <w:pPr>
                    <w:widowControl/>
                    <w:adjustRightInd w:val="0"/>
                    <w:snapToGrid w:val="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处置措施</w:t>
                  </w:r>
                </w:p>
              </w:tc>
              <w:tc>
                <w:tcPr>
                  <w:tcW w:w="1477" w:type="dxa"/>
                  <w:vMerge w:val="restart"/>
                  <w:tcBorders>
                    <w:tl2br w:val="nil"/>
                    <w:tr2bl w:val="nil"/>
                  </w:tcBorders>
                  <w:noWrap w:val="0"/>
                  <w:vAlign w:val="center"/>
                </w:tcPr>
                <w:p w14:paraId="6360F46F">
                  <w:pPr>
                    <w:widowControl/>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b/>
                      <w:bCs/>
                      <w:color w:val="auto"/>
                      <w:kern w:val="0"/>
                      <w:sz w:val="21"/>
                      <w:szCs w:val="21"/>
                      <w:highlight w:val="none"/>
                    </w:rPr>
                    <w:t>最终去向</w:t>
                  </w:r>
                </w:p>
              </w:tc>
            </w:tr>
            <w:tr w14:paraId="501E80A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4" w:type="dxa"/>
                  <w:vMerge w:val="continue"/>
                  <w:tcBorders>
                    <w:tl2br w:val="nil"/>
                    <w:tr2bl w:val="nil"/>
                  </w:tcBorders>
                  <w:noWrap w:val="0"/>
                  <w:vAlign w:val="center"/>
                </w:tcPr>
                <w:p w14:paraId="78AE0086">
                  <w:pPr>
                    <w:widowControl/>
                    <w:adjustRightInd w:val="0"/>
                    <w:snapToGrid w:val="0"/>
                    <w:jc w:val="center"/>
                    <w:rPr>
                      <w:rFonts w:hint="default" w:ascii="Times New Roman" w:hAnsi="Times New Roman" w:cs="Times New Roman"/>
                      <w:b/>
                      <w:bCs/>
                      <w:color w:val="auto"/>
                      <w:kern w:val="0"/>
                      <w:sz w:val="21"/>
                      <w:szCs w:val="21"/>
                      <w:highlight w:val="none"/>
                    </w:rPr>
                  </w:pPr>
                </w:p>
              </w:tc>
              <w:tc>
                <w:tcPr>
                  <w:tcW w:w="1374" w:type="dxa"/>
                  <w:gridSpan w:val="2"/>
                  <w:vMerge w:val="continue"/>
                  <w:tcBorders>
                    <w:tl2br w:val="nil"/>
                    <w:tr2bl w:val="nil"/>
                  </w:tcBorders>
                  <w:noWrap w:val="0"/>
                  <w:vAlign w:val="center"/>
                </w:tcPr>
                <w:p w14:paraId="55D1BD52">
                  <w:pPr>
                    <w:widowControl/>
                    <w:adjustRightInd w:val="0"/>
                    <w:snapToGrid w:val="0"/>
                    <w:jc w:val="center"/>
                    <w:rPr>
                      <w:rFonts w:hint="default" w:ascii="Times New Roman" w:hAnsi="Times New Roman" w:cs="Times New Roman"/>
                      <w:b/>
                      <w:bCs/>
                      <w:color w:val="auto"/>
                      <w:kern w:val="0"/>
                      <w:sz w:val="21"/>
                      <w:szCs w:val="21"/>
                      <w:highlight w:val="none"/>
                    </w:rPr>
                  </w:pPr>
                </w:p>
              </w:tc>
              <w:tc>
                <w:tcPr>
                  <w:tcW w:w="655" w:type="dxa"/>
                  <w:vMerge w:val="continue"/>
                  <w:tcBorders>
                    <w:tl2br w:val="nil"/>
                    <w:tr2bl w:val="nil"/>
                  </w:tcBorders>
                  <w:noWrap w:val="0"/>
                  <w:vAlign w:val="center"/>
                </w:tcPr>
                <w:p w14:paraId="4D3E0BF4">
                  <w:pPr>
                    <w:widowControl/>
                    <w:adjustRightInd w:val="0"/>
                    <w:snapToGrid w:val="0"/>
                    <w:jc w:val="center"/>
                    <w:rPr>
                      <w:rFonts w:hint="default" w:ascii="Times New Roman" w:hAnsi="Times New Roman" w:cs="Times New Roman"/>
                      <w:b/>
                      <w:bCs/>
                      <w:color w:val="auto"/>
                      <w:kern w:val="0"/>
                      <w:sz w:val="21"/>
                      <w:szCs w:val="21"/>
                      <w:highlight w:val="none"/>
                    </w:rPr>
                  </w:pPr>
                </w:p>
              </w:tc>
              <w:tc>
                <w:tcPr>
                  <w:tcW w:w="1085" w:type="dxa"/>
                  <w:vMerge w:val="continue"/>
                  <w:tcBorders>
                    <w:tl2br w:val="nil"/>
                    <w:tr2bl w:val="nil"/>
                  </w:tcBorders>
                  <w:noWrap w:val="0"/>
                  <w:vAlign w:val="center"/>
                </w:tcPr>
                <w:p w14:paraId="73C02C2F">
                  <w:pPr>
                    <w:widowControl/>
                    <w:adjustRightInd w:val="0"/>
                    <w:snapToGrid w:val="0"/>
                    <w:jc w:val="center"/>
                    <w:rPr>
                      <w:rFonts w:hint="default" w:ascii="Times New Roman" w:hAnsi="Times New Roman" w:cs="Times New Roman"/>
                      <w:b/>
                      <w:bCs/>
                      <w:color w:val="auto"/>
                      <w:kern w:val="0"/>
                      <w:sz w:val="21"/>
                      <w:szCs w:val="21"/>
                      <w:highlight w:val="none"/>
                    </w:rPr>
                  </w:pPr>
                </w:p>
              </w:tc>
              <w:tc>
                <w:tcPr>
                  <w:tcW w:w="870" w:type="dxa"/>
                  <w:vMerge w:val="continue"/>
                  <w:tcBorders>
                    <w:tl2br w:val="nil"/>
                    <w:tr2bl w:val="nil"/>
                  </w:tcBorders>
                  <w:noWrap w:val="0"/>
                  <w:vAlign w:val="center"/>
                </w:tcPr>
                <w:p w14:paraId="276F8464">
                  <w:pPr>
                    <w:widowControl/>
                    <w:adjustRightInd w:val="0"/>
                    <w:snapToGrid w:val="0"/>
                    <w:jc w:val="center"/>
                    <w:rPr>
                      <w:rFonts w:hint="default" w:ascii="Times New Roman" w:hAnsi="Times New Roman" w:cs="Times New Roman"/>
                      <w:b/>
                      <w:bCs/>
                      <w:color w:val="auto"/>
                      <w:kern w:val="0"/>
                      <w:sz w:val="21"/>
                      <w:szCs w:val="21"/>
                      <w:highlight w:val="none"/>
                    </w:rPr>
                  </w:pPr>
                </w:p>
              </w:tc>
              <w:tc>
                <w:tcPr>
                  <w:tcW w:w="1710" w:type="dxa"/>
                  <w:tcBorders>
                    <w:tl2br w:val="nil"/>
                    <w:tr2bl w:val="nil"/>
                  </w:tcBorders>
                  <w:noWrap w:val="0"/>
                  <w:vAlign w:val="center"/>
                </w:tcPr>
                <w:p w14:paraId="425D6074">
                  <w:pPr>
                    <w:widowControl/>
                    <w:adjustRightInd w:val="0"/>
                    <w:snapToGrid w:val="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工艺</w:t>
                  </w:r>
                </w:p>
              </w:tc>
              <w:tc>
                <w:tcPr>
                  <w:tcW w:w="851" w:type="dxa"/>
                  <w:tcBorders>
                    <w:tl2br w:val="nil"/>
                    <w:tr2bl w:val="nil"/>
                  </w:tcBorders>
                  <w:noWrap w:val="0"/>
                  <w:vAlign w:val="center"/>
                </w:tcPr>
                <w:p w14:paraId="402B64B6">
                  <w:pPr>
                    <w:widowControl/>
                    <w:adjustRightInd w:val="0"/>
                    <w:snapToGrid w:val="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处置量（t/a）</w:t>
                  </w:r>
                </w:p>
              </w:tc>
              <w:tc>
                <w:tcPr>
                  <w:tcW w:w="1477" w:type="dxa"/>
                  <w:vMerge w:val="continue"/>
                  <w:tcBorders>
                    <w:tl2br w:val="nil"/>
                    <w:tr2bl w:val="nil"/>
                  </w:tcBorders>
                  <w:noWrap w:val="0"/>
                  <w:vAlign w:val="center"/>
                </w:tcPr>
                <w:p w14:paraId="576EB7FD">
                  <w:pPr>
                    <w:widowControl/>
                    <w:adjustRightInd w:val="0"/>
                    <w:snapToGrid w:val="0"/>
                    <w:jc w:val="center"/>
                    <w:rPr>
                      <w:rFonts w:hint="default" w:ascii="Times New Roman" w:hAnsi="Times New Roman" w:cs="Times New Roman"/>
                      <w:color w:val="auto"/>
                      <w:kern w:val="0"/>
                      <w:sz w:val="21"/>
                      <w:szCs w:val="21"/>
                      <w:highlight w:val="none"/>
                    </w:rPr>
                  </w:pPr>
                </w:p>
              </w:tc>
            </w:tr>
            <w:tr w14:paraId="0FB81FD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74" w:type="dxa"/>
                  <w:tcBorders>
                    <w:tl2br w:val="nil"/>
                    <w:tr2bl w:val="nil"/>
                  </w:tcBorders>
                  <w:noWrap w:val="0"/>
                  <w:vAlign w:val="center"/>
                </w:tcPr>
                <w:p w14:paraId="6C8572AF">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办公生活</w:t>
                  </w:r>
                </w:p>
              </w:tc>
              <w:tc>
                <w:tcPr>
                  <w:tcW w:w="1374" w:type="dxa"/>
                  <w:gridSpan w:val="2"/>
                  <w:tcBorders>
                    <w:tl2br w:val="nil"/>
                    <w:tr2bl w:val="nil"/>
                  </w:tcBorders>
                  <w:noWrap w:val="0"/>
                  <w:vAlign w:val="center"/>
                </w:tcPr>
                <w:p w14:paraId="23851E0F">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生活垃圾</w:t>
                  </w:r>
                </w:p>
              </w:tc>
              <w:tc>
                <w:tcPr>
                  <w:tcW w:w="655" w:type="dxa"/>
                  <w:tcBorders>
                    <w:tl2br w:val="nil"/>
                    <w:tr2bl w:val="nil"/>
                  </w:tcBorders>
                  <w:noWrap w:val="0"/>
                  <w:vAlign w:val="center"/>
                </w:tcPr>
                <w:p w14:paraId="2456974D">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生活垃圾</w:t>
                  </w:r>
                </w:p>
              </w:tc>
              <w:tc>
                <w:tcPr>
                  <w:tcW w:w="1085" w:type="dxa"/>
                  <w:tcBorders>
                    <w:tl2br w:val="nil"/>
                    <w:tr2bl w:val="nil"/>
                  </w:tcBorders>
                  <w:noWrap w:val="0"/>
                  <w:vAlign w:val="center"/>
                </w:tcPr>
                <w:p w14:paraId="563E8D87">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900-099-S64</w:t>
                  </w:r>
                </w:p>
              </w:tc>
              <w:tc>
                <w:tcPr>
                  <w:tcW w:w="870" w:type="dxa"/>
                  <w:tcBorders>
                    <w:tl2br w:val="nil"/>
                    <w:tr2bl w:val="nil"/>
                  </w:tcBorders>
                  <w:noWrap w:val="0"/>
                  <w:vAlign w:val="center"/>
                </w:tcPr>
                <w:p w14:paraId="5A631E51">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0.128</w:t>
                  </w:r>
                </w:p>
              </w:tc>
              <w:tc>
                <w:tcPr>
                  <w:tcW w:w="1710" w:type="dxa"/>
                  <w:tcBorders>
                    <w:tl2br w:val="nil"/>
                    <w:tr2bl w:val="nil"/>
                  </w:tcBorders>
                  <w:noWrap w:val="0"/>
                  <w:vAlign w:val="center"/>
                </w:tcPr>
                <w:p w14:paraId="4D6F760B">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垃圾桶分类收集后</w:t>
                  </w:r>
                </w:p>
              </w:tc>
              <w:tc>
                <w:tcPr>
                  <w:tcW w:w="851" w:type="dxa"/>
                  <w:tcBorders>
                    <w:tl2br w:val="nil"/>
                    <w:tr2bl w:val="nil"/>
                  </w:tcBorders>
                  <w:noWrap w:val="0"/>
                  <w:vAlign w:val="center"/>
                </w:tcPr>
                <w:p w14:paraId="788B23CC">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0.128</w:t>
                  </w:r>
                </w:p>
              </w:tc>
              <w:tc>
                <w:tcPr>
                  <w:tcW w:w="1477" w:type="dxa"/>
                  <w:tcBorders>
                    <w:tl2br w:val="nil"/>
                    <w:tr2bl w:val="nil"/>
                  </w:tcBorders>
                  <w:noWrap w:val="0"/>
                  <w:vAlign w:val="center"/>
                </w:tcPr>
                <w:p w14:paraId="4889FBB4">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市政环卫部门统一清运处理。</w:t>
                  </w:r>
                </w:p>
              </w:tc>
            </w:tr>
            <w:tr w14:paraId="716AD5C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tcBorders>
                    <w:tl2br w:val="nil"/>
                    <w:tr2bl w:val="nil"/>
                  </w:tcBorders>
                  <w:noWrap w:val="0"/>
                  <w:vAlign w:val="center"/>
                </w:tcPr>
                <w:p w14:paraId="70C3BAED">
                  <w:pPr>
                    <w:widowControl/>
                    <w:adjustRightInd w:val="0"/>
                    <w:snapToGrid w:val="0"/>
                    <w:jc w:val="center"/>
                    <w:rPr>
                      <w:rFonts w:hint="default" w:ascii="Times New Roman" w:hAnsi="Times New Roman" w:cs="Times New Roman"/>
                      <w:color w:val="auto"/>
                      <w:sz w:val="21"/>
                      <w:szCs w:val="21"/>
                      <w:highlight w:val="none"/>
                      <w:lang w:val="en-US" w:eastAsia="zh-CN" w:bidi="ar"/>
                    </w:rPr>
                  </w:pPr>
                  <w:r>
                    <w:rPr>
                      <w:rFonts w:hint="eastAsia" w:ascii="Times New Roman" w:hAnsi="Times New Roman" w:cs="Times New Roman"/>
                      <w:color w:val="auto"/>
                      <w:sz w:val="21"/>
                      <w:szCs w:val="21"/>
                      <w:highlight w:val="none"/>
                      <w:lang w:val="en-US" w:eastAsia="zh-CN" w:bidi="ar"/>
                    </w:rPr>
                    <w:t>废气处理</w:t>
                  </w:r>
                </w:p>
              </w:tc>
              <w:tc>
                <w:tcPr>
                  <w:tcW w:w="1374" w:type="dxa"/>
                  <w:gridSpan w:val="2"/>
                  <w:tcBorders>
                    <w:tl2br w:val="nil"/>
                    <w:tr2bl w:val="nil"/>
                  </w:tcBorders>
                  <w:noWrap w:val="0"/>
                  <w:vAlign w:val="center"/>
                </w:tcPr>
                <w:p w14:paraId="7B628377">
                  <w:pPr>
                    <w:widowControl/>
                    <w:adjustRightInd w:val="0"/>
                    <w:snapToGrid w:val="0"/>
                    <w:jc w:val="center"/>
                    <w:rPr>
                      <w:rFonts w:hint="eastAsia" w:ascii="Times New Roman" w:hAnsi="Times New Roman" w:cs="Times New Roman"/>
                      <w:color w:val="auto"/>
                      <w:sz w:val="21"/>
                      <w:szCs w:val="21"/>
                      <w:highlight w:val="none"/>
                      <w:lang w:val="en-US" w:eastAsia="zh-CN" w:bidi="ar"/>
                    </w:rPr>
                  </w:pPr>
                  <w:r>
                    <w:rPr>
                      <w:rFonts w:hint="default" w:ascii="Times New Roman" w:hAnsi="Times New Roman" w:cs="Times New Roman"/>
                      <w:color w:val="auto"/>
                      <w:sz w:val="21"/>
                      <w:szCs w:val="21"/>
                      <w:highlight w:val="none"/>
                      <w:lang w:val="en-US" w:eastAsia="zh-CN" w:bidi="ar"/>
                    </w:rPr>
                    <w:t>废弃除尘布袋</w:t>
                  </w:r>
                </w:p>
              </w:tc>
              <w:tc>
                <w:tcPr>
                  <w:tcW w:w="655" w:type="dxa"/>
                  <w:tcBorders>
                    <w:tl2br w:val="nil"/>
                    <w:tr2bl w:val="nil"/>
                  </w:tcBorders>
                  <w:noWrap w:val="0"/>
                  <w:vAlign w:val="center"/>
                </w:tcPr>
                <w:p w14:paraId="16DDDD27">
                  <w:pPr>
                    <w:widowControl/>
                    <w:adjustRightInd w:val="0"/>
                    <w:snapToGrid w:val="0"/>
                    <w:jc w:val="center"/>
                    <w:rPr>
                      <w:rFonts w:hint="default" w:ascii="Times New Roman" w:hAnsi="Times New Roman" w:cs="Times New Roman"/>
                      <w:color w:val="auto"/>
                      <w:sz w:val="21"/>
                      <w:szCs w:val="21"/>
                      <w:highlight w:val="none"/>
                      <w:lang w:val="en-US" w:eastAsia="zh-CN" w:bidi="ar"/>
                    </w:rPr>
                  </w:pPr>
                  <w:r>
                    <w:rPr>
                      <w:rFonts w:hint="eastAsia" w:ascii="Times New Roman" w:hAnsi="Times New Roman" w:cs="Times New Roman"/>
                      <w:color w:val="auto"/>
                      <w:sz w:val="21"/>
                      <w:szCs w:val="21"/>
                      <w:highlight w:val="none"/>
                      <w:lang w:val="en-US" w:eastAsia="zh-CN" w:bidi="ar"/>
                    </w:rPr>
                    <w:t>一般工业固废</w:t>
                  </w:r>
                </w:p>
              </w:tc>
              <w:tc>
                <w:tcPr>
                  <w:tcW w:w="1085" w:type="dxa"/>
                  <w:tcBorders>
                    <w:tl2br w:val="nil"/>
                    <w:tr2bl w:val="nil"/>
                  </w:tcBorders>
                  <w:noWrap w:val="0"/>
                  <w:vAlign w:val="center"/>
                </w:tcPr>
                <w:p w14:paraId="5C2041A2">
                  <w:pPr>
                    <w:widowControl/>
                    <w:adjustRightInd w:val="0"/>
                    <w:snapToGrid w:val="0"/>
                    <w:jc w:val="center"/>
                    <w:rPr>
                      <w:rFonts w:hint="default" w:ascii="Times New Roman" w:hAnsi="Times New Roman" w:cs="Times New Roman"/>
                      <w:color w:val="auto"/>
                      <w:sz w:val="21"/>
                      <w:szCs w:val="21"/>
                      <w:highlight w:val="none"/>
                      <w:lang w:val="en-US" w:eastAsia="zh-CN" w:bidi="ar"/>
                    </w:rPr>
                  </w:pPr>
                  <w:r>
                    <w:rPr>
                      <w:rFonts w:hint="default" w:ascii="Times New Roman" w:hAnsi="Times New Roman" w:cs="Times New Roman"/>
                      <w:color w:val="auto"/>
                      <w:sz w:val="21"/>
                      <w:szCs w:val="21"/>
                      <w:highlight w:val="none"/>
                      <w:lang w:val="en-US" w:eastAsia="zh-CN" w:bidi="ar"/>
                    </w:rPr>
                    <w:t>900-099-S59</w:t>
                  </w:r>
                </w:p>
              </w:tc>
              <w:tc>
                <w:tcPr>
                  <w:tcW w:w="870" w:type="dxa"/>
                  <w:tcBorders>
                    <w:tl2br w:val="nil"/>
                    <w:tr2bl w:val="nil"/>
                  </w:tcBorders>
                  <w:noWrap w:val="0"/>
                  <w:vAlign w:val="center"/>
                </w:tcPr>
                <w:p w14:paraId="6921B3D1">
                  <w:pPr>
                    <w:widowControl/>
                    <w:adjustRightInd w:val="0"/>
                    <w:snapToGrid w:val="0"/>
                    <w:jc w:val="center"/>
                    <w:rPr>
                      <w:rFonts w:hint="default" w:ascii="Times New Roman" w:hAnsi="Times New Roman" w:cs="Times New Roman"/>
                      <w:color w:val="auto"/>
                      <w:sz w:val="21"/>
                      <w:szCs w:val="21"/>
                      <w:highlight w:val="none"/>
                      <w:lang w:val="en-US" w:eastAsia="zh-CN" w:bidi="ar"/>
                    </w:rPr>
                  </w:pPr>
                  <w:r>
                    <w:rPr>
                      <w:rFonts w:hint="eastAsia" w:ascii="Times New Roman" w:hAnsi="Times New Roman" w:cs="Times New Roman"/>
                      <w:color w:val="auto"/>
                      <w:sz w:val="21"/>
                      <w:szCs w:val="21"/>
                      <w:highlight w:val="none"/>
                      <w:lang w:val="en-US" w:eastAsia="zh-CN" w:bidi="ar"/>
                    </w:rPr>
                    <w:t>0.1</w:t>
                  </w:r>
                </w:p>
              </w:tc>
              <w:tc>
                <w:tcPr>
                  <w:tcW w:w="1710" w:type="dxa"/>
                  <w:tcBorders>
                    <w:tl2br w:val="nil"/>
                    <w:tr2bl w:val="nil"/>
                  </w:tcBorders>
                  <w:noWrap w:val="0"/>
                  <w:vAlign w:val="center"/>
                </w:tcPr>
                <w:p w14:paraId="6FDE234D">
                  <w:pPr>
                    <w:widowControl/>
                    <w:adjustRightInd w:val="0"/>
                    <w:snapToGrid w:val="0"/>
                    <w:jc w:val="center"/>
                    <w:rPr>
                      <w:rFonts w:hint="default" w:ascii="Times New Roman" w:hAnsi="Times New Roman"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暂存于</w:t>
                  </w:r>
                  <w:r>
                    <w:rPr>
                      <w:rFonts w:hint="eastAsia" w:cs="Times New Roman"/>
                      <w:color w:val="auto"/>
                      <w:sz w:val="21"/>
                      <w:szCs w:val="21"/>
                      <w:highlight w:val="none"/>
                      <w:lang w:val="en-US" w:eastAsia="zh-CN" w:bidi="ar"/>
                    </w:rPr>
                    <w:t>灰渣暂存间</w:t>
                  </w:r>
                  <w:r>
                    <w:rPr>
                      <w:rFonts w:hint="eastAsia" w:ascii="Times New Roman" w:hAnsi="Times New Roman" w:eastAsia="宋体" w:cs="Times New Roman"/>
                      <w:color w:val="auto"/>
                      <w:sz w:val="21"/>
                      <w:szCs w:val="21"/>
                      <w:highlight w:val="none"/>
                      <w:lang w:val="en-US" w:eastAsia="zh-CN" w:bidi="ar"/>
                    </w:rPr>
                    <w:t>指定区域临时存放</w:t>
                  </w:r>
                </w:p>
              </w:tc>
              <w:tc>
                <w:tcPr>
                  <w:tcW w:w="851" w:type="dxa"/>
                  <w:tcBorders>
                    <w:tl2br w:val="nil"/>
                    <w:tr2bl w:val="nil"/>
                  </w:tcBorders>
                  <w:noWrap w:val="0"/>
                  <w:vAlign w:val="center"/>
                </w:tcPr>
                <w:p w14:paraId="438849EE">
                  <w:pPr>
                    <w:widowControl/>
                    <w:adjustRightInd w:val="0"/>
                    <w:snapToGrid w:val="0"/>
                    <w:jc w:val="center"/>
                    <w:rPr>
                      <w:rFonts w:hint="default" w:ascii="Times New Roman" w:hAnsi="Times New Roman" w:cs="Times New Roman"/>
                      <w:color w:val="auto"/>
                      <w:sz w:val="21"/>
                      <w:szCs w:val="21"/>
                      <w:highlight w:val="none"/>
                      <w:lang w:val="en-US" w:eastAsia="zh-CN" w:bidi="ar"/>
                    </w:rPr>
                  </w:pPr>
                  <w:r>
                    <w:rPr>
                      <w:rFonts w:hint="eastAsia" w:cs="Times New Roman"/>
                      <w:color w:val="auto"/>
                      <w:sz w:val="21"/>
                      <w:szCs w:val="21"/>
                      <w:highlight w:val="none"/>
                      <w:lang w:val="en-US" w:eastAsia="zh-CN" w:bidi="ar"/>
                    </w:rPr>
                    <w:t>0.</w:t>
                  </w:r>
                  <w:r>
                    <w:rPr>
                      <w:rFonts w:hint="eastAsia" w:ascii="Times New Roman" w:hAnsi="Times New Roman" w:cs="Times New Roman"/>
                      <w:color w:val="auto"/>
                      <w:sz w:val="21"/>
                      <w:szCs w:val="21"/>
                      <w:highlight w:val="none"/>
                      <w:lang w:val="en-US" w:eastAsia="zh-CN" w:bidi="ar"/>
                    </w:rPr>
                    <w:t>1</w:t>
                  </w:r>
                </w:p>
              </w:tc>
              <w:tc>
                <w:tcPr>
                  <w:tcW w:w="1477" w:type="dxa"/>
                  <w:tcBorders>
                    <w:tl2br w:val="nil"/>
                    <w:tr2bl w:val="nil"/>
                  </w:tcBorders>
                  <w:noWrap w:val="0"/>
                  <w:vAlign w:val="center"/>
                </w:tcPr>
                <w:p w14:paraId="3DDCB5B0">
                  <w:pPr>
                    <w:widowControl/>
                    <w:adjustRightInd w:val="0"/>
                    <w:snapToGrid w:val="0"/>
                    <w:jc w:val="center"/>
                    <w:rPr>
                      <w:rFonts w:hint="default" w:ascii="Times New Roman" w:hAnsi="Times New Roman"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定期委托具备处理能力单位回收处置。</w:t>
                  </w:r>
                </w:p>
              </w:tc>
            </w:tr>
            <w:tr w14:paraId="67434BA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tcBorders>
                    <w:tl2br w:val="nil"/>
                    <w:tr2bl w:val="nil"/>
                  </w:tcBorders>
                  <w:noWrap w:val="0"/>
                  <w:vAlign w:val="center"/>
                </w:tcPr>
                <w:p w14:paraId="7C6D5E86">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生产加工</w:t>
                  </w:r>
                </w:p>
              </w:tc>
              <w:tc>
                <w:tcPr>
                  <w:tcW w:w="1374" w:type="dxa"/>
                  <w:gridSpan w:val="2"/>
                  <w:tcBorders>
                    <w:tl2br w:val="nil"/>
                    <w:tr2bl w:val="nil"/>
                  </w:tcBorders>
                  <w:noWrap w:val="0"/>
                  <w:vAlign w:val="center"/>
                </w:tcPr>
                <w:p w14:paraId="771C6246">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废弃包装物</w:t>
                  </w:r>
                </w:p>
              </w:tc>
              <w:tc>
                <w:tcPr>
                  <w:tcW w:w="655" w:type="dxa"/>
                  <w:tcBorders>
                    <w:tl2br w:val="nil"/>
                    <w:tr2bl w:val="nil"/>
                  </w:tcBorders>
                  <w:noWrap w:val="0"/>
                  <w:vAlign w:val="center"/>
                </w:tcPr>
                <w:p w14:paraId="00E3762C">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sz w:val="21"/>
                      <w:szCs w:val="21"/>
                      <w:highlight w:val="none"/>
                      <w:lang w:val="en-US" w:eastAsia="zh-CN" w:bidi="ar"/>
                    </w:rPr>
                    <w:t>一般工业固废</w:t>
                  </w:r>
                </w:p>
              </w:tc>
              <w:tc>
                <w:tcPr>
                  <w:tcW w:w="1085" w:type="dxa"/>
                  <w:tcBorders>
                    <w:tl2br w:val="nil"/>
                    <w:tr2bl w:val="nil"/>
                  </w:tcBorders>
                  <w:noWrap w:val="0"/>
                  <w:vAlign w:val="center"/>
                </w:tcPr>
                <w:p w14:paraId="20E29E4D">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
                    </w:rPr>
                    <w:t>900-005-S17</w:t>
                  </w:r>
                </w:p>
              </w:tc>
              <w:tc>
                <w:tcPr>
                  <w:tcW w:w="870" w:type="dxa"/>
                  <w:tcBorders>
                    <w:tl2br w:val="nil"/>
                    <w:tr2bl w:val="nil"/>
                  </w:tcBorders>
                  <w:noWrap w:val="0"/>
                  <w:vAlign w:val="center"/>
                </w:tcPr>
                <w:p w14:paraId="418F79AF">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w:t>
                  </w:r>
                </w:p>
              </w:tc>
              <w:tc>
                <w:tcPr>
                  <w:tcW w:w="1710" w:type="dxa"/>
                  <w:tcBorders>
                    <w:tl2br w:val="nil"/>
                    <w:tr2bl w:val="nil"/>
                  </w:tcBorders>
                  <w:noWrap w:val="0"/>
                  <w:vAlign w:val="center"/>
                </w:tcPr>
                <w:p w14:paraId="1D1EB096">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bidi="ar"/>
                    </w:rPr>
                    <w:t>暂存于</w:t>
                  </w:r>
                  <w:r>
                    <w:rPr>
                      <w:rFonts w:hint="eastAsia" w:cs="Times New Roman"/>
                      <w:color w:val="auto"/>
                      <w:sz w:val="21"/>
                      <w:szCs w:val="21"/>
                      <w:highlight w:val="none"/>
                      <w:lang w:val="en-US" w:eastAsia="zh-CN" w:bidi="ar"/>
                    </w:rPr>
                    <w:t>燃料贮存间</w:t>
                  </w:r>
                  <w:r>
                    <w:rPr>
                      <w:rFonts w:hint="eastAsia" w:ascii="Times New Roman" w:hAnsi="Times New Roman" w:eastAsia="宋体" w:cs="Times New Roman"/>
                      <w:color w:val="auto"/>
                      <w:sz w:val="21"/>
                      <w:szCs w:val="21"/>
                      <w:highlight w:val="none"/>
                      <w:lang w:val="en-US" w:eastAsia="zh-CN" w:bidi="ar"/>
                    </w:rPr>
                    <w:t>指定区域临时存放后，统一进行外售</w:t>
                  </w:r>
                </w:p>
              </w:tc>
              <w:tc>
                <w:tcPr>
                  <w:tcW w:w="851" w:type="dxa"/>
                  <w:tcBorders>
                    <w:tl2br w:val="nil"/>
                    <w:tr2bl w:val="nil"/>
                  </w:tcBorders>
                  <w:noWrap w:val="0"/>
                  <w:vAlign w:val="center"/>
                </w:tcPr>
                <w:p w14:paraId="6D734E94">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w:t>
                  </w:r>
                </w:p>
              </w:tc>
              <w:tc>
                <w:tcPr>
                  <w:tcW w:w="1477" w:type="dxa"/>
                  <w:tcBorders>
                    <w:tl2br w:val="nil"/>
                    <w:tr2bl w:val="nil"/>
                  </w:tcBorders>
                  <w:noWrap w:val="0"/>
                  <w:vAlign w:val="center"/>
                </w:tcPr>
                <w:p w14:paraId="50305E04">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
                    </w:rPr>
                    <w:t>统一收集后外售。</w:t>
                  </w:r>
                </w:p>
              </w:tc>
            </w:tr>
            <w:tr w14:paraId="3D35DFF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tcBorders>
                    <w:tl2br w:val="nil"/>
                    <w:tr2bl w:val="nil"/>
                  </w:tcBorders>
                  <w:noWrap w:val="0"/>
                  <w:vAlign w:val="center"/>
                </w:tcPr>
                <w:p w14:paraId="47FD54C0">
                  <w:pPr>
                    <w:widowControl/>
                    <w:adjustRightInd w:val="0"/>
                    <w:snapToGrid w:val="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生产加工</w:t>
                  </w:r>
                </w:p>
              </w:tc>
              <w:tc>
                <w:tcPr>
                  <w:tcW w:w="568" w:type="dxa"/>
                  <w:vMerge w:val="restart"/>
                  <w:tcBorders>
                    <w:tl2br w:val="nil"/>
                    <w:tr2bl w:val="nil"/>
                  </w:tcBorders>
                  <w:noWrap w:val="0"/>
                  <w:vAlign w:val="center"/>
                </w:tcPr>
                <w:p w14:paraId="4B2C9A03">
                  <w:pPr>
                    <w:widowControl/>
                    <w:adjustRightInd w:val="0"/>
                    <w:snapToGrid w:val="0"/>
                    <w:jc w:val="center"/>
                    <w:rPr>
                      <w:rFonts w:hint="eastAsia" w:ascii="Times New Roman" w:hAnsi="Times New Roman" w:eastAsia="宋体" w:cs="Times New Roman"/>
                      <w:color w:val="auto"/>
                      <w:kern w:val="2"/>
                      <w:sz w:val="21"/>
                      <w:szCs w:val="21"/>
                      <w:highlight w:val="none"/>
                      <w:lang w:val="en-US" w:eastAsia="zh-CN" w:bidi="ar"/>
                    </w:rPr>
                  </w:pPr>
                  <w:r>
                    <w:rPr>
                      <w:rFonts w:hint="default" w:ascii="Times New Roman" w:hAnsi="Times New Roman" w:cs="Times New Roman"/>
                      <w:b w:val="0"/>
                      <w:bCs w:val="0"/>
                      <w:color w:val="auto"/>
                      <w:kern w:val="0"/>
                      <w:sz w:val="21"/>
                      <w:szCs w:val="21"/>
                      <w:highlight w:val="none"/>
                      <w:lang w:val="en-US" w:eastAsia="zh-CN"/>
                    </w:rPr>
                    <w:t>锅炉</w:t>
                  </w:r>
                  <w:r>
                    <w:rPr>
                      <w:rFonts w:hint="eastAsia" w:cs="Times New Roman"/>
                      <w:b w:val="0"/>
                      <w:bCs w:val="0"/>
                      <w:color w:val="auto"/>
                      <w:kern w:val="0"/>
                      <w:sz w:val="21"/>
                      <w:szCs w:val="21"/>
                      <w:highlight w:val="none"/>
                      <w:lang w:val="en-US" w:eastAsia="zh-CN"/>
                    </w:rPr>
                    <w:t>灰渣</w:t>
                  </w:r>
                </w:p>
              </w:tc>
              <w:tc>
                <w:tcPr>
                  <w:tcW w:w="806" w:type="dxa"/>
                  <w:tcBorders>
                    <w:tl2br w:val="nil"/>
                    <w:tr2bl w:val="nil"/>
                  </w:tcBorders>
                  <w:noWrap w:val="0"/>
                  <w:vAlign w:val="center"/>
                </w:tcPr>
                <w:p w14:paraId="6D9E4C21">
                  <w:pPr>
                    <w:widowControl/>
                    <w:adjustRightInd w:val="0"/>
                    <w:snapToGrid w:val="0"/>
                    <w:jc w:val="center"/>
                    <w:rPr>
                      <w:rFonts w:hint="eastAsia" w:ascii="Times New Roman" w:hAnsi="Times New Roman" w:eastAsia="宋体" w:cs="Times New Roman"/>
                      <w:color w:val="auto"/>
                      <w:kern w:val="2"/>
                      <w:sz w:val="21"/>
                      <w:szCs w:val="21"/>
                      <w:highlight w:val="none"/>
                      <w:lang w:val="en-US" w:eastAsia="zh-CN" w:bidi="ar"/>
                    </w:rPr>
                  </w:pPr>
                  <w:r>
                    <w:rPr>
                      <w:rFonts w:hint="eastAsia"/>
                      <w:color w:val="auto"/>
                      <w:sz w:val="21"/>
                      <w:szCs w:val="21"/>
                      <w:highlight w:val="none"/>
                      <w:lang w:val="en-US" w:eastAsia="zh-CN"/>
                    </w:rPr>
                    <w:t>锅炉炉渣</w:t>
                  </w:r>
                </w:p>
              </w:tc>
              <w:tc>
                <w:tcPr>
                  <w:tcW w:w="655" w:type="dxa"/>
                  <w:tcBorders>
                    <w:tl2br w:val="nil"/>
                    <w:tr2bl w:val="nil"/>
                  </w:tcBorders>
                  <w:noWrap w:val="0"/>
                  <w:vAlign w:val="center"/>
                </w:tcPr>
                <w:p w14:paraId="086D0CF0">
                  <w:pPr>
                    <w:widowControl/>
                    <w:adjustRightInd w:val="0"/>
                    <w:snapToGrid w:val="0"/>
                    <w:jc w:val="center"/>
                    <w:rPr>
                      <w:rFonts w:hint="eastAsia" w:ascii="Times New Roman" w:hAnsi="Times New Roman" w:cs="Times New Roman"/>
                      <w:color w:val="auto"/>
                      <w:sz w:val="21"/>
                      <w:szCs w:val="21"/>
                      <w:highlight w:val="none"/>
                      <w:lang w:val="en-US" w:eastAsia="zh-CN" w:bidi="ar"/>
                    </w:rPr>
                  </w:pPr>
                  <w:r>
                    <w:rPr>
                      <w:rFonts w:hint="eastAsia" w:ascii="Times New Roman" w:hAnsi="Times New Roman" w:cs="Times New Roman"/>
                      <w:color w:val="auto"/>
                      <w:sz w:val="21"/>
                      <w:szCs w:val="21"/>
                      <w:highlight w:val="none"/>
                      <w:lang w:val="en-US" w:eastAsia="zh-CN" w:bidi="ar"/>
                    </w:rPr>
                    <w:t>一般工业固废</w:t>
                  </w:r>
                </w:p>
              </w:tc>
              <w:tc>
                <w:tcPr>
                  <w:tcW w:w="1085" w:type="dxa"/>
                  <w:tcBorders>
                    <w:tl2br w:val="nil"/>
                    <w:tr2bl w:val="nil"/>
                  </w:tcBorders>
                  <w:noWrap w:val="0"/>
                  <w:vAlign w:val="center"/>
                </w:tcPr>
                <w:p w14:paraId="0557D15D">
                  <w:pPr>
                    <w:widowControl/>
                    <w:adjustRightInd w:val="0"/>
                    <w:snapToGrid w:val="0"/>
                    <w:jc w:val="center"/>
                    <w:rPr>
                      <w:rFonts w:hint="default" w:ascii="Times New Roman" w:hAnsi="Times New Roman" w:eastAsia="宋体" w:cs="Times New Roman"/>
                      <w:color w:val="auto"/>
                      <w:kern w:val="2"/>
                      <w:sz w:val="21"/>
                      <w:szCs w:val="21"/>
                      <w:highlight w:val="none"/>
                      <w:lang w:val="en-US" w:eastAsia="zh-CN" w:bidi="ar"/>
                    </w:rPr>
                  </w:pPr>
                  <w:r>
                    <w:rPr>
                      <w:rFonts w:hint="eastAsia" w:cs="Times New Roman"/>
                      <w:color w:val="auto"/>
                      <w:sz w:val="21"/>
                      <w:szCs w:val="21"/>
                      <w:highlight w:val="none"/>
                      <w:lang w:val="en-US" w:eastAsia="zh-CN" w:bidi="ar"/>
                    </w:rPr>
                    <w:t>900-099-S03</w:t>
                  </w:r>
                </w:p>
              </w:tc>
              <w:tc>
                <w:tcPr>
                  <w:tcW w:w="870" w:type="dxa"/>
                  <w:tcBorders>
                    <w:tl2br w:val="nil"/>
                    <w:tr2bl w:val="nil"/>
                  </w:tcBorders>
                  <w:noWrap w:val="0"/>
                  <w:vAlign w:val="center"/>
                </w:tcPr>
                <w:p w14:paraId="215F719C">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474.36</w:t>
                  </w:r>
                </w:p>
              </w:tc>
              <w:tc>
                <w:tcPr>
                  <w:tcW w:w="1710" w:type="dxa"/>
                  <w:tcBorders>
                    <w:tl2br w:val="nil"/>
                    <w:tr2bl w:val="nil"/>
                  </w:tcBorders>
                  <w:noWrap w:val="0"/>
                  <w:vAlign w:val="center"/>
                </w:tcPr>
                <w:p w14:paraId="6B9B3ACB">
                  <w:pPr>
                    <w:widowControl/>
                    <w:adjustRightInd w:val="0"/>
                    <w:snapToGrid w:val="0"/>
                    <w:jc w:val="center"/>
                    <w:rPr>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color w:val="auto"/>
                      <w:sz w:val="21"/>
                      <w:szCs w:val="21"/>
                      <w:highlight w:val="none"/>
                      <w:lang w:eastAsia="zh-CN"/>
                    </w:rPr>
                    <w:t>统一</w:t>
                  </w:r>
                  <w:r>
                    <w:rPr>
                      <w:rFonts w:hint="default" w:ascii="Times New Roman" w:hAnsi="Times New Roman" w:eastAsia="宋体" w:cs="Times New Roman"/>
                      <w:color w:val="auto"/>
                      <w:sz w:val="21"/>
                      <w:szCs w:val="21"/>
                      <w:highlight w:val="none"/>
                      <w:lang w:val="en-US" w:eastAsia="zh-CN"/>
                    </w:rPr>
                    <w:t>收集</w:t>
                  </w:r>
                  <w:r>
                    <w:rPr>
                      <w:rFonts w:hint="eastAsia" w:ascii="Times New Roman" w:hAnsi="Times New Roman" w:eastAsia="宋体" w:cs="Times New Roman"/>
                      <w:color w:val="auto"/>
                      <w:sz w:val="21"/>
                      <w:szCs w:val="21"/>
                      <w:highlight w:val="none"/>
                      <w:lang w:val="en-US" w:eastAsia="zh-CN"/>
                    </w:rPr>
                    <w:t>袋装储存于</w:t>
                  </w:r>
                  <w:r>
                    <w:rPr>
                      <w:rFonts w:hint="eastAsia" w:cs="Times New Roman"/>
                      <w:color w:val="auto"/>
                      <w:sz w:val="21"/>
                      <w:szCs w:val="21"/>
                      <w:highlight w:val="none"/>
                      <w:lang w:val="en-US" w:eastAsia="zh-CN"/>
                    </w:rPr>
                    <w:t>灰渣暂存间临时堆放</w:t>
                  </w:r>
                </w:p>
              </w:tc>
              <w:tc>
                <w:tcPr>
                  <w:tcW w:w="851" w:type="dxa"/>
                  <w:tcBorders>
                    <w:tl2br w:val="nil"/>
                    <w:tr2bl w:val="nil"/>
                  </w:tcBorders>
                  <w:noWrap w:val="0"/>
                  <w:vAlign w:val="center"/>
                </w:tcPr>
                <w:p w14:paraId="3DDF38C5">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474.36</w:t>
                  </w:r>
                </w:p>
              </w:tc>
              <w:tc>
                <w:tcPr>
                  <w:tcW w:w="1477" w:type="dxa"/>
                  <w:tcBorders>
                    <w:tl2br w:val="nil"/>
                    <w:tr2bl w:val="nil"/>
                  </w:tcBorders>
                  <w:noWrap w:val="0"/>
                  <w:vAlign w:val="center"/>
                </w:tcPr>
                <w:p w14:paraId="5F1D8F71">
                  <w:pPr>
                    <w:pStyle w:val="7"/>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
                    </w:rPr>
                  </w:pPr>
                  <w:r>
                    <w:rPr>
                      <w:rFonts w:hint="eastAsia" w:cs="Times New Roman"/>
                      <w:color w:val="auto"/>
                      <w:sz w:val="21"/>
                      <w:szCs w:val="21"/>
                      <w:highlight w:val="none"/>
                      <w:vertAlign w:val="baseline"/>
                      <w:lang w:val="en-US" w:eastAsia="zh-CN"/>
                    </w:rPr>
                    <w:t>定期外售企业进行综合利用</w:t>
                  </w:r>
                </w:p>
              </w:tc>
            </w:tr>
            <w:tr w14:paraId="7EE5827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674" w:type="dxa"/>
                  <w:tcBorders>
                    <w:tl2br w:val="nil"/>
                    <w:tr2bl w:val="nil"/>
                  </w:tcBorders>
                  <w:noWrap w:val="0"/>
                  <w:vAlign w:val="center"/>
                </w:tcPr>
                <w:p w14:paraId="21931618">
                  <w:pPr>
                    <w:widowControl/>
                    <w:adjustRightInd w:val="0"/>
                    <w:snapToGrid w:val="0"/>
                    <w:jc w:val="center"/>
                    <w:rPr>
                      <w:rFonts w:hint="eastAsia"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sz w:val="21"/>
                      <w:szCs w:val="21"/>
                      <w:highlight w:val="none"/>
                      <w:lang w:val="en-US" w:eastAsia="zh-CN" w:bidi="ar"/>
                    </w:rPr>
                    <w:t>废气处理</w:t>
                  </w:r>
                </w:p>
              </w:tc>
              <w:tc>
                <w:tcPr>
                  <w:tcW w:w="568" w:type="dxa"/>
                  <w:vMerge w:val="continue"/>
                  <w:tcBorders>
                    <w:tl2br w:val="nil"/>
                    <w:tr2bl w:val="nil"/>
                  </w:tcBorders>
                  <w:noWrap w:val="0"/>
                  <w:vAlign w:val="center"/>
                </w:tcPr>
                <w:p w14:paraId="16E6F643">
                  <w:pPr>
                    <w:widowControl/>
                    <w:adjustRightInd w:val="0"/>
                    <w:snapToGrid w:val="0"/>
                    <w:jc w:val="center"/>
                    <w:rPr>
                      <w:rFonts w:hint="eastAsia" w:ascii="Times New Roman" w:hAnsi="Times New Roman" w:eastAsia="宋体" w:cs="Times New Roman"/>
                      <w:color w:val="auto"/>
                      <w:kern w:val="2"/>
                      <w:sz w:val="21"/>
                      <w:szCs w:val="21"/>
                      <w:highlight w:val="none"/>
                      <w:lang w:val="en-US" w:eastAsia="zh-CN" w:bidi="ar"/>
                    </w:rPr>
                  </w:pPr>
                </w:p>
              </w:tc>
              <w:tc>
                <w:tcPr>
                  <w:tcW w:w="806" w:type="dxa"/>
                  <w:tcBorders>
                    <w:tl2br w:val="nil"/>
                    <w:tr2bl w:val="nil"/>
                  </w:tcBorders>
                  <w:noWrap w:val="0"/>
                  <w:vAlign w:val="center"/>
                </w:tcPr>
                <w:p w14:paraId="3B2E1D89">
                  <w:pPr>
                    <w:widowControl/>
                    <w:adjustRightInd w:val="0"/>
                    <w:snapToGrid w:val="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布袋除尘器收尘</w:t>
                  </w:r>
                </w:p>
              </w:tc>
              <w:tc>
                <w:tcPr>
                  <w:tcW w:w="655" w:type="dxa"/>
                  <w:tcBorders>
                    <w:tl2br w:val="nil"/>
                    <w:tr2bl w:val="nil"/>
                  </w:tcBorders>
                  <w:noWrap w:val="0"/>
                  <w:vAlign w:val="center"/>
                </w:tcPr>
                <w:p w14:paraId="54A174E5">
                  <w:pPr>
                    <w:widowControl/>
                    <w:adjustRightInd w:val="0"/>
                    <w:snapToGrid w:val="0"/>
                    <w:jc w:val="center"/>
                    <w:rPr>
                      <w:rFonts w:hint="eastAsia" w:ascii="Times New Roman" w:hAnsi="Times New Roman" w:cs="Times New Roman"/>
                      <w:color w:val="auto"/>
                      <w:sz w:val="21"/>
                      <w:szCs w:val="21"/>
                      <w:highlight w:val="none"/>
                      <w:lang w:val="en-US" w:eastAsia="zh-CN" w:bidi="ar"/>
                    </w:rPr>
                  </w:pPr>
                  <w:r>
                    <w:rPr>
                      <w:rFonts w:hint="eastAsia" w:ascii="Times New Roman" w:hAnsi="Times New Roman" w:cs="Times New Roman"/>
                      <w:color w:val="auto"/>
                      <w:sz w:val="21"/>
                      <w:szCs w:val="21"/>
                      <w:highlight w:val="none"/>
                      <w:lang w:val="en-US" w:eastAsia="zh-CN" w:bidi="ar"/>
                    </w:rPr>
                    <w:t>一般工业固废</w:t>
                  </w:r>
                </w:p>
              </w:tc>
              <w:tc>
                <w:tcPr>
                  <w:tcW w:w="1085" w:type="dxa"/>
                  <w:tcBorders>
                    <w:tl2br w:val="nil"/>
                    <w:tr2bl w:val="nil"/>
                  </w:tcBorders>
                  <w:noWrap w:val="0"/>
                  <w:vAlign w:val="center"/>
                </w:tcPr>
                <w:p w14:paraId="075E9E24">
                  <w:pPr>
                    <w:widowControl/>
                    <w:adjustRightInd w:val="0"/>
                    <w:snapToGrid w:val="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eastAsia="宋体" w:cs="Times New Roman"/>
                      <w:color w:val="auto"/>
                      <w:kern w:val="2"/>
                      <w:sz w:val="21"/>
                      <w:szCs w:val="21"/>
                      <w:highlight w:val="none"/>
                      <w:lang w:val="en-US" w:eastAsia="zh-CN" w:bidi="ar"/>
                    </w:rPr>
                    <w:t>900-099-S59</w:t>
                  </w:r>
                </w:p>
              </w:tc>
              <w:tc>
                <w:tcPr>
                  <w:tcW w:w="870" w:type="dxa"/>
                  <w:tcBorders>
                    <w:tl2br w:val="nil"/>
                    <w:tr2bl w:val="nil"/>
                  </w:tcBorders>
                  <w:noWrap w:val="0"/>
                  <w:vAlign w:val="center"/>
                </w:tcPr>
                <w:p w14:paraId="2EF99E46">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299.4</w:t>
                  </w:r>
                </w:p>
              </w:tc>
              <w:tc>
                <w:tcPr>
                  <w:tcW w:w="1710" w:type="dxa"/>
                  <w:tcBorders>
                    <w:tl2br w:val="nil"/>
                    <w:tr2bl w:val="nil"/>
                  </w:tcBorders>
                  <w:noWrap w:val="0"/>
                  <w:vAlign w:val="center"/>
                </w:tcPr>
                <w:p w14:paraId="519B8FF8">
                  <w:pPr>
                    <w:widowControl/>
                    <w:adjustRightInd w:val="0"/>
                    <w:snapToGrid w:val="0"/>
                    <w:jc w:val="center"/>
                    <w:rPr>
                      <w:rFonts w:hint="eastAsia"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color w:val="auto"/>
                      <w:sz w:val="21"/>
                      <w:szCs w:val="21"/>
                      <w:highlight w:val="none"/>
                      <w:lang w:eastAsia="zh-CN"/>
                    </w:rPr>
                    <w:t>统一</w:t>
                  </w:r>
                  <w:r>
                    <w:rPr>
                      <w:rFonts w:hint="default" w:ascii="Times New Roman" w:hAnsi="Times New Roman" w:eastAsia="宋体" w:cs="Times New Roman"/>
                      <w:color w:val="auto"/>
                      <w:sz w:val="21"/>
                      <w:szCs w:val="21"/>
                      <w:highlight w:val="none"/>
                      <w:lang w:val="en-US" w:eastAsia="zh-CN"/>
                    </w:rPr>
                    <w:t>收集</w:t>
                  </w:r>
                  <w:r>
                    <w:rPr>
                      <w:rFonts w:hint="eastAsia" w:ascii="Times New Roman" w:hAnsi="Times New Roman" w:eastAsia="宋体" w:cs="Times New Roman"/>
                      <w:color w:val="auto"/>
                      <w:sz w:val="21"/>
                      <w:szCs w:val="21"/>
                      <w:highlight w:val="none"/>
                      <w:lang w:val="en-US" w:eastAsia="zh-CN"/>
                    </w:rPr>
                    <w:t>袋装储存于</w:t>
                  </w:r>
                  <w:r>
                    <w:rPr>
                      <w:rFonts w:hint="eastAsia" w:cs="Times New Roman"/>
                      <w:color w:val="auto"/>
                      <w:sz w:val="21"/>
                      <w:szCs w:val="21"/>
                      <w:highlight w:val="none"/>
                      <w:lang w:val="en-US" w:eastAsia="zh-CN"/>
                    </w:rPr>
                    <w:t>灰渣暂存间临时堆放</w:t>
                  </w:r>
                </w:p>
              </w:tc>
              <w:tc>
                <w:tcPr>
                  <w:tcW w:w="851" w:type="dxa"/>
                  <w:tcBorders>
                    <w:tl2br w:val="nil"/>
                    <w:tr2bl w:val="nil"/>
                  </w:tcBorders>
                  <w:noWrap w:val="0"/>
                  <w:vAlign w:val="center"/>
                </w:tcPr>
                <w:p w14:paraId="2B05D43F">
                  <w:pPr>
                    <w:widowControl/>
                    <w:adjustRightInd w:val="0"/>
                    <w:snapToGrid w:val="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299.4</w:t>
                  </w:r>
                </w:p>
              </w:tc>
              <w:tc>
                <w:tcPr>
                  <w:tcW w:w="1477" w:type="dxa"/>
                  <w:tcBorders>
                    <w:tl2br w:val="nil"/>
                    <w:tr2bl w:val="nil"/>
                  </w:tcBorders>
                  <w:noWrap w:val="0"/>
                  <w:vAlign w:val="center"/>
                </w:tcPr>
                <w:p w14:paraId="4D31B1A9">
                  <w:pPr>
                    <w:pStyle w:val="7"/>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
                    </w:rPr>
                  </w:pPr>
                  <w:r>
                    <w:rPr>
                      <w:rFonts w:hint="eastAsia" w:cs="Times New Roman"/>
                      <w:color w:val="auto"/>
                      <w:sz w:val="21"/>
                      <w:szCs w:val="21"/>
                      <w:highlight w:val="none"/>
                      <w:vertAlign w:val="baseline"/>
                      <w:lang w:val="en-US" w:eastAsia="zh-CN"/>
                    </w:rPr>
                    <w:t>定期外售企业进行综合利用</w:t>
                  </w:r>
                </w:p>
              </w:tc>
            </w:tr>
            <w:tr w14:paraId="45C4540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tcBorders>
                    <w:tl2br w:val="nil"/>
                    <w:tr2bl w:val="nil"/>
                  </w:tcBorders>
                  <w:noWrap w:val="0"/>
                  <w:vAlign w:val="center"/>
                </w:tcPr>
                <w:p w14:paraId="1CCCB7D9">
                  <w:pPr>
                    <w:widowControl/>
                    <w:adjustRightInd w:val="0"/>
                    <w:snapToGrid w:val="0"/>
                    <w:jc w:val="center"/>
                    <w:rPr>
                      <w:rFonts w:hint="default" w:ascii="Times New Roman" w:hAnsi="Times New Roman" w:cs="Times New Roman"/>
                      <w:color w:val="auto"/>
                      <w:sz w:val="21"/>
                      <w:szCs w:val="21"/>
                      <w:highlight w:val="none"/>
                      <w:lang w:val="en-US" w:eastAsia="zh-CN" w:bidi="ar"/>
                    </w:rPr>
                  </w:pPr>
                  <w:r>
                    <w:rPr>
                      <w:rFonts w:hint="eastAsia" w:cs="Times New Roman"/>
                      <w:color w:val="auto"/>
                      <w:sz w:val="21"/>
                      <w:szCs w:val="21"/>
                      <w:highlight w:val="none"/>
                      <w:lang w:val="en-US" w:eastAsia="zh-CN" w:bidi="ar"/>
                    </w:rPr>
                    <w:t>软化水制备</w:t>
                  </w:r>
                </w:p>
              </w:tc>
              <w:tc>
                <w:tcPr>
                  <w:tcW w:w="1374" w:type="dxa"/>
                  <w:gridSpan w:val="2"/>
                  <w:tcBorders>
                    <w:tl2br w:val="nil"/>
                    <w:tr2bl w:val="nil"/>
                  </w:tcBorders>
                  <w:noWrap w:val="0"/>
                  <w:vAlign w:val="center"/>
                </w:tcPr>
                <w:p w14:paraId="613D4326">
                  <w:pPr>
                    <w:widowControl/>
                    <w:adjustRightInd w:val="0"/>
                    <w:snapToGrid w:val="0"/>
                    <w:jc w:val="center"/>
                    <w:rPr>
                      <w:rFonts w:hint="default" w:ascii="Times New Roman" w:hAnsi="Times New Roman" w:eastAsia="宋体" w:cs="Times New Roman"/>
                      <w:color w:val="auto"/>
                      <w:kern w:val="2"/>
                      <w:sz w:val="21"/>
                      <w:szCs w:val="21"/>
                      <w:highlight w:val="none"/>
                      <w:lang w:val="en-US" w:eastAsia="zh-CN" w:bidi="ar"/>
                    </w:rPr>
                  </w:pPr>
                  <w:r>
                    <w:rPr>
                      <w:rFonts w:hint="eastAsia" w:cs="Times New Roman"/>
                      <w:color w:val="auto"/>
                      <w:kern w:val="2"/>
                      <w:sz w:val="21"/>
                      <w:szCs w:val="21"/>
                      <w:highlight w:val="none"/>
                      <w:lang w:val="en-US" w:eastAsia="zh-CN" w:bidi="ar"/>
                    </w:rPr>
                    <w:t>废弃离子交换树脂</w:t>
                  </w:r>
                </w:p>
              </w:tc>
              <w:tc>
                <w:tcPr>
                  <w:tcW w:w="655" w:type="dxa"/>
                  <w:tcBorders>
                    <w:tl2br w:val="nil"/>
                    <w:tr2bl w:val="nil"/>
                  </w:tcBorders>
                  <w:noWrap w:val="0"/>
                  <w:vAlign w:val="center"/>
                </w:tcPr>
                <w:p w14:paraId="2DD5078E">
                  <w:pPr>
                    <w:widowControl/>
                    <w:adjustRightInd w:val="0"/>
                    <w:snapToGrid w:val="0"/>
                    <w:jc w:val="center"/>
                    <w:rPr>
                      <w:rFonts w:hint="default" w:ascii="Times New Roman" w:hAnsi="Times New Roman" w:cs="Times New Roman"/>
                      <w:color w:val="auto"/>
                      <w:sz w:val="21"/>
                      <w:szCs w:val="21"/>
                      <w:highlight w:val="none"/>
                      <w:lang w:val="en-US" w:eastAsia="zh-CN" w:bidi="ar"/>
                    </w:rPr>
                  </w:pPr>
                  <w:r>
                    <w:rPr>
                      <w:rFonts w:hint="eastAsia" w:cs="Times New Roman"/>
                      <w:color w:val="auto"/>
                      <w:sz w:val="21"/>
                      <w:szCs w:val="21"/>
                      <w:highlight w:val="none"/>
                      <w:lang w:val="en-US" w:eastAsia="zh-CN" w:bidi="ar"/>
                    </w:rPr>
                    <w:t>一般工业废物</w:t>
                  </w:r>
                </w:p>
              </w:tc>
              <w:tc>
                <w:tcPr>
                  <w:tcW w:w="1085" w:type="dxa"/>
                  <w:tcBorders>
                    <w:tl2br w:val="nil"/>
                    <w:tr2bl w:val="nil"/>
                  </w:tcBorders>
                  <w:noWrap w:val="0"/>
                  <w:vAlign w:val="center"/>
                </w:tcPr>
                <w:p w14:paraId="56E39D8C">
                  <w:pPr>
                    <w:widowControl/>
                    <w:adjustRightInd w:val="0"/>
                    <w:snapToGrid w:val="0"/>
                    <w:jc w:val="center"/>
                    <w:rPr>
                      <w:rFonts w:hint="default" w:ascii="Times New Roman" w:hAnsi="Times New Roman" w:eastAsia="宋体" w:cs="Times New Roman"/>
                      <w:color w:val="auto"/>
                      <w:kern w:val="2"/>
                      <w:sz w:val="21"/>
                      <w:szCs w:val="21"/>
                      <w:highlight w:val="none"/>
                      <w:lang w:val="en-US" w:eastAsia="zh-CN" w:bidi="ar"/>
                    </w:rPr>
                  </w:pPr>
                  <w:r>
                    <w:rPr>
                      <w:rFonts w:hint="eastAsia" w:cs="Times New Roman"/>
                      <w:color w:val="auto"/>
                      <w:kern w:val="0"/>
                      <w:sz w:val="21"/>
                      <w:szCs w:val="21"/>
                      <w:highlight w:val="none"/>
                      <w:lang w:val="en-US" w:eastAsia="zh-CN"/>
                    </w:rPr>
                    <w:t>900-008-S59</w:t>
                  </w:r>
                </w:p>
              </w:tc>
              <w:tc>
                <w:tcPr>
                  <w:tcW w:w="870" w:type="dxa"/>
                  <w:tcBorders>
                    <w:tl2br w:val="nil"/>
                    <w:tr2bl w:val="nil"/>
                  </w:tcBorders>
                  <w:noWrap w:val="0"/>
                  <w:vAlign w:val="center"/>
                </w:tcPr>
                <w:p w14:paraId="6D40BA34">
                  <w:pPr>
                    <w:widowControl/>
                    <w:adjustRightInd w:val="0"/>
                    <w:snapToGrid w:val="0"/>
                    <w:jc w:val="center"/>
                    <w:rPr>
                      <w:rFonts w:hint="eastAsia" w:ascii="Times New Roman" w:hAnsi="Times New Roman" w:eastAsia="宋体" w:cs="Times New Roman"/>
                      <w:color w:val="auto"/>
                      <w:kern w:val="2"/>
                      <w:sz w:val="21"/>
                      <w:szCs w:val="21"/>
                      <w:highlight w:val="none"/>
                      <w:lang w:val="en-US" w:eastAsia="zh-CN" w:bidi="ar"/>
                    </w:rPr>
                  </w:pPr>
                  <w:r>
                    <w:rPr>
                      <w:rFonts w:hint="eastAsia" w:cs="Times New Roman"/>
                      <w:color w:val="auto"/>
                      <w:sz w:val="21"/>
                      <w:szCs w:val="21"/>
                      <w:highlight w:val="none"/>
                      <w:lang w:val="en-US" w:eastAsia="zh-CN"/>
                    </w:rPr>
                    <w:t>0.1t/3a</w:t>
                  </w:r>
                </w:p>
              </w:tc>
              <w:tc>
                <w:tcPr>
                  <w:tcW w:w="1710" w:type="dxa"/>
                  <w:tcBorders>
                    <w:tl2br w:val="nil"/>
                    <w:tr2bl w:val="nil"/>
                  </w:tcBorders>
                  <w:noWrap w:val="0"/>
                  <w:vAlign w:val="center"/>
                </w:tcPr>
                <w:p w14:paraId="383E20BA">
                  <w:pPr>
                    <w:widowControl/>
                    <w:adjustRightInd w:val="0"/>
                    <w:snapToGrid w:val="0"/>
                    <w:jc w:val="center"/>
                    <w:rPr>
                      <w:rFonts w:hint="eastAsia" w:ascii="Times New Roman" w:hAnsi="Times New Roman" w:cs="Times New Roman"/>
                      <w:color w:val="auto"/>
                      <w:kern w:val="2"/>
                      <w:sz w:val="21"/>
                      <w:szCs w:val="21"/>
                      <w:highlight w:val="none"/>
                      <w:lang w:val="en-US" w:eastAsia="zh-CN" w:bidi="ar"/>
                    </w:rPr>
                  </w:pPr>
                  <w:r>
                    <w:rPr>
                      <w:rFonts w:hint="eastAsia" w:cs="Times New Roman"/>
                      <w:color w:val="auto"/>
                      <w:sz w:val="21"/>
                      <w:szCs w:val="21"/>
                      <w:highlight w:val="none"/>
                      <w:lang w:val="en-US" w:eastAsia="zh-CN" w:bidi="ar"/>
                    </w:rPr>
                    <w:t>/</w:t>
                  </w:r>
                </w:p>
              </w:tc>
              <w:tc>
                <w:tcPr>
                  <w:tcW w:w="851" w:type="dxa"/>
                  <w:tcBorders>
                    <w:tl2br w:val="nil"/>
                    <w:tr2bl w:val="nil"/>
                  </w:tcBorders>
                  <w:noWrap w:val="0"/>
                  <w:vAlign w:val="center"/>
                </w:tcPr>
                <w:p w14:paraId="55AFD2E5">
                  <w:pPr>
                    <w:widowControl/>
                    <w:adjustRightInd w:val="0"/>
                    <w:snapToGrid w:val="0"/>
                    <w:jc w:val="center"/>
                    <w:rPr>
                      <w:rFonts w:hint="eastAsia" w:ascii="Times New Roman" w:hAnsi="Times New Roman" w:eastAsia="宋体" w:cs="Times New Roman"/>
                      <w:color w:val="auto"/>
                      <w:kern w:val="2"/>
                      <w:sz w:val="21"/>
                      <w:szCs w:val="21"/>
                      <w:highlight w:val="none"/>
                      <w:lang w:val="en-US" w:eastAsia="zh-CN" w:bidi="ar"/>
                    </w:rPr>
                  </w:pPr>
                  <w:r>
                    <w:rPr>
                      <w:rFonts w:hint="eastAsia" w:cs="Times New Roman"/>
                      <w:color w:val="auto"/>
                      <w:sz w:val="21"/>
                      <w:szCs w:val="21"/>
                      <w:highlight w:val="none"/>
                      <w:lang w:val="en-US" w:eastAsia="zh-CN"/>
                    </w:rPr>
                    <w:t>0.1t/3a</w:t>
                  </w:r>
                </w:p>
              </w:tc>
              <w:tc>
                <w:tcPr>
                  <w:tcW w:w="1477" w:type="dxa"/>
                  <w:tcBorders>
                    <w:tl2br w:val="nil"/>
                    <w:tr2bl w:val="nil"/>
                  </w:tcBorders>
                  <w:noWrap w:val="0"/>
                  <w:vAlign w:val="center"/>
                </w:tcPr>
                <w:p w14:paraId="556BE0E4">
                  <w:pPr>
                    <w:widowControl/>
                    <w:adjustRightInd w:val="0"/>
                    <w:snapToGrid w:val="0"/>
                    <w:jc w:val="center"/>
                    <w:rPr>
                      <w:rFonts w:hint="default" w:ascii="Times New Roman" w:hAnsi="Times New Roman" w:cs="Times New Roman"/>
                      <w:color w:val="auto"/>
                      <w:kern w:val="2"/>
                      <w:sz w:val="21"/>
                      <w:szCs w:val="21"/>
                      <w:highlight w:val="none"/>
                      <w:lang w:val="en-US" w:eastAsia="zh-CN" w:bidi="ar"/>
                    </w:rPr>
                  </w:pPr>
                  <w:r>
                    <w:rPr>
                      <w:rFonts w:hint="eastAsia" w:cs="Times New Roman"/>
                      <w:color w:val="auto"/>
                      <w:sz w:val="21"/>
                      <w:szCs w:val="21"/>
                      <w:highlight w:val="none"/>
                      <w:lang w:val="en-US" w:eastAsia="zh-CN" w:bidi="ar"/>
                    </w:rPr>
                    <w:t>更换后由厂家回收</w:t>
                  </w:r>
                  <w:r>
                    <w:rPr>
                      <w:rFonts w:hint="eastAsia" w:ascii="Times New Roman" w:hAnsi="Times New Roman" w:eastAsia="宋体" w:cs="Times New Roman"/>
                      <w:color w:val="auto"/>
                      <w:sz w:val="21"/>
                      <w:szCs w:val="21"/>
                      <w:highlight w:val="none"/>
                      <w:lang w:val="en-US" w:eastAsia="zh-CN" w:bidi="ar"/>
                    </w:rPr>
                    <w:t>处置。</w:t>
                  </w:r>
                </w:p>
              </w:tc>
            </w:tr>
          </w:tbl>
          <w:p w14:paraId="376B04C8">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（二）</w:t>
            </w:r>
            <w:r>
              <w:rPr>
                <w:rFonts w:hint="default" w:ascii="Times New Roman" w:hAnsi="Times New Roman" w:eastAsia="宋体" w:cs="Times New Roman"/>
                <w:b/>
                <w:bCs/>
                <w:color w:val="auto"/>
                <w:sz w:val="24"/>
                <w:szCs w:val="24"/>
                <w:highlight w:val="none"/>
                <w:lang w:val="en-US" w:eastAsia="zh-CN"/>
              </w:rPr>
              <w:t>固体废物污染防治措施及环境管理要求</w:t>
            </w:r>
          </w:p>
          <w:p w14:paraId="26405F5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eastAsia="宋体" w:cs="Times New Roman"/>
                <w:b w:val="0"/>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bidi="ar"/>
              </w:rPr>
              <w:t>本项目产生的一般固体废物的贮存应符合《一般工业固体废物贮存和填埋污染控制标准》（GB18599-2020）相关要求，</w:t>
            </w:r>
            <w:r>
              <w:rPr>
                <w:rFonts w:hint="eastAsia" w:cs="Times New Roman"/>
                <w:b w:val="0"/>
                <w:color w:val="auto"/>
                <w:kern w:val="2"/>
                <w:sz w:val="24"/>
                <w:szCs w:val="24"/>
                <w:highlight w:val="none"/>
                <w:lang w:val="en-US" w:eastAsia="zh-CN" w:bidi="ar-SA"/>
              </w:rPr>
              <w:t>废除尘布袋、</w:t>
            </w:r>
            <w:r>
              <w:rPr>
                <w:rFonts w:hint="eastAsia" w:ascii="Times New Roman" w:hAnsi="Times New Roman" w:eastAsia="宋体" w:cs="Times New Roman"/>
                <w:color w:val="auto"/>
                <w:sz w:val="24"/>
                <w:szCs w:val="24"/>
                <w:highlight w:val="none"/>
                <w:lang w:val="en-US" w:eastAsia="zh-CN" w:bidi="ar"/>
              </w:rPr>
              <w:t>废弃包装物</w:t>
            </w:r>
            <w:r>
              <w:rPr>
                <w:rFonts w:hint="eastAsia" w:cs="Times New Roman"/>
                <w:color w:val="auto"/>
                <w:sz w:val="24"/>
                <w:szCs w:val="24"/>
                <w:highlight w:val="none"/>
                <w:lang w:val="en-US" w:eastAsia="zh-CN" w:bidi="ar"/>
              </w:rPr>
              <w:t>收集</w:t>
            </w:r>
            <w:r>
              <w:rPr>
                <w:rFonts w:hint="eastAsia" w:cs="Times New Roman"/>
                <w:b w:val="0"/>
                <w:color w:val="auto"/>
                <w:kern w:val="2"/>
                <w:sz w:val="24"/>
                <w:szCs w:val="24"/>
                <w:highlight w:val="none"/>
                <w:lang w:val="en-US" w:eastAsia="zh-CN" w:bidi="ar-SA"/>
              </w:rPr>
              <w:t>后</w:t>
            </w:r>
            <w:r>
              <w:rPr>
                <w:rFonts w:hint="eastAsia" w:ascii="Times New Roman" w:hAnsi="Times New Roman" w:eastAsia="宋体" w:cs="Times New Roman"/>
                <w:color w:val="auto"/>
                <w:sz w:val="24"/>
                <w:szCs w:val="24"/>
                <w:highlight w:val="none"/>
                <w:lang w:val="en-US" w:eastAsia="zh-CN" w:bidi="ar"/>
              </w:rPr>
              <w:t>暂存于</w:t>
            </w:r>
            <w:r>
              <w:rPr>
                <w:rFonts w:hint="eastAsia" w:cs="Times New Roman"/>
                <w:color w:val="auto"/>
                <w:sz w:val="24"/>
                <w:szCs w:val="24"/>
                <w:highlight w:val="none"/>
                <w:lang w:val="en-US" w:eastAsia="zh-CN" w:bidi="ar"/>
              </w:rPr>
              <w:t>灰渣暂存间</w:t>
            </w:r>
            <w:r>
              <w:rPr>
                <w:rFonts w:hint="eastAsia" w:ascii="Times New Roman" w:hAnsi="Times New Roman" w:eastAsia="宋体" w:cs="Times New Roman"/>
                <w:color w:val="auto"/>
                <w:sz w:val="24"/>
                <w:szCs w:val="24"/>
                <w:highlight w:val="none"/>
                <w:lang w:val="en-US" w:eastAsia="zh-CN" w:bidi="ar"/>
              </w:rPr>
              <w:t>指定区域临时存放</w:t>
            </w:r>
            <w:r>
              <w:rPr>
                <w:rFonts w:hint="eastAsia" w:cs="Times New Roman"/>
                <w:b w:val="0"/>
                <w:color w:val="auto"/>
                <w:kern w:val="2"/>
                <w:sz w:val="24"/>
                <w:szCs w:val="24"/>
                <w:highlight w:val="none"/>
                <w:lang w:val="en-US" w:eastAsia="zh-CN" w:bidi="ar-SA"/>
              </w:rPr>
              <w:t>；锅炉</w:t>
            </w:r>
            <w:r>
              <w:rPr>
                <w:rFonts w:hint="eastAsia" w:ascii="Times New Roman" w:hAnsi="Times New Roman" w:eastAsia="宋体" w:cs="Times New Roman"/>
                <w:b w:val="0"/>
                <w:color w:val="auto"/>
                <w:kern w:val="2"/>
                <w:sz w:val="24"/>
                <w:szCs w:val="24"/>
                <w:highlight w:val="none"/>
                <w:lang w:val="en-US" w:eastAsia="zh-CN" w:bidi="ar-SA"/>
              </w:rPr>
              <w:t>灰渣</w:t>
            </w:r>
            <w:r>
              <w:rPr>
                <w:rFonts w:hint="default" w:ascii="Times New Roman" w:hAnsi="Times New Roman" w:eastAsia="宋体" w:cs="Times New Roman"/>
                <w:b w:val="0"/>
                <w:color w:val="auto"/>
                <w:kern w:val="2"/>
                <w:sz w:val="24"/>
                <w:szCs w:val="24"/>
                <w:highlight w:val="none"/>
                <w:lang w:val="en-US" w:eastAsia="zh-CN" w:bidi="ar-SA"/>
              </w:rPr>
              <w:t>统一收集</w:t>
            </w:r>
            <w:r>
              <w:rPr>
                <w:rFonts w:hint="eastAsia" w:ascii="Times New Roman" w:hAnsi="Times New Roman" w:eastAsia="宋体" w:cs="Times New Roman"/>
                <w:b w:val="0"/>
                <w:color w:val="auto"/>
                <w:kern w:val="2"/>
                <w:sz w:val="24"/>
                <w:szCs w:val="24"/>
                <w:highlight w:val="none"/>
                <w:lang w:val="en-US" w:eastAsia="zh-CN" w:bidi="ar-SA"/>
              </w:rPr>
              <w:t>袋装储存于</w:t>
            </w:r>
            <w:r>
              <w:rPr>
                <w:rFonts w:hint="eastAsia" w:cs="Times New Roman"/>
                <w:b w:val="0"/>
                <w:color w:val="auto"/>
                <w:kern w:val="2"/>
                <w:sz w:val="24"/>
                <w:szCs w:val="24"/>
                <w:highlight w:val="none"/>
                <w:lang w:val="en-US" w:eastAsia="zh-CN" w:bidi="ar-SA"/>
              </w:rPr>
              <w:t>灰渣暂存间</w:t>
            </w:r>
            <w:r>
              <w:rPr>
                <w:rFonts w:hint="eastAsia" w:ascii="Times New Roman" w:hAnsi="Times New Roman" w:eastAsia="宋体" w:cs="Times New Roman"/>
                <w:b w:val="0"/>
                <w:color w:val="auto"/>
                <w:kern w:val="2"/>
                <w:sz w:val="24"/>
                <w:szCs w:val="24"/>
                <w:highlight w:val="none"/>
                <w:lang w:val="en-US" w:eastAsia="zh-CN" w:bidi="ar-SA"/>
              </w:rPr>
              <w:t>临时堆放，采用人工搬运装袋后的锅炉灰渣，搬运过程中洒水抑尘，经厂区内道路外运运输车辆，定期外售企业进行综合利用；废弃离子交换树脂每3年进行一次更换，每次更换产生废弃离子交换树脂不在厂区内暂存，直接由厂家回收处置。</w:t>
            </w:r>
          </w:p>
          <w:p w14:paraId="0BB3CE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（三）</w:t>
            </w:r>
            <w:r>
              <w:rPr>
                <w:rFonts w:hint="default" w:ascii="Times New Roman" w:hAnsi="Times New Roman" w:eastAsia="宋体" w:cs="Times New Roman"/>
                <w:b/>
                <w:bCs/>
                <w:color w:val="auto"/>
                <w:sz w:val="24"/>
                <w:szCs w:val="24"/>
                <w:highlight w:val="none"/>
                <w:lang w:val="en-US" w:eastAsia="zh-CN"/>
              </w:rPr>
              <w:t>固体废物环境影响分析</w:t>
            </w:r>
            <w:r>
              <w:rPr>
                <w:rFonts w:hint="default" w:ascii="Times New Roman" w:hAnsi="Times New Roman" w:cs="Times New Roman"/>
                <w:b/>
                <w:bCs/>
                <w:color w:val="auto"/>
                <w:sz w:val="24"/>
                <w:szCs w:val="24"/>
                <w:highlight w:val="none"/>
                <w:lang w:val="en-US" w:eastAsia="zh-CN"/>
              </w:rPr>
              <w:t>结论</w:t>
            </w:r>
          </w:p>
          <w:p w14:paraId="62A4E10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color w:val="auto"/>
                <w:sz w:val="24"/>
                <w:highlight w:val="none"/>
                <w:lang w:val="en-US" w:eastAsia="zh-CN" w:bidi="ar"/>
              </w:rPr>
              <w:t>本项目运营期产生的全部固体废物均可得到妥善处置，不对外排放，对外环境的影</w:t>
            </w:r>
            <w:r>
              <w:rPr>
                <w:rFonts w:hint="default" w:ascii="Times New Roman" w:hAnsi="Times New Roman" w:cs="Times New Roman"/>
                <w:color w:val="auto"/>
                <w:sz w:val="24"/>
                <w:szCs w:val="24"/>
                <w:highlight w:val="none"/>
                <w:lang w:val="en-US" w:eastAsia="zh-CN" w:bidi="ar"/>
              </w:rPr>
              <w:t>响较小，环境影响可被接受。</w:t>
            </w:r>
          </w:p>
          <w:p w14:paraId="33EDFE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五、地下水环境</w:t>
            </w:r>
          </w:p>
          <w:p w14:paraId="2715559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（一）</w:t>
            </w:r>
            <w:r>
              <w:rPr>
                <w:rFonts w:hint="default" w:ascii="Times New Roman" w:hAnsi="Times New Roman" w:cs="Times New Roman"/>
                <w:b/>
                <w:bCs/>
                <w:color w:val="auto"/>
                <w:sz w:val="24"/>
                <w:szCs w:val="24"/>
                <w:highlight w:val="none"/>
                <w:lang w:val="en-US" w:eastAsia="zh-CN"/>
              </w:rPr>
              <w:t>地下水污染源</w:t>
            </w:r>
            <w:r>
              <w:rPr>
                <w:rFonts w:hint="default" w:ascii="Times New Roman" w:hAnsi="Times New Roman" w:eastAsia="宋体" w:cs="Times New Roman"/>
                <w:b/>
                <w:bCs/>
                <w:color w:val="auto"/>
                <w:sz w:val="24"/>
                <w:szCs w:val="24"/>
                <w:highlight w:val="none"/>
                <w:lang w:val="en-US" w:eastAsia="zh-CN"/>
              </w:rPr>
              <w:t>分析</w:t>
            </w:r>
          </w:p>
          <w:p w14:paraId="75A0B0C2">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项目可能对地下水环境造成污染的影响源为化粪池池体破损，</w:t>
            </w:r>
            <w:r>
              <w:rPr>
                <w:rFonts w:hint="eastAsia"/>
                <w:color w:val="auto"/>
                <w:sz w:val="24"/>
                <w:lang w:bidi="ar"/>
              </w:rPr>
              <w:t>造成废水泄漏，</w:t>
            </w:r>
            <w:r>
              <w:rPr>
                <w:color w:val="auto"/>
                <w:sz w:val="24"/>
                <w:lang w:bidi="ar"/>
              </w:rPr>
              <w:t>且</w:t>
            </w:r>
            <w:r>
              <w:rPr>
                <w:rFonts w:hint="eastAsia"/>
                <w:color w:val="auto"/>
                <w:sz w:val="24"/>
                <w:lang w:bidi="ar"/>
              </w:rPr>
              <w:t>池</w:t>
            </w:r>
            <w:r>
              <w:rPr>
                <w:rFonts w:hint="eastAsia"/>
                <w:color w:val="auto"/>
                <w:sz w:val="24"/>
                <w:lang w:val="en-US" w:eastAsia="zh-CN" w:bidi="ar"/>
              </w:rPr>
              <w:t>体</w:t>
            </w:r>
            <w:r>
              <w:rPr>
                <w:color w:val="auto"/>
                <w:sz w:val="24"/>
                <w:lang w:bidi="ar"/>
              </w:rPr>
              <w:t>基底防渗层破损，</w:t>
            </w:r>
            <w:r>
              <w:rPr>
                <w:rFonts w:hint="eastAsia"/>
                <w:color w:val="auto"/>
                <w:sz w:val="24"/>
                <w:lang w:bidi="ar"/>
              </w:rPr>
              <w:t>废水垂直</w:t>
            </w:r>
            <w:r>
              <w:rPr>
                <w:color w:val="auto"/>
                <w:sz w:val="24"/>
                <w:lang w:bidi="ar"/>
              </w:rPr>
              <w:t>入渗途径，对地下水环境造成影响。污染物类型不包含重金属及持久性有机污染物。</w:t>
            </w:r>
          </w:p>
          <w:p w14:paraId="432CF25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（二）</w:t>
            </w:r>
            <w:r>
              <w:rPr>
                <w:rFonts w:hint="default" w:ascii="Times New Roman" w:hAnsi="Times New Roman" w:cs="Times New Roman"/>
                <w:b/>
                <w:bCs/>
                <w:color w:val="auto"/>
                <w:sz w:val="24"/>
                <w:szCs w:val="24"/>
                <w:highlight w:val="none"/>
                <w:lang w:val="en-US" w:eastAsia="zh-CN"/>
              </w:rPr>
              <w:t>地下水污染防治措施</w:t>
            </w:r>
          </w:p>
          <w:p w14:paraId="1E267087">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1.源头控制</w:t>
            </w:r>
          </w:p>
          <w:p w14:paraId="729A7F99">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化粪池采用抗渗混凝土作为池体材料，池体表面采取防渗防腐涂层，</w:t>
            </w:r>
            <w:r>
              <w:rPr>
                <w:rFonts w:hint="default" w:ascii="Times New Roman" w:hAnsi="Times New Roman" w:cs="Times New Roman"/>
                <w:color w:val="auto"/>
                <w:sz w:val="24"/>
                <w:highlight w:val="none"/>
                <w:lang w:val="en-US" w:eastAsia="zh-CN" w:bidi="ar"/>
              </w:rPr>
              <w:t>基底原土夯实</w:t>
            </w:r>
            <w:r>
              <w:rPr>
                <w:rFonts w:hint="eastAsia" w:ascii="Times New Roman" w:hAnsi="Times New Roman" w:cs="Times New Roman"/>
                <w:color w:val="auto"/>
                <w:sz w:val="24"/>
                <w:highlight w:val="none"/>
                <w:lang w:val="en-US" w:eastAsia="zh-CN" w:bidi="ar"/>
              </w:rPr>
              <w:t>，</w:t>
            </w:r>
            <w:r>
              <w:rPr>
                <w:rFonts w:hint="default" w:ascii="Times New Roman" w:hAnsi="Times New Roman" w:cs="Times New Roman"/>
                <w:color w:val="auto"/>
                <w:sz w:val="24"/>
                <w:highlight w:val="none"/>
                <w:lang w:val="en-US" w:eastAsia="zh-CN" w:bidi="ar"/>
              </w:rPr>
              <w:t>铺设抗渗等级不小于P8的混凝土层（厚度不小于150mm）</w:t>
            </w:r>
            <w:r>
              <w:rPr>
                <w:rFonts w:hint="eastAsia" w:cs="Times New Roman"/>
                <w:b w:val="0"/>
                <w:bCs w:val="0"/>
                <w:color w:val="auto"/>
                <w:sz w:val="24"/>
                <w:szCs w:val="24"/>
                <w:highlight w:val="none"/>
                <w:lang w:val="en-US" w:eastAsia="zh-CN"/>
              </w:rPr>
              <w:t>。</w:t>
            </w:r>
          </w:p>
          <w:p w14:paraId="54EFECF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2.分区防渗</w:t>
            </w:r>
          </w:p>
          <w:p w14:paraId="163A416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highlight w:val="none"/>
                <w:lang w:val="en-US" w:eastAsia="zh-CN" w:bidi="ar"/>
              </w:rPr>
            </w:pPr>
            <w:r>
              <w:rPr>
                <w:rFonts w:hint="default" w:ascii="Times New Roman" w:hAnsi="Times New Roman" w:eastAsia="宋体" w:cs="Times New Roman"/>
                <w:color w:val="auto"/>
                <w:sz w:val="24"/>
                <w:szCs w:val="24"/>
                <w:highlight w:val="none"/>
                <w:lang w:val="en-US" w:eastAsia="zh-CN" w:bidi="ar"/>
              </w:rPr>
              <w:t>根据污染源分析，本项目拟采取分区防渗措施，防控对地下水环境的影响</w:t>
            </w:r>
            <w:r>
              <w:rPr>
                <w:rFonts w:hint="eastAsia" w:ascii="Times New Roman" w:hAnsi="Times New Roman" w:eastAsia="宋体" w:cs="Times New Roman"/>
                <w:color w:val="auto"/>
                <w:sz w:val="24"/>
                <w:szCs w:val="24"/>
                <w:highlight w:val="none"/>
                <w:lang w:val="en-US" w:eastAsia="zh-CN" w:bidi="ar"/>
              </w:rPr>
              <w:t>，</w:t>
            </w:r>
            <w:r>
              <w:rPr>
                <w:rFonts w:hint="default" w:ascii="Times New Roman" w:hAnsi="Times New Roman" w:eastAsia="宋体" w:cs="Times New Roman"/>
                <w:color w:val="auto"/>
                <w:sz w:val="24"/>
                <w:szCs w:val="24"/>
                <w:highlight w:val="none"/>
                <w:lang w:val="en-US" w:eastAsia="zh-CN" w:bidi="ar"/>
              </w:rPr>
              <w:t>地下水污染防渗分区情况</w:t>
            </w:r>
            <w:r>
              <w:rPr>
                <w:rFonts w:hint="eastAsia" w:ascii="Times New Roman" w:hAnsi="Times New Roman" w:eastAsia="宋体" w:cs="Times New Roman"/>
                <w:color w:val="auto"/>
                <w:sz w:val="24"/>
                <w:szCs w:val="24"/>
                <w:highlight w:val="none"/>
                <w:lang w:val="en-US" w:eastAsia="zh-CN" w:bidi="ar"/>
              </w:rPr>
              <w:t>详见下表</w:t>
            </w:r>
            <w:r>
              <w:rPr>
                <w:rFonts w:hint="default" w:ascii="Times New Roman" w:hAnsi="Times New Roman" w:eastAsia="宋体" w:cs="Times New Roman"/>
                <w:color w:val="auto"/>
                <w:sz w:val="24"/>
                <w:szCs w:val="24"/>
                <w:highlight w:val="none"/>
                <w:lang w:val="en-US" w:eastAsia="zh-CN" w:bidi="ar"/>
              </w:rPr>
              <w:t>。</w:t>
            </w:r>
          </w:p>
          <w:p w14:paraId="4920C76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表4-</w:t>
            </w:r>
            <w:r>
              <w:rPr>
                <w:rFonts w:hint="eastAsia" w:cs="Times New Roman"/>
                <w:b/>
                <w:bCs/>
                <w:color w:val="auto"/>
                <w:sz w:val="21"/>
                <w:szCs w:val="21"/>
                <w:highlight w:val="none"/>
                <w:lang w:val="en-US" w:eastAsia="zh-CN"/>
              </w:rPr>
              <w:t>20</w:t>
            </w:r>
            <w:r>
              <w:rPr>
                <w:rFonts w:hint="default" w:ascii="Times New Roman" w:hAnsi="Times New Roman" w:eastAsia="宋体" w:cs="Times New Roman"/>
                <w:b/>
                <w:bCs/>
                <w:color w:val="auto"/>
                <w:sz w:val="21"/>
                <w:szCs w:val="21"/>
                <w:highlight w:val="none"/>
                <w:lang w:val="en-US" w:eastAsia="zh-CN"/>
              </w:rPr>
              <w:t xml:space="preserve">  地下水污染防渗分区情况表</w:t>
            </w:r>
          </w:p>
          <w:tbl>
            <w:tblPr>
              <w:tblStyle w:val="20"/>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191"/>
              <w:gridCol w:w="1175"/>
              <w:gridCol w:w="1191"/>
              <w:gridCol w:w="1454"/>
              <w:gridCol w:w="1043"/>
              <w:gridCol w:w="1955"/>
            </w:tblGrid>
            <w:tr w14:paraId="7A5CE5E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cantSplit/>
                <w:trHeight w:val="340" w:hRule="atLeast"/>
                <w:jc w:val="center"/>
              </w:trPr>
              <w:tc>
                <w:tcPr>
                  <w:tcW w:w="395" w:type="pct"/>
                  <w:tcBorders>
                    <w:tl2br w:val="nil"/>
                    <w:tr2bl w:val="nil"/>
                  </w:tcBorders>
                  <w:noWrap w:val="0"/>
                  <w:vAlign w:val="center"/>
                </w:tcPr>
                <w:p w14:paraId="2F99ADF8">
                  <w:pPr>
                    <w:spacing w:after="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序号</w:t>
                  </w:r>
                </w:p>
              </w:tc>
              <w:tc>
                <w:tcPr>
                  <w:tcW w:w="684" w:type="pct"/>
                  <w:tcBorders>
                    <w:tl2br w:val="nil"/>
                    <w:tr2bl w:val="nil"/>
                  </w:tcBorders>
                  <w:noWrap w:val="0"/>
                  <w:vAlign w:val="center"/>
                </w:tcPr>
                <w:p w14:paraId="65203929">
                  <w:pPr>
                    <w:spacing w:after="0"/>
                    <w:jc w:val="center"/>
                    <w:rPr>
                      <w:rFonts w:hint="default" w:ascii="Times New Roman" w:hAnsi="Times New Roman" w:eastAsia="宋体" w:cs="Times New Roman"/>
                      <w:b/>
                      <w:color w:val="auto"/>
                      <w:sz w:val="21"/>
                      <w:szCs w:val="21"/>
                      <w:highlight w:val="none"/>
                      <w:lang w:eastAsia="zh-CN"/>
                    </w:rPr>
                  </w:pPr>
                  <w:r>
                    <w:rPr>
                      <w:rFonts w:hint="default" w:ascii="Times New Roman" w:hAnsi="Times New Roman" w:cs="Times New Roman"/>
                      <w:b/>
                      <w:color w:val="auto"/>
                      <w:sz w:val="21"/>
                      <w:szCs w:val="21"/>
                      <w:highlight w:val="none"/>
                      <w:lang w:eastAsia="zh-CN"/>
                    </w:rPr>
                    <w:t>设施名称</w:t>
                  </w:r>
                </w:p>
              </w:tc>
              <w:tc>
                <w:tcPr>
                  <w:tcW w:w="675" w:type="pct"/>
                  <w:tcBorders>
                    <w:tl2br w:val="nil"/>
                    <w:tr2bl w:val="nil"/>
                  </w:tcBorders>
                  <w:noWrap w:val="0"/>
                  <w:vAlign w:val="center"/>
                </w:tcPr>
                <w:p w14:paraId="6576EDF4">
                  <w:pPr>
                    <w:jc w:val="center"/>
                    <w:rPr>
                      <w:rFonts w:hint="default" w:ascii="Times New Roman" w:hAnsi="Times New Roman" w:eastAsia="宋体" w:cs="Times New Roman"/>
                      <w:b/>
                      <w:color w:val="auto"/>
                      <w:sz w:val="21"/>
                      <w:szCs w:val="21"/>
                      <w:highlight w:val="none"/>
                      <w:lang w:val="en-US" w:eastAsia="zh-CN" w:bidi="ar-SA"/>
                    </w:rPr>
                  </w:pPr>
                  <w:r>
                    <w:rPr>
                      <w:rFonts w:hint="default" w:ascii="Times New Roman" w:hAnsi="Times New Roman" w:eastAsia="宋体" w:cs="Times New Roman"/>
                      <w:b/>
                      <w:color w:val="auto"/>
                      <w:sz w:val="21"/>
                      <w:szCs w:val="21"/>
                      <w:highlight w:val="none"/>
                      <w:lang w:val="en-US" w:eastAsia="zh-CN" w:bidi="ar-SA"/>
                    </w:rPr>
                    <w:t>天然包气带防污性</w:t>
                  </w:r>
                </w:p>
              </w:tc>
              <w:tc>
                <w:tcPr>
                  <w:tcW w:w="684" w:type="pct"/>
                  <w:tcBorders>
                    <w:tl2br w:val="nil"/>
                    <w:tr2bl w:val="nil"/>
                  </w:tcBorders>
                  <w:noWrap w:val="0"/>
                  <w:vAlign w:val="center"/>
                </w:tcPr>
                <w:p w14:paraId="2E6EC97A">
                  <w:pPr>
                    <w:jc w:val="center"/>
                    <w:rPr>
                      <w:rFonts w:hint="default" w:ascii="Times New Roman" w:hAnsi="Times New Roman" w:eastAsia="宋体" w:cs="Times New Roman"/>
                      <w:b/>
                      <w:color w:val="auto"/>
                      <w:sz w:val="21"/>
                      <w:szCs w:val="21"/>
                      <w:highlight w:val="none"/>
                      <w:lang w:val="en-US" w:eastAsia="zh-CN" w:bidi="ar-SA"/>
                    </w:rPr>
                  </w:pPr>
                  <w:r>
                    <w:rPr>
                      <w:rFonts w:hint="default" w:ascii="Times New Roman" w:hAnsi="Times New Roman" w:eastAsia="宋体" w:cs="Times New Roman"/>
                      <w:b/>
                      <w:color w:val="auto"/>
                      <w:sz w:val="21"/>
                      <w:szCs w:val="21"/>
                      <w:highlight w:val="none"/>
                      <w:lang w:val="en-US" w:eastAsia="zh-CN" w:bidi="ar-SA"/>
                    </w:rPr>
                    <w:t>污染控制难易程度</w:t>
                  </w:r>
                </w:p>
              </w:tc>
              <w:tc>
                <w:tcPr>
                  <w:tcW w:w="835" w:type="pct"/>
                  <w:tcBorders>
                    <w:tl2br w:val="nil"/>
                    <w:tr2bl w:val="nil"/>
                  </w:tcBorders>
                  <w:noWrap w:val="0"/>
                  <w:vAlign w:val="center"/>
                </w:tcPr>
                <w:p w14:paraId="606791D5">
                  <w:pPr>
                    <w:jc w:val="center"/>
                    <w:rPr>
                      <w:rFonts w:hint="default" w:ascii="Times New Roman" w:hAnsi="Times New Roman" w:eastAsia="宋体" w:cs="Times New Roman"/>
                      <w:b/>
                      <w:color w:val="auto"/>
                      <w:sz w:val="21"/>
                      <w:szCs w:val="21"/>
                      <w:highlight w:val="none"/>
                      <w:lang w:val="en-US" w:eastAsia="zh-CN" w:bidi="ar-SA"/>
                    </w:rPr>
                  </w:pPr>
                  <w:r>
                    <w:rPr>
                      <w:rFonts w:hint="default" w:ascii="Times New Roman" w:hAnsi="Times New Roman" w:eastAsia="宋体" w:cs="Times New Roman"/>
                      <w:b/>
                      <w:color w:val="auto"/>
                      <w:sz w:val="21"/>
                      <w:szCs w:val="21"/>
                      <w:highlight w:val="none"/>
                      <w:lang w:val="en-US" w:eastAsia="zh-CN" w:bidi="ar-SA"/>
                    </w:rPr>
                    <w:t>污染物类型</w:t>
                  </w:r>
                </w:p>
              </w:tc>
              <w:tc>
                <w:tcPr>
                  <w:tcW w:w="599" w:type="pct"/>
                  <w:tcBorders>
                    <w:tl2br w:val="nil"/>
                    <w:tr2bl w:val="nil"/>
                  </w:tcBorders>
                  <w:noWrap w:val="0"/>
                  <w:vAlign w:val="center"/>
                </w:tcPr>
                <w:p w14:paraId="57A266A8">
                  <w:pPr>
                    <w:jc w:val="center"/>
                    <w:rPr>
                      <w:rFonts w:hint="default" w:ascii="Times New Roman" w:hAnsi="Times New Roman" w:eastAsia="宋体" w:cs="Times New Roman"/>
                      <w:b/>
                      <w:color w:val="auto"/>
                      <w:sz w:val="21"/>
                      <w:szCs w:val="21"/>
                      <w:highlight w:val="none"/>
                      <w:lang w:val="en-US" w:eastAsia="zh-CN" w:bidi="ar-SA"/>
                    </w:rPr>
                  </w:pPr>
                  <w:r>
                    <w:rPr>
                      <w:rFonts w:hint="default" w:ascii="Times New Roman" w:hAnsi="Times New Roman" w:eastAsia="宋体" w:cs="Times New Roman"/>
                      <w:b/>
                      <w:color w:val="auto"/>
                      <w:sz w:val="21"/>
                      <w:szCs w:val="21"/>
                      <w:highlight w:val="none"/>
                      <w:lang w:val="en-US" w:eastAsia="zh-CN" w:bidi="ar-SA"/>
                    </w:rPr>
                    <w:t>防渗分区</w:t>
                  </w:r>
                </w:p>
              </w:tc>
              <w:tc>
                <w:tcPr>
                  <w:tcW w:w="1123" w:type="pct"/>
                  <w:tcBorders>
                    <w:tl2br w:val="nil"/>
                    <w:tr2bl w:val="nil"/>
                  </w:tcBorders>
                  <w:noWrap w:val="0"/>
                  <w:vAlign w:val="center"/>
                </w:tcPr>
                <w:p w14:paraId="5FDD09C2">
                  <w:pPr>
                    <w:spacing w:after="0"/>
                    <w:jc w:val="center"/>
                    <w:rPr>
                      <w:rFonts w:hint="default" w:ascii="Times New Roman" w:hAnsi="Times New Roman" w:eastAsia="宋体" w:cs="Times New Roman"/>
                      <w:b/>
                      <w:color w:val="auto"/>
                      <w:sz w:val="21"/>
                      <w:szCs w:val="21"/>
                      <w:highlight w:val="none"/>
                      <w:lang w:eastAsia="zh-CN"/>
                    </w:rPr>
                  </w:pPr>
                  <w:r>
                    <w:rPr>
                      <w:rFonts w:hint="default" w:ascii="Times New Roman" w:hAnsi="Times New Roman" w:cs="Times New Roman"/>
                      <w:b/>
                      <w:color w:val="auto"/>
                      <w:sz w:val="21"/>
                      <w:szCs w:val="21"/>
                      <w:highlight w:val="none"/>
                      <w:lang w:eastAsia="zh-CN"/>
                    </w:rPr>
                    <w:t>防渗技术要求</w:t>
                  </w:r>
                </w:p>
              </w:tc>
            </w:tr>
            <w:tr w14:paraId="3EC34D3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95" w:type="pct"/>
                  <w:tcBorders>
                    <w:tl2br w:val="nil"/>
                    <w:tr2bl w:val="nil"/>
                  </w:tcBorders>
                  <w:noWrap w:val="0"/>
                  <w:vAlign w:val="center"/>
                </w:tcPr>
                <w:p w14:paraId="080BF461">
                  <w:pPr>
                    <w:spacing w:after="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c>
                <w:tcPr>
                  <w:tcW w:w="684" w:type="pct"/>
                  <w:tcBorders>
                    <w:tl2br w:val="nil"/>
                    <w:tr2bl w:val="nil"/>
                  </w:tcBorders>
                  <w:noWrap w:val="0"/>
                  <w:vAlign w:val="center"/>
                </w:tcPr>
                <w:p w14:paraId="290C53D9">
                  <w:pPr>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化粪池</w:t>
                  </w:r>
                </w:p>
              </w:tc>
              <w:tc>
                <w:tcPr>
                  <w:tcW w:w="675" w:type="pct"/>
                  <w:tcBorders>
                    <w:tl2br w:val="nil"/>
                    <w:tr2bl w:val="nil"/>
                  </w:tcBorders>
                  <w:noWrap w:val="0"/>
                  <w:vAlign w:val="center"/>
                </w:tcPr>
                <w:p w14:paraId="02650035">
                  <w:pPr>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中</w:t>
                  </w:r>
                  <w:r>
                    <w:rPr>
                      <w:rFonts w:hint="default" w:ascii="Times New Roman" w:hAnsi="Times New Roman" w:cs="Times New Roman"/>
                      <w:color w:val="auto"/>
                      <w:sz w:val="21"/>
                      <w:szCs w:val="21"/>
                      <w:highlight w:val="none"/>
                      <w:lang w:val="en-US" w:eastAsia="zh-CN"/>
                    </w:rPr>
                    <w:t>-强</w:t>
                  </w:r>
                </w:p>
              </w:tc>
              <w:tc>
                <w:tcPr>
                  <w:tcW w:w="684" w:type="pct"/>
                  <w:tcBorders>
                    <w:tl2br w:val="nil"/>
                    <w:tr2bl w:val="nil"/>
                  </w:tcBorders>
                  <w:noWrap w:val="0"/>
                  <w:vAlign w:val="center"/>
                </w:tcPr>
                <w:p w14:paraId="713A51C7">
                  <w:pPr>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难</w:t>
                  </w:r>
                </w:p>
              </w:tc>
              <w:tc>
                <w:tcPr>
                  <w:tcW w:w="835" w:type="pct"/>
                  <w:tcBorders>
                    <w:tl2br w:val="nil"/>
                    <w:tr2bl w:val="nil"/>
                  </w:tcBorders>
                  <w:noWrap w:val="0"/>
                  <w:vAlign w:val="center"/>
                </w:tcPr>
                <w:p w14:paraId="5227BD2C">
                  <w:pPr>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其他类型</w:t>
                  </w:r>
                </w:p>
              </w:tc>
              <w:tc>
                <w:tcPr>
                  <w:tcW w:w="599" w:type="pct"/>
                  <w:tcBorders>
                    <w:tl2br w:val="nil"/>
                    <w:tr2bl w:val="nil"/>
                  </w:tcBorders>
                  <w:noWrap w:val="0"/>
                  <w:vAlign w:val="center"/>
                </w:tcPr>
                <w:p w14:paraId="5483DCD1">
                  <w:pPr>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一般防渗区</w:t>
                  </w:r>
                </w:p>
              </w:tc>
              <w:tc>
                <w:tcPr>
                  <w:tcW w:w="1123" w:type="pct"/>
                  <w:tcBorders>
                    <w:tl2br w:val="nil"/>
                    <w:tr2bl w:val="nil"/>
                  </w:tcBorders>
                  <w:noWrap w:val="0"/>
                  <w:vAlign w:val="center"/>
                </w:tcPr>
                <w:p w14:paraId="53DDEAC1">
                  <w:pPr>
                    <w:spacing w:after="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等效黏土防渗层Mb≥</w:t>
                  </w:r>
                  <w:r>
                    <w:rPr>
                      <w:rFonts w:hint="default" w:ascii="Times New Roman" w:hAnsi="Times New Roman" w:cs="Times New Roman"/>
                      <w:color w:val="auto"/>
                      <w:sz w:val="21"/>
                      <w:szCs w:val="21"/>
                      <w:highlight w:val="none"/>
                      <w:lang w:val="en-US" w:eastAsia="zh-CN"/>
                    </w:rPr>
                    <w:t>1.5</w:t>
                  </w:r>
                  <w:r>
                    <w:rPr>
                      <w:rFonts w:hint="default" w:ascii="Times New Roman" w:hAnsi="Times New Roman" w:cs="Times New Roman"/>
                      <w:color w:val="auto"/>
                      <w:sz w:val="21"/>
                      <w:szCs w:val="21"/>
                      <w:highlight w:val="none"/>
                    </w:rPr>
                    <w:t>m，K≤10</w:t>
                  </w:r>
                  <w:r>
                    <w:rPr>
                      <w:rFonts w:hint="eastAsia" w:cs="Times New Roman"/>
                      <w:color w:val="auto"/>
                      <w:sz w:val="21"/>
                      <w:szCs w:val="21"/>
                      <w:highlight w:val="none"/>
                      <w:vertAlign w:val="superscript"/>
                      <w:lang w:val="en-US" w:eastAsia="zh-CN"/>
                    </w:rPr>
                    <w:t>-</w:t>
                  </w:r>
                  <w:r>
                    <w:rPr>
                      <w:rFonts w:hint="default" w:ascii="Times New Roman" w:hAnsi="Times New Roman" w:cs="Times New Roman"/>
                      <w:color w:val="auto"/>
                      <w:sz w:val="21"/>
                      <w:szCs w:val="21"/>
                      <w:highlight w:val="none"/>
                      <w:vertAlign w:val="superscript"/>
                    </w:rPr>
                    <w:t>7</w:t>
                  </w:r>
                  <w:r>
                    <w:rPr>
                      <w:rFonts w:hint="default" w:ascii="Times New Roman" w:hAnsi="Times New Roman" w:cs="Times New Roman"/>
                      <w:color w:val="auto"/>
                      <w:sz w:val="21"/>
                      <w:szCs w:val="21"/>
                      <w:highlight w:val="none"/>
                    </w:rPr>
                    <w:t>cm/s</w:t>
                  </w:r>
                </w:p>
              </w:tc>
            </w:tr>
            <w:tr w14:paraId="7B28BE9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95" w:type="pct"/>
                  <w:tcBorders>
                    <w:tl2br w:val="nil"/>
                    <w:tr2bl w:val="nil"/>
                  </w:tcBorders>
                  <w:noWrap w:val="0"/>
                  <w:vAlign w:val="center"/>
                </w:tcPr>
                <w:p w14:paraId="170C2CFD">
                  <w:pPr>
                    <w:spacing w:after="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c>
                <w:tcPr>
                  <w:tcW w:w="684" w:type="pct"/>
                  <w:tcBorders>
                    <w:tl2br w:val="nil"/>
                    <w:tr2bl w:val="nil"/>
                  </w:tcBorders>
                  <w:noWrap w:val="0"/>
                  <w:vAlign w:val="center"/>
                </w:tcPr>
                <w:p w14:paraId="4BAA80B4">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厂区地面</w:t>
                  </w:r>
                </w:p>
              </w:tc>
              <w:tc>
                <w:tcPr>
                  <w:tcW w:w="675" w:type="pct"/>
                  <w:tcBorders>
                    <w:tl2br w:val="nil"/>
                    <w:tr2bl w:val="nil"/>
                  </w:tcBorders>
                  <w:noWrap w:val="0"/>
                  <w:vAlign w:val="center"/>
                </w:tcPr>
                <w:p w14:paraId="534C54A1">
                  <w:pPr>
                    <w:spacing w:after="0"/>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中</w:t>
                  </w:r>
                  <w:r>
                    <w:rPr>
                      <w:rFonts w:hint="default" w:ascii="Times New Roman" w:hAnsi="Times New Roman" w:cs="Times New Roman"/>
                      <w:color w:val="auto"/>
                      <w:sz w:val="21"/>
                      <w:szCs w:val="21"/>
                      <w:highlight w:val="none"/>
                      <w:lang w:val="en-US" w:eastAsia="zh-CN"/>
                    </w:rPr>
                    <w:t>-强</w:t>
                  </w:r>
                </w:p>
              </w:tc>
              <w:tc>
                <w:tcPr>
                  <w:tcW w:w="684" w:type="pct"/>
                  <w:tcBorders>
                    <w:tl2br w:val="nil"/>
                    <w:tr2bl w:val="nil"/>
                  </w:tcBorders>
                  <w:noWrap w:val="0"/>
                  <w:vAlign w:val="center"/>
                </w:tcPr>
                <w:p w14:paraId="518E1451">
                  <w:pPr>
                    <w:spacing w:after="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易</w:t>
                  </w:r>
                </w:p>
              </w:tc>
              <w:tc>
                <w:tcPr>
                  <w:tcW w:w="835" w:type="pct"/>
                  <w:tcBorders>
                    <w:tl2br w:val="nil"/>
                    <w:tr2bl w:val="nil"/>
                  </w:tcBorders>
                  <w:noWrap w:val="0"/>
                  <w:vAlign w:val="center"/>
                </w:tcPr>
                <w:p w14:paraId="1B057637">
                  <w:pPr>
                    <w:spacing w:after="0"/>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其他类型</w:t>
                  </w:r>
                </w:p>
              </w:tc>
              <w:tc>
                <w:tcPr>
                  <w:tcW w:w="599" w:type="pct"/>
                  <w:tcBorders>
                    <w:tl2br w:val="nil"/>
                    <w:tr2bl w:val="nil"/>
                  </w:tcBorders>
                  <w:noWrap w:val="0"/>
                  <w:vAlign w:val="center"/>
                </w:tcPr>
                <w:p w14:paraId="17CEB0C1">
                  <w:pPr>
                    <w:spacing w:after="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简单防渗区</w:t>
                  </w:r>
                </w:p>
              </w:tc>
              <w:tc>
                <w:tcPr>
                  <w:tcW w:w="1123" w:type="pct"/>
                  <w:tcBorders>
                    <w:tl2br w:val="nil"/>
                    <w:tr2bl w:val="nil"/>
                  </w:tcBorders>
                  <w:noWrap w:val="0"/>
                  <w:vAlign w:val="center"/>
                </w:tcPr>
                <w:p w14:paraId="1799C8AF">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一般地面硬化</w:t>
                  </w:r>
                </w:p>
              </w:tc>
            </w:tr>
          </w:tbl>
          <w:p w14:paraId="2DFB0BF3">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rFonts w:hint="default" w:ascii="Times New Roman" w:hAnsi="Times New Roman" w:cs="Times New Roman"/>
                <w:color w:val="auto"/>
                <w:sz w:val="24"/>
                <w:highlight w:val="none"/>
                <w:lang w:val="en-US" w:eastAsia="zh-CN" w:bidi="ar"/>
              </w:rPr>
            </w:pPr>
            <w:r>
              <w:rPr>
                <w:rFonts w:hint="default" w:ascii="Times New Roman" w:hAnsi="Times New Roman" w:cs="Times New Roman"/>
                <w:color w:val="auto"/>
                <w:sz w:val="24"/>
                <w:highlight w:val="none"/>
                <w:lang w:val="en-US" w:eastAsia="zh-CN" w:bidi="ar"/>
              </w:rPr>
              <w:t>根据地下水污染防渗分区结果，本项目拟采取的具体分区防渗措施为：</w:t>
            </w:r>
          </w:p>
          <w:p w14:paraId="537E7703">
            <w:pPr>
              <w:keepNext w:val="0"/>
              <w:keepLines w:val="0"/>
              <w:pageBreakBefore w:val="0"/>
              <w:numPr>
                <w:ilvl w:val="0"/>
                <w:numId w:val="3"/>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highlight w:val="none"/>
                <w:lang w:val="en-US" w:eastAsia="zh-CN" w:bidi="ar"/>
              </w:rPr>
            </w:pPr>
            <w:r>
              <w:rPr>
                <w:rFonts w:hint="default" w:ascii="Times New Roman" w:hAnsi="Times New Roman" w:cs="Times New Roman"/>
                <w:color w:val="auto"/>
                <w:sz w:val="24"/>
                <w:highlight w:val="none"/>
                <w:lang w:val="en-US" w:eastAsia="zh-CN" w:bidi="ar"/>
              </w:rPr>
              <w:t>一般防渗区：</w:t>
            </w:r>
            <w:r>
              <w:rPr>
                <w:rFonts w:hint="eastAsia" w:cs="Times New Roman"/>
                <w:color w:val="auto"/>
                <w:sz w:val="24"/>
                <w:highlight w:val="none"/>
                <w:lang w:val="en-US" w:eastAsia="zh-CN" w:bidi="ar"/>
              </w:rPr>
              <w:t>化粪池基底</w:t>
            </w:r>
            <w:r>
              <w:rPr>
                <w:rFonts w:hint="default" w:ascii="Times New Roman" w:hAnsi="Times New Roman" w:cs="Times New Roman"/>
                <w:color w:val="auto"/>
                <w:sz w:val="24"/>
                <w:highlight w:val="none"/>
                <w:lang w:val="en-US" w:eastAsia="zh-CN" w:bidi="ar"/>
              </w:rPr>
              <w:t>原土夯实</w:t>
            </w:r>
            <w:r>
              <w:rPr>
                <w:rFonts w:hint="eastAsia" w:ascii="Times New Roman" w:hAnsi="Times New Roman" w:cs="Times New Roman"/>
                <w:color w:val="auto"/>
                <w:sz w:val="24"/>
                <w:highlight w:val="none"/>
                <w:lang w:val="en-US" w:eastAsia="zh-CN" w:bidi="ar"/>
              </w:rPr>
              <w:t>，</w:t>
            </w:r>
            <w:r>
              <w:rPr>
                <w:rFonts w:hint="default" w:ascii="Times New Roman" w:hAnsi="Times New Roman" w:cs="Times New Roman"/>
                <w:color w:val="auto"/>
                <w:sz w:val="24"/>
                <w:highlight w:val="none"/>
                <w:lang w:val="en-US" w:eastAsia="zh-CN" w:bidi="ar"/>
              </w:rPr>
              <w:t>铺设抗渗等级不小于P8的混凝土层（厚度不小于150mm）</w:t>
            </w:r>
            <w:r>
              <w:rPr>
                <w:rFonts w:hint="eastAsia" w:cs="Times New Roman"/>
                <w:b w:val="0"/>
                <w:bCs w:val="0"/>
                <w:color w:val="auto"/>
                <w:sz w:val="24"/>
                <w:szCs w:val="24"/>
                <w:highlight w:val="none"/>
                <w:lang w:val="en-US" w:eastAsia="zh-CN"/>
              </w:rPr>
              <w:t>。</w:t>
            </w:r>
          </w:p>
          <w:p w14:paraId="37E5AA3D">
            <w:pPr>
              <w:keepNext w:val="0"/>
              <w:keepLines w:val="0"/>
              <w:pageBreakBefore w:val="0"/>
              <w:numPr>
                <w:ilvl w:val="0"/>
                <w:numId w:val="3"/>
              </w:numPr>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sz w:val="24"/>
                <w:highlight w:val="none"/>
                <w:lang w:val="en-US" w:eastAsia="zh-CN" w:bidi="ar"/>
              </w:rPr>
            </w:pPr>
            <w:r>
              <w:rPr>
                <w:rFonts w:hint="default" w:ascii="Times New Roman" w:hAnsi="Times New Roman" w:cs="Times New Roman"/>
                <w:color w:val="auto"/>
                <w:sz w:val="24"/>
                <w:highlight w:val="none"/>
                <w:lang w:val="en-US" w:eastAsia="zh-CN" w:bidi="ar"/>
              </w:rPr>
              <w:t>简单防渗区：</w:t>
            </w:r>
            <w:r>
              <w:rPr>
                <w:rFonts w:hint="eastAsia" w:cs="Times New Roman"/>
                <w:color w:val="auto"/>
                <w:sz w:val="24"/>
                <w:highlight w:val="none"/>
                <w:lang w:val="en-US" w:eastAsia="zh-CN" w:bidi="ar"/>
              </w:rPr>
              <w:t>厂区</w:t>
            </w:r>
            <w:r>
              <w:rPr>
                <w:rFonts w:hint="default" w:ascii="Times New Roman" w:hAnsi="Times New Roman" w:cs="Times New Roman"/>
                <w:color w:val="auto"/>
                <w:sz w:val="24"/>
                <w:highlight w:val="none"/>
                <w:lang w:val="en-US" w:eastAsia="zh-CN" w:bidi="ar"/>
              </w:rPr>
              <w:t>采用水泥地面硬化</w:t>
            </w:r>
            <w:r>
              <w:rPr>
                <w:rFonts w:hint="eastAsia" w:cs="Times New Roman"/>
                <w:color w:val="auto"/>
                <w:sz w:val="24"/>
                <w:highlight w:val="none"/>
                <w:lang w:val="en-US" w:eastAsia="zh-CN" w:bidi="ar"/>
              </w:rPr>
              <w:t>。</w:t>
            </w:r>
          </w:p>
          <w:tbl>
            <w:tblPr>
              <w:tblStyle w:val="21"/>
              <w:tblW w:w="0" w:type="auto"/>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01"/>
            </w:tblGrid>
            <w:tr w14:paraId="6B1F5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701" w:type="dxa"/>
                  <w:tcBorders>
                    <w:tl2br w:val="nil"/>
                    <w:tr2bl w:val="nil"/>
                  </w:tcBorders>
                </w:tcPr>
                <w:p w14:paraId="365EB70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cs="Times New Roman"/>
                      <w:b w:val="0"/>
                      <w:bCs w:val="0"/>
                      <w:color w:val="FF0000"/>
                      <w:kern w:val="0"/>
                      <w:sz w:val="24"/>
                      <w:szCs w:val="24"/>
                      <w:highlight w:val="none"/>
                      <w:vertAlign w:val="baseline"/>
                      <w:lang w:val="en-US" w:eastAsia="zh-CN"/>
                    </w:rPr>
                  </w:pPr>
                  <w:r>
                    <w:drawing>
                      <wp:inline distT="0" distB="0" distL="114300" distR="114300">
                        <wp:extent cx="5382895" cy="3742055"/>
                        <wp:effectExtent l="0" t="0" r="1905" b="4445"/>
                        <wp:docPr id="3" name="F35B0BEE-F18A-47BB-8FCB-E00DA2F2635D-3" descr="C:/Users/Administrator/AppData/Local/Temp/wps.yTDfUz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35B0BEE-F18A-47BB-8FCB-E00DA2F2635D-3" descr="C:/Users/Administrator/AppData/Local/Temp/wps.yTDfUzwps"/>
                                <pic:cNvPicPr>
                                  <a:picLocks noChangeAspect="1"/>
                                </pic:cNvPicPr>
                              </pic:nvPicPr>
                              <pic:blipFill>
                                <a:blip r:embed="rId116"/>
                                <a:stretch>
                                  <a:fillRect/>
                                </a:stretch>
                              </pic:blipFill>
                              <pic:spPr>
                                <a:xfrm>
                                  <a:off x="0" y="0"/>
                                  <a:ext cx="5382895" cy="3742055"/>
                                </a:xfrm>
                                <a:prstGeom prst="rect">
                                  <a:avLst/>
                                </a:prstGeom>
                                <a:noFill/>
                                <a:ln>
                                  <a:noFill/>
                                </a:ln>
                              </pic:spPr>
                            </pic:pic>
                          </a:graphicData>
                        </a:graphic>
                      </wp:inline>
                    </w:drawing>
                  </w:r>
                </w:p>
              </w:tc>
            </w:tr>
            <w:tr w14:paraId="673E8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701" w:type="dxa"/>
                  <w:tcBorders>
                    <w:tl2br w:val="nil"/>
                    <w:tr2bl w:val="nil"/>
                  </w:tcBorders>
                </w:tcPr>
                <w:p w14:paraId="569DCFC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s="Times New Roman"/>
                      <w:b w:val="0"/>
                      <w:bCs w:val="0"/>
                      <w:color w:val="FF0000"/>
                      <w:kern w:val="0"/>
                      <w:sz w:val="24"/>
                      <w:szCs w:val="24"/>
                      <w:highlight w:val="none"/>
                      <w:vertAlign w:val="baseline"/>
                      <w:lang w:val="en-US" w:eastAsia="zh-CN"/>
                    </w:rPr>
                  </w:pPr>
                  <w:r>
                    <w:rPr>
                      <w:rFonts w:hint="eastAsia" w:cs="Times New Roman"/>
                      <w:b/>
                      <w:bCs/>
                      <w:color w:val="auto"/>
                      <w:sz w:val="21"/>
                      <w:szCs w:val="21"/>
                      <w:highlight w:val="none"/>
                      <w:vertAlign w:val="baseline"/>
                      <w:lang w:val="en-US" w:eastAsia="zh-CN"/>
                    </w:rPr>
                    <w:t>图4-2 项目厂区分区防渗图</w:t>
                  </w:r>
                </w:p>
              </w:tc>
            </w:tr>
          </w:tbl>
          <w:p w14:paraId="659F1F2B">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（三）</w:t>
            </w:r>
            <w:r>
              <w:rPr>
                <w:rFonts w:hint="default" w:ascii="Times New Roman" w:hAnsi="Times New Roman" w:cs="Times New Roman"/>
                <w:b/>
                <w:bCs/>
                <w:color w:val="auto"/>
                <w:sz w:val="24"/>
                <w:szCs w:val="24"/>
                <w:highlight w:val="none"/>
                <w:lang w:val="en-US" w:eastAsia="zh-CN"/>
              </w:rPr>
              <w:t>地下水</w:t>
            </w:r>
            <w:r>
              <w:rPr>
                <w:rFonts w:hint="default" w:ascii="Times New Roman" w:hAnsi="Times New Roman" w:eastAsia="宋体" w:cs="Times New Roman"/>
                <w:b/>
                <w:bCs/>
                <w:color w:val="auto"/>
                <w:sz w:val="24"/>
                <w:szCs w:val="24"/>
                <w:highlight w:val="none"/>
                <w:lang w:val="en-US" w:eastAsia="zh-CN"/>
              </w:rPr>
              <w:t>环境影响分析</w:t>
            </w:r>
            <w:r>
              <w:rPr>
                <w:rFonts w:hint="default" w:ascii="Times New Roman" w:hAnsi="Times New Roman" w:cs="Times New Roman"/>
                <w:b/>
                <w:bCs/>
                <w:color w:val="auto"/>
                <w:sz w:val="24"/>
                <w:szCs w:val="24"/>
                <w:highlight w:val="none"/>
                <w:lang w:val="en-US" w:eastAsia="zh-CN"/>
              </w:rPr>
              <w:t>结论</w:t>
            </w:r>
          </w:p>
          <w:p w14:paraId="53D06AC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bidi="ar"/>
              </w:rPr>
            </w:pPr>
            <w:r>
              <w:rPr>
                <w:rFonts w:hint="default" w:ascii="Times New Roman" w:hAnsi="Times New Roman" w:eastAsia="宋体" w:cs="Times New Roman"/>
                <w:color w:val="auto"/>
                <w:sz w:val="24"/>
                <w:szCs w:val="24"/>
                <w:highlight w:val="none"/>
                <w:lang w:val="en-US" w:eastAsia="zh-CN" w:bidi="ar"/>
              </w:rPr>
              <w:t>本项目在采取上述地下水污染防治措施后，可有效减少污染物渗漏事故的发生，降低事故对地下水环境的影响，对地下水环境的影响可被接受。</w:t>
            </w:r>
          </w:p>
          <w:p w14:paraId="742BEECF">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default"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六、土壤环境</w:t>
            </w:r>
          </w:p>
          <w:p w14:paraId="64471579">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cs="Times New Roman"/>
                <w:b/>
                <w:bCs/>
                <w:color w:val="auto"/>
                <w:kern w:val="0"/>
                <w:sz w:val="24"/>
                <w:szCs w:val="24"/>
                <w:highlight w:val="none"/>
                <w:lang w:val="en-US" w:eastAsia="zh-CN"/>
              </w:rPr>
            </w:pPr>
            <w:r>
              <w:rPr>
                <w:rFonts w:hint="default" w:ascii="Times New Roman" w:hAnsi="Times New Roman" w:cs="Times New Roman"/>
                <w:color w:val="auto"/>
                <w:sz w:val="24"/>
                <w:highlight w:val="none"/>
                <w:lang w:val="en-US" w:eastAsia="zh-CN" w:bidi="ar"/>
              </w:rPr>
              <w:t>对照《环</w:t>
            </w:r>
            <w:r>
              <w:rPr>
                <w:rFonts w:hint="default" w:ascii="Times New Roman" w:hAnsi="Times New Roman" w:eastAsia="宋体" w:cs="Times New Roman"/>
                <w:color w:val="auto"/>
                <w:sz w:val="24"/>
                <w:highlight w:val="none"/>
                <w:lang w:val="en-US" w:eastAsia="zh-CN" w:bidi="ar"/>
              </w:rPr>
              <w:t>境影响评价技术导则 土壤环境（试行）》（HJ 964—2018）附录A，</w:t>
            </w:r>
            <w:r>
              <w:rPr>
                <w:rFonts w:hint="eastAsia" w:ascii="Times New Roman" w:hAnsi="Times New Roman" w:eastAsia="宋体" w:cs="Times New Roman"/>
                <w:color w:val="auto"/>
                <w:sz w:val="24"/>
                <w:highlight w:val="none"/>
                <w:lang w:val="en-US" w:eastAsia="zh-CN" w:bidi="ar"/>
              </w:rPr>
              <w:t>项目属于电力热力燃气及水生产和供应业、其他，对应项目类别属于</w:t>
            </w:r>
            <w:r>
              <w:rPr>
                <w:rFonts w:hint="default" w:ascii="Times New Roman" w:hAnsi="Times New Roman" w:cs="Times New Roman"/>
                <w:color w:val="auto"/>
                <w:sz w:val="24"/>
                <w:highlight w:val="none"/>
                <w:lang w:val="en-US" w:eastAsia="zh-CN" w:bidi="ar"/>
              </w:rPr>
              <w:t>Ⅳ类项目，本次评价可不开展土壤环境影响评价。</w:t>
            </w:r>
          </w:p>
          <w:p w14:paraId="0284F1C6">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七</w:t>
            </w:r>
            <w:r>
              <w:rPr>
                <w:rFonts w:hint="default" w:ascii="Times New Roman" w:hAnsi="Times New Roman" w:cs="Times New Roman"/>
                <w:b/>
                <w:bCs/>
                <w:color w:val="auto"/>
                <w:kern w:val="0"/>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生态环境</w:t>
            </w:r>
          </w:p>
          <w:p w14:paraId="2633B5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bidi="ar"/>
              </w:rPr>
            </w:pPr>
            <w:r>
              <w:rPr>
                <w:rFonts w:hint="default" w:ascii="Times New Roman" w:hAnsi="Times New Roman" w:eastAsia="宋体" w:cs="Times New Roman"/>
                <w:color w:val="auto"/>
                <w:sz w:val="24"/>
                <w:szCs w:val="24"/>
                <w:highlight w:val="none"/>
                <w:lang w:val="en-US" w:eastAsia="zh-CN" w:bidi="ar"/>
              </w:rPr>
              <w:t>本项目依托现有厂区用地且用地范围内无重要物种、生态敏感区以及其他需要保护的物种、种群、生物群落及生态空间等，无生态环境保护目标。</w:t>
            </w:r>
          </w:p>
          <w:p w14:paraId="3AF85F0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bidi="ar"/>
              </w:rPr>
            </w:pPr>
            <w:r>
              <w:rPr>
                <w:rFonts w:hint="default" w:ascii="Times New Roman" w:hAnsi="Times New Roman" w:eastAsia="宋体" w:cs="Times New Roman"/>
                <w:color w:val="auto"/>
                <w:sz w:val="24"/>
                <w:szCs w:val="24"/>
                <w:highlight w:val="none"/>
                <w:lang w:val="en-US" w:eastAsia="zh-CN" w:bidi="ar"/>
              </w:rPr>
              <w:t>本次评价暂</w:t>
            </w:r>
            <w:r>
              <w:rPr>
                <w:rFonts w:hint="default" w:ascii="Times New Roman" w:hAnsi="Times New Roman" w:cs="Times New Roman"/>
                <w:color w:val="auto"/>
                <w:sz w:val="24"/>
                <w:szCs w:val="24"/>
                <w:highlight w:val="none"/>
                <w:lang w:val="en-US" w:eastAsia="zh-CN" w:bidi="ar"/>
              </w:rPr>
              <w:t>不开展</w:t>
            </w:r>
            <w:r>
              <w:rPr>
                <w:rFonts w:hint="default" w:ascii="Times New Roman" w:hAnsi="Times New Roman" w:eastAsia="宋体" w:cs="Times New Roman"/>
                <w:color w:val="auto"/>
                <w:sz w:val="24"/>
                <w:szCs w:val="24"/>
                <w:highlight w:val="none"/>
                <w:lang w:val="en-US" w:eastAsia="zh-CN" w:bidi="ar"/>
              </w:rPr>
              <w:t>生态环境影响</w:t>
            </w:r>
            <w:r>
              <w:rPr>
                <w:rFonts w:hint="default" w:ascii="Times New Roman" w:hAnsi="Times New Roman" w:cs="Times New Roman"/>
                <w:color w:val="auto"/>
                <w:sz w:val="24"/>
                <w:szCs w:val="24"/>
                <w:highlight w:val="none"/>
                <w:lang w:val="en-US" w:eastAsia="zh-CN" w:bidi="ar"/>
              </w:rPr>
              <w:t>评价</w:t>
            </w:r>
            <w:r>
              <w:rPr>
                <w:rFonts w:hint="default" w:ascii="Times New Roman" w:hAnsi="Times New Roman" w:eastAsia="宋体" w:cs="Times New Roman"/>
                <w:color w:val="auto"/>
                <w:sz w:val="24"/>
                <w:szCs w:val="24"/>
                <w:highlight w:val="none"/>
                <w:lang w:val="en-US" w:eastAsia="zh-CN" w:bidi="ar"/>
              </w:rPr>
              <w:t>。</w:t>
            </w:r>
          </w:p>
          <w:p w14:paraId="336D2925">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八</w:t>
            </w:r>
            <w:r>
              <w:rPr>
                <w:rFonts w:hint="default" w:ascii="Times New Roman" w:hAnsi="Times New Roman" w:cs="Times New Roman"/>
                <w:b/>
                <w:bCs/>
                <w:color w:val="auto"/>
                <w:kern w:val="0"/>
                <w:sz w:val="24"/>
                <w:szCs w:val="24"/>
                <w:highlight w:val="none"/>
                <w:lang w:val="en-US" w:eastAsia="zh-CN"/>
              </w:rPr>
              <w:t>、环境风险</w:t>
            </w:r>
          </w:p>
          <w:p w14:paraId="095B080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 w:val="0"/>
                <w:bCs w:val="0"/>
                <w:color w:val="auto"/>
                <w:kern w:val="0"/>
                <w:sz w:val="24"/>
                <w:szCs w:val="24"/>
                <w:highlight w:val="none"/>
                <w:lang w:val="en-US" w:eastAsia="zh-CN"/>
              </w:rPr>
            </w:pPr>
            <w:r>
              <w:rPr>
                <w:rFonts w:hint="eastAsia" w:cs="Times New Roman"/>
                <w:b w:val="0"/>
                <w:bCs w:val="0"/>
                <w:color w:val="auto"/>
                <w:kern w:val="0"/>
                <w:sz w:val="24"/>
                <w:szCs w:val="24"/>
                <w:highlight w:val="none"/>
                <w:lang w:val="en-US" w:eastAsia="zh-CN"/>
              </w:rPr>
              <w:t>（一）可能影响途经分析</w:t>
            </w:r>
          </w:p>
          <w:p w14:paraId="311B5E4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lang w:val="en-US" w:eastAsia="zh-CN"/>
              </w:rPr>
            </w:pPr>
            <w:r>
              <w:rPr>
                <w:rFonts w:hint="eastAsia" w:cs="Times New Roman"/>
                <w:b w:val="0"/>
                <w:bCs w:val="0"/>
                <w:color w:val="auto"/>
                <w:kern w:val="0"/>
                <w:sz w:val="24"/>
                <w:szCs w:val="24"/>
                <w:highlight w:val="none"/>
                <w:lang w:val="en-US" w:eastAsia="zh-CN"/>
              </w:rPr>
              <w:t>项目所涉及的环境风险为生物质燃料储存过程中发生火灾或爆炸事故</w:t>
            </w:r>
            <w:r>
              <w:rPr>
                <w:rFonts w:hint="eastAsia" w:ascii="Times New Roman" w:hAnsi="Times New Roman" w:eastAsia="宋体" w:cs="Times New Roman"/>
                <w:color w:val="auto"/>
                <w:sz w:val="24"/>
                <w:highlight w:val="none"/>
                <w:lang w:val="en-US" w:eastAsia="zh-CN" w:bidi="ar"/>
              </w:rPr>
              <w:t>。</w:t>
            </w:r>
          </w:p>
          <w:p w14:paraId="235AD003">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eastAsia" w:ascii="Times New Roman" w:hAnsi="Times New Roman" w:eastAsia="宋体" w:cs="Times New Roman"/>
                <w:b w:val="0"/>
                <w:bCs w:val="0"/>
                <w:color w:val="auto"/>
                <w:kern w:val="0"/>
                <w:sz w:val="24"/>
                <w:szCs w:val="24"/>
                <w:highlight w:val="none"/>
                <w:lang w:val="en-US" w:eastAsia="zh-CN"/>
              </w:rPr>
              <w:t>（二）环境风险防范措施</w:t>
            </w:r>
          </w:p>
          <w:p w14:paraId="4F4B983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b w:val="0"/>
                <w:bCs w:val="0"/>
                <w:color w:val="auto"/>
                <w:kern w:val="0"/>
                <w:sz w:val="24"/>
                <w:szCs w:val="24"/>
                <w:highlight w:val="none"/>
                <w:lang w:val="en-US" w:eastAsia="zh-CN"/>
              </w:rPr>
            </w:pPr>
            <w:r>
              <w:rPr>
                <w:rFonts w:hint="eastAsia" w:ascii="Times New Roman" w:hAnsi="Times New Roman" w:eastAsia="宋体" w:cs="Times New Roman"/>
                <w:b w:val="0"/>
                <w:bCs w:val="0"/>
                <w:color w:val="auto"/>
                <w:kern w:val="0"/>
                <w:sz w:val="24"/>
                <w:szCs w:val="24"/>
                <w:highlight w:val="none"/>
                <w:lang w:val="en-US" w:eastAsia="zh-CN"/>
              </w:rPr>
              <w:t>1.</w:t>
            </w:r>
            <w:r>
              <w:rPr>
                <w:rFonts w:hint="default" w:ascii="Times New Roman" w:hAnsi="Times New Roman" w:eastAsia="宋体" w:cs="Times New Roman"/>
                <w:b w:val="0"/>
                <w:bCs w:val="0"/>
                <w:color w:val="auto"/>
                <w:kern w:val="0"/>
                <w:sz w:val="24"/>
                <w:szCs w:val="24"/>
                <w:highlight w:val="none"/>
                <w:lang w:val="en-US" w:eastAsia="zh-CN"/>
              </w:rPr>
              <w:t>项目应按规范配置灭火器材和消防装备</w:t>
            </w:r>
            <w:r>
              <w:rPr>
                <w:rFonts w:hint="eastAsia" w:ascii="Times New Roman" w:hAnsi="Times New Roman" w:eastAsia="宋体" w:cs="Times New Roman"/>
                <w:b w:val="0"/>
                <w:bCs w:val="0"/>
                <w:color w:val="auto"/>
                <w:kern w:val="0"/>
                <w:sz w:val="24"/>
                <w:szCs w:val="24"/>
                <w:highlight w:val="none"/>
                <w:lang w:val="en-US" w:eastAsia="zh-CN"/>
              </w:rPr>
              <w:t>；</w:t>
            </w:r>
            <w:r>
              <w:rPr>
                <w:rFonts w:hint="default" w:ascii="Times New Roman" w:hAnsi="Times New Roman" w:eastAsia="宋体" w:cs="Times New Roman"/>
                <w:b w:val="0"/>
                <w:bCs w:val="0"/>
                <w:color w:val="auto"/>
                <w:kern w:val="0"/>
                <w:sz w:val="24"/>
                <w:szCs w:val="24"/>
                <w:highlight w:val="none"/>
                <w:lang w:val="en-US" w:eastAsia="zh-CN"/>
              </w:rPr>
              <w:t>制定巡查制度，重点巡查易燃原辅材料的使用区域</w:t>
            </w:r>
            <w:r>
              <w:rPr>
                <w:rFonts w:hint="eastAsia" w:ascii="Times New Roman" w:hAnsi="Times New Roman" w:eastAsia="宋体" w:cs="Times New Roman"/>
                <w:b w:val="0"/>
                <w:bCs w:val="0"/>
                <w:color w:val="auto"/>
                <w:kern w:val="0"/>
                <w:sz w:val="24"/>
                <w:szCs w:val="24"/>
                <w:highlight w:val="none"/>
                <w:lang w:val="en-US" w:eastAsia="zh-CN"/>
              </w:rPr>
              <w:t>，</w:t>
            </w:r>
            <w:r>
              <w:rPr>
                <w:rFonts w:hint="default" w:ascii="Times New Roman" w:hAnsi="Times New Roman" w:eastAsia="宋体" w:cs="Times New Roman"/>
                <w:b w:val="0"/>
                <w:bCs w:val="0"/>
                <w:color w:val="auto"/>
                <w:kern w:val="0"/>
                <w:sz w:val="24"/>
                <w:szCs w:val="24"/>
                <w:highlight w:val="none"/>
                <w:lang w:val="en-US" w:eastAsia="zh-CN"/>
              </w:rPr>
              <w:t>对设备维修检查，需进行维修</w:t>
            </w:r>
            <w:r>
              <w:rPr>
                <w:rFonts w:hint="eastAsia" w:ascii="Times New Roman" w:hAnsi="Times New Roman" w:eastAsia="宋体" w:cs="Times New Roman"/>
                <w:b w:val="0"/>
                <w:bCs w:val="0"/>
                <w:color w:val="auto"/>
                <w:kern w:val="0"/>
                <w:sz w:val="24"/>
                <w:szCs w:val="24"/>
                <w:highlight w:val="none"/>
                <w:lang w:val="en-US" w:eastAsia="zh-CN"/>
              </w:rPr>
              <w:t>焊接</w:t>
            </w:r>
            <w:r>
              <w:rPr>
                <w:rFonts w:hint="default" w:ascii="Times New Roman" w:hAnsi="Times New Roman" w:eastAsia="宋体" w:cs="Times New Roman"/>
                <w:b w:val="0"/>
                <w:bCs w:val="0"/>
                <w:color w:val="auto"/>
                <w:kern w:val="0"/>
                <w:sz w:val="24"/>
                <w:szCs w:val="24"/>
                <w:highlight w:val="none"/>
                <w:lang w:val="en-US" w:eastAsia="zh-CN"/>
              </w:rPr>
              <w:t>，应经安全部门确认、准许，</w:t>
            </w:r>
            <w:r>
              <w:rPr>
                <w:rFonts w:hint="eastAsia" w:ascii="Times New Roman" w:hAnsi="Times New Roman" w:eastAsia="宋体" w:cs="Times New Roman"/>
                <w:b w:val="0"/>
                <w:bCs w:val="0"/>
                <w:color w:val="auto"/>
                <w:kern w:val="0"/>
                <w:sz w:val="24"/>
                <w:szCs w:val="24"/>
                <w:highlight w:val="none"/>
                <w:lang w:val="en-US" w:eastAsia="zh-CN"/>
              </w:rPr>
              <w:t>并</w:t>
            </w:r>
            <w:r>
              <w:rPr>
                <w:rFonts w:hint="default" w:ascii="Times New Roman" w:hAnsi="Times New Roman" w:eastAsia="宋体" w:cs="Times New Roman"/>
                <w:b w:val="0"/>
                <w:bCs w:val="0"/>
                <w:color w:val="auto"/>
                <w:kern w:val="0"/>
                <w:sz w:val="24"/>
                <w:szCs w:val="24"/>
                <w:highlight w:val="none"/>
                <w:lang w:val="en-US" w:eastAsia="zh-CN"/>
              </w:rPr>
              <w:t>记录在案。</w:t>
            </w:r>
          </w:p>
          <w:p w14:paraId="2D14A418">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eastAsia" w:ascii="Times New Roman" w:hAnsi="Times New Roman" w:eastAsia="宋体" w:cs="Times New Roman"/>
                <w:b w:val="0"/>
                <w:bCs w:val="0"/>
                <w:color w:val="auto"/>
                <w:kern w:val="0"/>
                <w:sz w:val="24"/>
                <w:szCs w:val="24"/>
                <w:highlight w:val="none"/>
                <w:lang w:val="en-US" w:eastAsia="zh-CN"/>
              </w:rPr>
              <w:t>2.加强火源管理，杜绝各种火种，明火发生源为火柴、打火机等，严禁闲杂人员入内；工作人员要熟练掌握操作技术和防火安全管理规定。</w:t>
            </w:r>
          </w:p>
          <w:p w14:paraId="0DC8A5E3">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eastAsia" w:ascii="Times New Roman" w:hAnsi="Times New Roman" w:eastAsia="宋体" w:cs="Times New Roman"/>
                <w:b w:val="0"/>
                <w:bCs w:val="0"/>
                <w:color w:val="auto"/>
                <w:kern w:val="0"/>
                <w:sz w:val="24"/>
                <w:szCs w:val="24"/>
                <w:highlight w:val="none"/>
                <w:lang w:val="en-US" w:eastAsia="zh-CN"/>
              </w:rPr>
              <w:t>3.厂内发生火灾时，采取先控制后消灭的消防措施。统一指挥、积极组织人员进行灭火，堵截火势、防止蔓延；扑救人员应注意占领上风或侧风阵地。</w:t>
            </w:r>
          </w:p>
          <w:p w14:paraId="28F9BC7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八、环保投资</w:t>
            </w:r>
          </w:p>
          <w:p w14:paraId="41C08049">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本项目总投资</w:t>
            </w:r>
            <w:r>
              <w:rPr>
                <w:rFonts w:hint="eastAsia" w:cs="Times New Roman"/>
                <w:color w:val="auto"/>
                <w:sz w:val="24"/>
                <w:szCs w:val="24"/>
                <w:highlight w:val="none"/>
                <w:lang w:val="en-US" w:eastAsia="zh-CN"/>
              </w:rPr>
              <w:t>620</w:t>
            </w:r>
            <w:r>
              <w:rPr>
                <w:rFonts w:hint="default" w:ascii="Times New Roman" w:hAnsi="Times New Roman" w:cs="Times New Roman"/>
                <w:color w:val="auto"/>
                <w:kern w:val="0"/>
                <w:sz w:val="24"/>
                <w:szCs w:val="24"/>
                <w:highlight w:val="none"/>
                <w:lang w:val="en-US" w:eastAsia="zh-CN"/>
              </w:rPr>
              <w:t>万元，环保投资</w:t>
            </w:r>
            <w:r>
              <w:rPr>
                <w:rFonts w:hint="eastAsia" w:cs="Times New Roman"/>
                <w:color w:val="auto"/>
                <w:kern w:val="0"/>
                <w:sz w:val="24"/>
                <w:szCs w:val="24"/>
                <w:highlight w:val="none"/>
                <w:lang w:val="en-US" w:eastAsia="zh-CN"/>
              </w:rPr>
              <w:t>32.0</w:t>
            </w:r>
            <w:r>
              <w:rPr>
                <w:rFonts w:hint="default" w:ascii="Times New Roman" w:hAnsi="Times New Roman" w:cs="Times New Roman"/>
                <w:color w:val="auto"/>
                <w:kern w:val="0"/>
                <w:sz w:val="24"/>
                <w:szCs w:val="24"/>
                <w:highlight w:val="none"/>
                <w:lang w:val="en-US" w:eastAsia="zh-CN"/>
              </w:rPr>
              <w:t>万元，占总投资</w:t>
            </w:r>
            <w:r>
              <w:rPr>
                <w:rFonts w:hint="eastAsia" w:cs="Times New Roman"/>
                <w:color w:val="auto"/>
                <w:kern w:val="0"/>
                <w:sz w:val="24"/>
                <w:szCs w:val="24"/>
                <w:highlight w:val="none"/>
                <w:lang w:val="en-US" w:eastAsia="zh-CN"/>
              </w:rPr>
              <w:t>5.16</w:t>
            </w:r>
            <w:r>
              <w:rPr>
                <w:rFonts w:hint="default" w:ascii="Times New Roman" w:hAnsi="Times New Roman" w:cs="Times New Roman"/>
                <w:color w:val="auto"/>
                <w:kern w:val="0"/>
                <w:sz w:val="24"/>
                <w:szCs w:val="24"/>
                <w:highlight w:val="none"/>
                <w:lang w:val="en-US" w:eastAsia="zh-CN"/>
              </w:rPr>
              <w:t>%。</w:t>
            </w:r>
          </w:p>
          <w:p w14:paraId="1B9C8B3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表4-</w:t>
            </w:r>
            <w:r>
              <w:rPr>
                <w:rFonts w:hint="eastAsia" w:cs="Times New Roman"/>
                <w:b/>
                <w:bCs/>
                <w:color w:val="auto"/>
                <w:sz w:val="21"/>
                <w:szCs w:val="21"/>
                <w:highlight w:val="none"/>
                <w:lang w:val="en-US" w:eastAsia="zh-CN"/>
              </w:rPr>
              <w:t>21</w:t>
            </w:r>
            <w:r>
              <w:rPr>
                <w:rFonts w:hint="default" w:ascii="Times New Roman" w:hAnsi="Times New Roman" w:eastAsia="宋体" w:cs="Times New Roman"/>
                <w:b/>
                <w:bCs/>
                <w:color w:val="auto"/>
                <w:sz w:val="21"/>
                <w:szCs w:val="21"/>
                <w:highlight w:val="none"/>
                <w:lang w:val="en-US" w:eastAsia="zh-CN"/>
              </w:rPr>
              <w:t xml:space="preserve">  环保投资一览表</w:t>
            </w:r>
          </w:p>
          <w:tbl>
            <w:tblPr>
              <w:tblStyle w:val="20"/>
              <w:tblW w:w="5000" w:type="pct"/>
              <w:tblInd w:w="0" w:type="dxa"/>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469"/>
              <w:gridCol w:w="1207"/>
              <w:gridCol w:w="5057"/>
              <w:gridCol w:w="1968"/>
            </w:tblGrid>
            <w:tr w14:paraId="59EEB645">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676" w:type="dxa"/>
                  <w:gridSpan w:val="2"/>
                  <w:tcBorders>
                    <w:tl2br w:val="nil"/>
                    <w:tr2bl w:val="nil"/>
                  </w:tcBorders>
                  <w:noWrap w:val="0"/>
                  <w:vAlign w:val="center"/>
                </w:tcPr>
                <w:p w14:paraId="4DA2118A">
                  <w:pPr>
                    <w:autoSpaceDE w:val="0"/>
                    <w:autoSpaceDN w:val="0"/>
                    <w:adjustRightInd w:val="0"/>
                    <w:snapToGrid w:val="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类别</w:t>
                  </w:r>
                </w:p>
              </w:tc>
              <w:tc>
                <w:tcPr>
                  <w:tcW w:w="5057" w:type="dxa"/>
                  <w:tcBorders>
                    <w:tl2br w:val="nil"/>
                    <w:tr2bl w:val="nil"/>
                  </w:tcBorders>
                  <w:noWrap w:val="0"/>
                  <w:vAlign w:val="center"/>
                </w:tcPr>
                <w:p w14:paraId="6A208C92">
                  <w:pPr>
                    <w:autoSpaceDE w:val="0"/>
                    <w:autoSpaceDN w:val="0"/>
                    <w:adjustRightInd w:val="0"/>
                    <w:snapToGrid w:val="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环保设施</w:t>
                  </w:r>
                </w:p>
              </w:tc>
              <w:tc>
                <w:tcPr>
                  <w:tcW w:w="1968" w:type="dxa"/>
                  <w:tcBorders>
                    <w:tl2br w:val="nil"/>
                    <w:tr2bl w:val="nil"/>
                  </w:tcBorders>
                  <w:noWrap w:val="0"/>
                  <w:vAlign w:val="center"/>
                </w:tcPr>
                <w:p w14:paraId="3E32BCB0">
                  <w:pPr>
                    <w:autoSpaceDE w:val="0"/>
                    <w:autoSpaceDN w:val="0"/>
                    <w:adjustRightInd w:val="0"/>
                    <w:snapToGrid w:val="0"/>
                    <w:jc w:val="center"/>
                    <w:rPr>
                      <w:rFonts w:hint="default" w:ascii="Times New Roman" w:hAnsi="Times New Roman" w:cs="Times New Roman"/>
                      <w:b/>
                      <w:bCs/>
                      <w:color w:val="auto"/>
                      <w:kern w:val="0"/>
                      <w:sz w:val="21"/>
                      <w:szCs w:val="21"/>
                      <w:highlight w:val="none"/>
                      <w:lang w:val="en-US"/>
                    </w:rPr>
                  </w:pPr>
                  <w:r>
                    <w:rPr>
                      <w:rFonts w:hint="default" w:ascii="Times New Roman" w:hAnsi="Times New Roman" w:cs="Times New Roman"/>
                      <w:b/>
                      <w:bCs/>
                      <w:color w:val="auto"/>
                      <w:kern w:val="0"/>
                      <w:sz w:val="21"/>
                      <w:szCs w:val="21"/>
                      <w:highlight w:val="none"/>
                    </w:rPr>
                    <w:t>工程投资</w:t>
                  </w:r>
                  <w:r>
                    <w:rPr>
                      <w:rFonts w:hint="eastAsia" w:cs="Times New Roman"/>
                      <w:b/>
                      <w:bCs/>
                      <w:color w:val="auto"/>
                      <w:kern w:val="0"/>
                      <w:sz w:val="21"/>
                      <w:szCs w:val="21"/>
                      <w:highlight w:val="none"/>
                      <w:lang w:val="en-US" w:eastAsia="zh-CN"/>
                    </w:rPr>
                    <w:t>(</w:t>
                  </w:r>
                  <w:r>
                    <w:rPr>
                      <w:rFonts w:hint="default" w:ascii="Times New Roman" w:hAnsi="Times New Roman" w:cs="Times New Roman"/>
                      <w:b/>
                      <w:bCs/>
                      <w:color w:val="auto"/>
                      <w:kern w:val="0"/>
                      <w:sz w:val="21"/>
                      <w:szCs w:val="21"/>
                      <w:highlight w:val="none"/>
                      <w:lang w:val="en-US" w:eastAsia="zh-CN"/>
                    </w:rPr>
                    <w:t>万元</w:t>
                  </w:r>
                  <w:r>
                    <w:rPr>
                      <w:rFonts w:hint="eastAsia" w:ascii="Times New Roman" w:hAnsi="Times New Roman" w:cs="Times New Roman"/>
                      <w:b/>
                      <w:bCs/>
                      <w:color w:val="auto"/>
                      <w:kern w:val="0"/>
                      <w:sz w:val="21"/>
                      <w:szCs w:val="21"/>
                      <w:highlight w:val="none"/>
                      <w:lang w:val="en-US" w:eastAsia="zh-CN"/>
                    </w:rPr>
                    <w:t>)</w:t>
                  </w:r>
                </w:p>
              </w:tc>
            </w:tr>
            <w:tr w14:paraId="22DC720F">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69" w:type="dxa"/>
                  <w:vMerge w:val="restart"/>
                  <w:tcBorders>
                    <w:tl2br w:val="nil"/>
                    <w:tr2bl w:val="nil"/>
                  </w:tcBorders>
                  <w:noWrap w:val="0"/>
                  <w:vAlign w:val="center"/>
                </w:tcPr>
                <w:p w14:paraId="2944FACB">
                  <w:pPr>
                    <w:autoSpaceDE w:val="0"/>
                    <w:autoSpaceDN w:val="0"/>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运营期</w:t>
                  </w:r>
                </w:p>
              </w:tc>
              <w:tc>
                <w:tcPr>
                  <w:tcW w:w="1207" w:type="dxa"/>
                  <w:vMerge w:val="restart"/>
                  <w:tcBorders>
                    <w:tl2br w:val="nil"/>
                    <w:tr2bl w:val="nil"/>
                  </w:tcBorders>
                  <w:noWrap w:val="0"/>
                  <w:vAlign w:val="center"/>
                </w:tcPr>
                <w:p w14:paraId="398836D4">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废气</w:t>
                  </w:r>
                </w:p>
              </w:tc>
              <w:tc>
                <w:tcPr>
                  <w:tcW w:w="5057" w:type="dxa"/>
                  <w:tcBorders>
                    <w:tl2br w:val="nil"/>
                    <w:tr2bl w:val="nil"/>
                  </w:tcBorders>
                  <w:noWrap w:val="0"/>
                  <w:vAlign w:val="center"/>
                </w:tcPr>
                <w:p w14:paraId="3DAD3FDB">
                  <w:pPr>
                    <w:autoSpaceDE w:val="0"/>
                    <w:autoSpaceDN w:val="0"/>
                    <w:adjustRightInd w:val="0"/>
                    <w:snapToGrid w:val="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sz w:val="21"/>
                      <w:szCs w:val="21"/>
                      <w:highlight w:val="none"/>
                      <w:lang w:val="en-US" w:eastAsia="zh-CN"/>
                    </w:rPr>
                    <w:t>旋风多管陶瓷除尘器+布袋除尘器</w:t>
                  </w:r>
                </w:p>
              </w:tc>
              <w:tc>
                <w:tcPr>
                  <w:tcW w:w="1968" w:type="dxa"/>
                  <w:tcBorders>
                    <w:tl2br w:val="nil"/>
                    <w:tr2bl w:val="nil"/>
                  </w:tcBorders>
                  <w:noWrap w:val="0"/>
                  <w:vAlign w:val="center"/>
                </w:tcPr>
                <w:p w14:paraId="7CFC23F1">
                  <w:pPr>
                    <w:autoSpaceDE w:val="0"/>
                    <w:autoSpaceDN w:val="0"/>
                    <w:adjustRightInd w:val="0"/>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15.0</w:t>
                  </w:r>
                </w:p>
              </w:tc>
            </w:tr>
            <w:tr w14:paraId="69C52BDE">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69" w:type="dxa"/>
                  <w:vMerge w:val="continue"/>
                  <w:tcBorders>
                    <w:tl2br w:val="nil"/>
                    <w:tr2bl w:val="nil"/>
                  </w:tcBorders>
                  <w:noWrap w:val="0"/>
                  <w:vAlign w:val="center"/>
                </w:tcPr>
                <w:p w14:paraId="46DC9970">
                  <w:pPr>
                    <w:autoSpaceDE w:val="0"/>
                    <w:autoSpaceDN w:val="0"/>
                    <w:adjustRightInd w:val="0"/>
                    <w:snapToGrid w:val="0"/>
                    <w:jc w:val="center"/>
                    <w:rPr>
                      <w:rFonts w:hint="default" w:ascii="Times New Roman" w:hAnsi="Times New Roman" w:cs="Times New Roman"/>
                      <w:color w:val="auto"/>
                      <w:kern w:val="0"/>
                      <w:sz w:val="21"/>
                      <w:szCs w:val="21"/>
                      <w:highlight w:val="none"/>
                    </w:rPr>
                  </w:pPr>
                </w:p>
              </w:tc>
              <w:tc>
                <w:tcPr>
                  <w:tcW w:w="1207" w:type="dxa"/>
                  <w:vMerge w:val="continue"/>
                  <w:tcBorders>
                    <w:tl2br w:val="nil"/>
                    <w:tr2bl w:val="nil"/>
                  </w:tcBorders>
                  <w:noWrap w:val="0"/>
                  <w:vAlign w:val="center"/>
                </w:tcPr>
                <w:p w14:paraId="25524DC0">
                  <w:pPr>
                    <w:autoSpaceDE w:val="0"/>
                    <w:autoSpaceDN w:val="0"/>
                    <w:adjustRightInd w:val="0"/>
                    <w:snapToGrid w:val="0"/>
                    <w:jc w:val="center"/>
                    <w:rPr>
                      <w:rFonts w:hint="eastAsia" w:cs="Times New Roman"/>
                      <w:color w:val="auto"/>
                      <w:kern w:val="0"/>
                      <w:sz w:val="21"/>
                      <w:szCs w:val="21"/>
                      <w:highlight w:val="none"/>
                      <w:lang w:val="en-US" w:eastAsia="zh-CN"/>
                    </w:rPr>
                  </w:pPr>
                </w:p>
              </w:tc>
              <w:tc>
                <w:tcPr>
                  <w:tcW w:w="5057" w:type="dxa"/>
                  <w:tcBorders>
                    <w:tl2br w:val="nil"/>
                    <w:tr2bl w:val="nil"/>
                  </w:tcBorders>
                  <w:noWrap w:val="0"/>
                  <w:vAlign w:val="center"/>
                </w:tcPr>
                <w:p w14:paraId="25EAFAA9">
                  <w:pPr>
                    <w:autoSpaceDE w:val="0"/>
                    <w:autoSpaceDN w:val="0"/>
                    <w:adjustRightInd w:val="0"/>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35米锅炉烟囱</w:t>
                  </w:r>
                </w:p>
              </w:tc>
              <w:tc>
                <w:tcPr>
                  <w:tcW w:w="1968" w:type="dxa"/>
                  <w:tcBorders>
                    <w:tl2br w:val="nil"/>
                    <w:tr2bl w:val="nil"/>
                  </w:tcBorders>
                  <w:noWrap w:val="0"/>
                  <w:vAlign w:val="center"/>
                </w:tcPr>
                <w:p w14:paraId="23DA6629">
                  <w:pPr>
                    <w:autoSpaceDE w:val="0"/>
                    <w:autoSpaceDN w:val="0"/>
                    <w:adjustRightInd w:val="0"/>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5.0</w:t>
                  </w:r>
                </w:p>
              </w:tc>
            </w:tr>
            <w:tr w14:paraId="64EA0DC5">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69" w:type="dxa"/>
                  <w:vMerge w:val="continue"/>
                  <w:tcBorders>
                    <w:tl2br w:val="nil"/>
                    <w:tr2bl w:val="nil"/>
                  </w:tcBorders>
                  <w:noWrap w:val="0"/>
                  <w:vAlign w:val="center"/>
                </w:tcPr>
                <w:p w14:paraId="0AA47F0D">
                  <w:pPr>
                    <w:autoSpaceDE w:val="0"/>
                    <w:autoSpaceDN w:val="0"/>
                    <w:adjustRightInd w:val="0"/>
                    <w:snapToGrid w:val="0"/>
                    <w:jc w:val="center"/>
                    <w:rPr>
                      <w:rFonts w:hint="default" w:ascii="Times New Roman" w:hAnsi="Times New Roman" w:cs="Times New Roman"/>
                      <w:color w:val="auto"/>
                      <w:kern w:val="0"/>
                      <w:sz w:val="21"/>
                      <w:szCs w:val="21"/>
                      <w:highlight w:val="none"/>
                    </w:rPr>
                  </w:pPr>
                </w:p>
              </w:tc>
              <w:tc>
                <w:tcPr>
                  <w:tcW w:w="1207" w:type="dxa"/>
                  <w:vMerge w:val="continue"/>
                  <w:tcBorders>
                    <w:tl2br w:val="nil"/>
                    <w:tr2bl w:val="nil"/>
                  </w:tcBorders>
                  <w:noWrap w:val="0"/>
                  <w:vAlign w:val="center"/>
                </w:tcPr>
                <w:p w14:paraId="15C7EEB6">
                  <w:pPr>
                    <w:autoSpaceDE w:val="0"/>
                    <w:autoSpaceDN w:val="0"/>
                    <w:adjustRightInd w:val="0"/>
                    <w:snapToGrid w:val="0"/>
                    <w:jc w:val="center"/>
                    <w:rPr>
                      <w:rFonts w:hint="eastAsia" w:cs="Times New Roman"/>
                      <w:color w:val="auto"/>
                      <w:kern w:val="0"/>
                      <w:sz w:val="21"/>
                      <w:szCs w:val="21"/>
                      <w:highlight w:val="none"/>
                      <w:lang w:val="en-US" w:eastAsia="zh-CN"/>
                    </w:rPr>
                  </w:pPr>
                </w:p>
              </w:tc>
              <w:tc>
                <w:tcPr>
                  <w:tcW w:w="5057" w:type="dxa"/>
                  <w:tcBorders>
                    <w:tl2br w:val="nil"/>
                    <w:tr2bl w:val="nil"/>
                  </w:tcBorders>
                  <w:noWrap w:val="0"/>
                  <w:vAlign w:val="center"/>
                </w:tcPr>
                <w:p w14:paraId="5FD9ECC6">
                  <w:pPr>
                    <w:autoSpaceDE w:val="0"/>
                    <w:autoSpaceDN w:val="0"/>
                    <w:adjustRightInd w:val="0"/>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灰渣暂存间、燃料贮存间封闭措施</w:t>
                  </w:r>
                </w:p>
              </w:tc>
              <w:tc>
                <w:tcPr>
                  <w:tcW w:w="1968" w:type="dxa"/>
                  <w:tcBorders>
                    <w:tl2br w:val="nil"/>
                    <w:tr2bl w:val="nil"/>
                  </w:tcBorders>
                  <w:noWrap w:val="0"/>
                  <w:vAlign w:val="center"/>
                </w:tcPr>
                <w:p w14:paraId="2F7638D0">
                  <w:pPr>
                    <w:autoSpaceDE w:val="0"/>
                    <w:autoSpaceDN w:val="0"/>
                    <w:adjustRightInd w:val="0"/>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0.5</w:t>
                  </w:r>
                </w:p>
              </w:tc>
            </w:tr>
            <w:tr w14:paraId="142A3B09">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69" w:type="dxa"/>
                  <w:vMerge w:val="continue"/>
                  <w:tcBorders>
                    <w:tl2br w:val="nil"/>
                    <w:tr2bl w:val="nil"/>
                  </w:tcBorders>
                  <w:noWrap w:val="0"/>
                  <w:vAlign w:val="center"/>
                </w:tcPr>
                <w:p w14:paraId="46E48272">
                  <w:pPr>
                    <w:autoSpaceDE w:val="0"/>
                    <w:autoSpaceDN w:val="0"/>
                    <w:adjustRightInd w:val="0"/>
                    <w:snapToGrid w:val="0"/>
                    <w:jc w:val="center"/>
                    <w:rPr>
                      <w:rFonts w:hint="default" w:ascii="Times New Roman" w:hAnsi="Times New Roman" w:cs="Times New Roman"/>
                      <w:color w:val="auto"/>
                      <w:kern w:val="0"/>
                      <w:sz w:val="21"/>
                      <w:szCs w:val="21"/>
                      <w:highlight w:val="none"/>
                    </w:rPr>
                  </w:pPr>
                </w:p>
              </w:tc>
              <w:tc>
                <w:tcPr>
                  <w:tcW w:w="1207" w:type="dxa"/>
                  <w:tcBorders>
                    <w:tl2br w:val="nil"/>
                    <w:tr2bl w:val="nil"/>
                  </w:tcBorders>
                  <w:noWrap w:val="0"/>
                  <w:vAlign w:val="center"/>
                </w:tcPr>
                <w:p w14:paraId="0E977220">
                  <w:pPr>
                    <w:autoSpaceDE w:val="0"/>
                    <w:autoSpaceDN w:val="0"/>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废水</w:t>
                  </w:r>
                </w:p>
              </w:tc>
              <w:tc>
                <w:tcPr>
                  <w:tcW w:w="5057" w:type="dxa"/>
                  <w:tcBorders>
                    <w:tl2br w:val="nil"/>
                    <w:tr2bl w:val="nil"/>
                  </w:tcBorders>
                  <w:noWrap w:val="0"/>
                  <w:vAlign w:val="center"/>
                </w:tcPr>
                <w:p w14:paraId="089C3798">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Cs w:val="21"/>
                      <w:highlight w:val="none"/>
                      <w:lang w:val="en-US" w:eastAsia="zh-CN"/>
                    </w:rPr>
                    <w:t>化粪池、</w:t>
                  </w:r>
                  <w:r>
                    <w:rPr>
                      <w:rFonts w:hint="default" w:ascii="Times New Roman" w:hAnsi="Times New Roman" w:cs="Times New Roman"/>
                      <w:color w:val="auto"/>
                      <w:kern w:val="0"/>
                      <w:szCs w:val="21"/>
                      <w:highlight w:val="none"/>
                      <w:lang w:val="en-US" w:eastAsia="zh-CN"/>
                    </w:rPr>
                    <w:t>租用吸污罐车清掏外运污水</w:t>
                  </w:r>
                  <w:r>
                    <w:rPr>
                      <w:rFonts w:hint="eastAsia" w:ascii="Times New Roman" w:hAnsi="Times New Roman" w:cs="Times New Roman"/>
                      <w:color w:val="auto"/>
                      <w:kern w:val="0"/>
                      <w:szCs w:val="21"/>
                      <w:highlight w:val="none"/>
                      <w:lang w:val="en-US" w:eastAsia="zh-CN"/>
                    </w:rPr>
                    <w:t>、</w:t>
                  </w:r>
                  <w:r>
                    <w:rPr>
                      <w:rFonts w:hint="default" w:ascii="Times New Roman" w:hAnsi="Times New Roman" w:cs="Times New Roman"/>
                      <w:color w:val="auto"/>
                      <w:kern w:val="0"/>
                      <w:szCs w:val="21"/>
                      <w:highlight w:val="none"/>
                      <w:lang w:val="en-US" w:eastAsia="zh-CN"/>
                    </w:rPr>
                    <w:t>委托</w:t>
                  </w:r>
                  <w:r>
                    <w:rPr>
                      <w:rFonts w:hint="default" w:ascii="Times New Roman" w:hAnsi="Times New Roman" w:eastAsia="宋体" w:cs="Times New Roman"/>
                      <w:color w:val="auto"/>
                      <w:sz w:val="21"/>
                      <w:szCs w:val="21"/>
                      <w:highlight w:val="none"/>
                      <w:lang w:val="en-US" w:eastAsia="zh-CN"/>
                    </w:rPr>
                    <w:t>饶河县西林子乡污水处理站</w:t>
                  </w:r>
                  <w:r>
                    <w:rPr>
                      <w:rFonts w:hint="default" w:ascii="Times New Roman" w:hAnsi="Times New Roman" w:cs="Times New Roman"/>
                      <w:color w:val="auto"/>
                      <w:kern w:val="0"/>
                      <w:szCs w:val="21"/>
                      <w:highlight w:val="none"/>
                      <w:lang w:val="en-US" w:eastAsia="zh-CN"/>
                    </w:rPr>
                    <w:t>处置污水</w:t>
                  </w:r>
                </w:p>
              </w:tc>
              <w:tc>
                <w:tcPr>
                  <w:tcW w:w="1968" w:type="dxa"/>
                  <w:tcBorders>
                    <w:tl2br w:val="nil"/>
                    <w:tr2bl w:val="nil"/>
                  </w:tcBorders>
                  <w:noWrap w:val="0"/>
                  <w:vAlign w:val="center"/>
                </w:tcPr>
                <w:p w14:paraId="600F4FD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1.5</w:t>
                  </w:r>
                </w:p>
              </w:tc>
            </w:tr>
            <w:tr w14:paraId="1846AFE6">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69" w:type="dxa"/>
                  <w:vMerge w:val="continue"/>
                  <w:tcBorders>
                    <w:tl2br w:val="nil"/>
                    <w:tr2bl w:val="nil"/>
                  </w:tcBorders>
                  <w:noWrap w:val="0"/>
                  <w:vAlign w:val="center"/>
                </w:tcPr>
                <w:p w14:paraId="0549AFE4">
                  <w:pPr>
                    <w:autoSpaceDE w:val="0"/>
                    <w:autoSpaceDN w:val="0"/>
                    <w:adjustRightInd w:val="0"/>
                    <w:snapToGrid w:val="0"/>
                    <w:jc w:val="center"/>
                    <w:rPr>
                      <w:rFonts w:hint="default" w:ascii="Times New Roman" w:hAnsi="Times New Roman" w:cs="Times New Roman"/>
                      <w:color w:val="auto"/>
                      <w:kern w:val="0"/>
                      <w:sz w:val="21"/>
                      <w:szCs w:val="21"/>
                      <w:highlight w:val="none"/>
                    </w:rPr>
                  </w:pPr>
                </w:p>
              </w:tc>
              <w:tc>
                <w:tcPr>
                  <w:tcW w:w="1207" w:type="dxa"/>
                  <w:tcBorders>
                    <w:tl2br w:val="nil"/>
                    <w:tr2bl w:val="nil"/>
                  </w:tcBorders>
                  <w:noWrap w:val="0"/>
                  <w:vAlign w:val="center"/>
                </w:tcPr>
                <w:p w14:paraId="3464EBD5">
                  <w:pPr>
                    <w:autoSpaceDE w:val="0"/>
                    <w:autoSpaceDN w:val="0"/>
                    <w:adjustRightInd w:val="0"/>
                    <w:snapToGrid w:val="0"/>
                    <w:jc w:val="center"/>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噪声</w:t>
                  </w:r>
                </w:p>
              </w:tc>
              <w:tc>
                <w:tcPr>
                  <w:tcW w:w="5057" w:type="dxa"/>
                  <w:tcBorders>
                    <w:tl2br w:val="nil"/>
                    <w:tr2bl w:val="nil"/>
                  </w:tcBorders>
                  <w:noWrap w:val="0"/>
                  <w:vAlign w:val="center"/>
                </w:tcPr>
                <w:p w14:paraId="699B1E61">
                  <w:pPr>
                    <w:autoSpaceDE w:val="0"/>
                    <w:autoSpaceDN w:val="0"/>
                    <w:adjustRightInd w:val="0"/>
                    <w:snapToGrid w:val="0"/>
                    <w:jc w:val="center"/>
                    <w:rPr>
                      <w:rFonts w:hint="default" w:ascii="Times New Roman" w:hAnsi="Times New Roman" w:cs="Times New Roman"/>
                      <w:color w:val="auto"/>
                      <w:kern w:val="0"/>
                      <w:sz w:val="21"/>
                      <w:szCs w:val="21"/>
                      <w:highlight w:val="none"/>
                      <w:lang w:val="en-US" w:eastAsia="zh-CN" w:bidi="ar-SA"/>
                    </w:rPr>
                  </w:pPr>
                  <w:r>
                    <w:rPr>
                      <w:rFonts w:hint="eastAsia" w:cs="Times New Roman"/>
                      <w:color w:val="auto"/>
                      <w:sz w:val="21"/>
                      <w:szCs w:val="21"/>
                      <w:highlight w:val="none"/>
                      <w:lang w:val="en-US" w:eastAsia="zh-CN"/>
                    </w:rPr>
                    <w:t>低噪声设备、</w:t>
                  </w:r>
                  <w:r>
                    <w:rPr>
                      <w:rFonts w:hint="default" w:ascii="Times New Roman" w:hAnsi="Times New Roman" w:cs="Times New Roman"/>
                      <w:color w:val="auto"/>
                      <w:sz w:val="21"/>
                      <w:szCs w:val="21"/>
                      <w:highlight w:val="none"/>
                    </w:rPr>
                    <w:t>基础减振，</w:t>
                  </w:r>
                  <w:r>
                    <w:rPr>
                      <w:rFonts w:hint="default" w:ascii="Times New Roman" w:hAnsi="Times New Roman" w:cs="Times New Roman"/>
                      <w:color w:val="auto"/>
                      <w:sz w:val="21"/>
                      <w:szCs w:val="21"/>
                      <w:highlight w:val="none"/>
                      <w:lang w:val="en-US" w:eastAsia="zh-CN"/>
                    </w:rPr>
                    <w:t>泵</w:t>
                  </w:r>
                  <w:r>
                    <w:rPr>
                      <w:rFonts w:hint="default" w:ascii="Times New Roman" w:hAnsi="Times New Roman" w:cs="Times New Roman"/>
                      <w:color w:val="auto"/>
                      <w:sz w:val="21"/>
                      <w:szCs w:val="21"/>
                      <w:highlight w:val="none"/>
                    </w:rPr>
                    <w:t>类设备软性</w:t>
                  </w:r>
                  <w:r>
                    <w:rPr>
                      <w:rFonts w:hint="eastAsia" w:cs="Times New Roman"/>
                      <w:color w:val="auto"/>
                      <w:sz w:val="21"/>
                      <w:szCs w:val="21"/>
                      <w:highlight w:val="none"/>
                      <w:lang w:val="en-US" w:eastAsia="zh-CN"/>
                    </w:rPr>
                    <w:t>连接等</w:t>
                  </w:r>
                </w:p>
              </w:tc>
              <w:tc>
                <w:tcPr>
                  <w:tcW w:w="1968" w:type="dxa"/>
                  <w:tcBorders>
                    <w:tl2br w:val="nil"/>
                    <w:tr2bl w:val="nil"/>
                  </w:tcBorders>
                  <w:noWrap w:val="0"/>
                  <w:vAlign w:val="center"/>
                </w:tcPr>
                <w:p w14:paraId="569FEFA4">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1.0</w:t>
                  </w:r>
                </w:p>
              </w:tc>
            </w:tr>
            <w:tr w14:paraId="1DA97C5C">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69" w:type="dxa"/>
                  <w:vMerge w:val="continue"/>
                  <w:tcBorders>
                    <w:tl2br w:val="nil"/>
                    <w:tr2bl w:val="nil"/>
                  </w:tcBorders>
                  <w:noWrap w:val="0"/>
                  <w:vAlign w:val="center"/>
                </w:tcPr>
                <w:p w14:paraId="0CC2BD5C">
                  <w:pPr>
                    <w:autoSpaceDE w:val="0"/>
                    <w:autoSpaceDN w:val="0"/>
                    <w:adjustRightInd w:val="0"/>
                    <w:snapToGrid w:val="0"/>
                    <w:jc w:val="center"/>
                    <w:rPr>
                      <w:rFonts w:hint="default" w:ascii="Times New Roman" w:hAnsi="Times New Roman" w:cs="Times New Roman"/>
                      <w:color w:val="auto"/>
                      <w:kern w:val="0"/>
                      <w:sz w:val="21"/>
                      <w:szCs w:val="21"/>
                      <w:highlight w:val="none"/>
                    </w:rPr>
                  </w:pPr>
                </w:p>
              </w:tc>
              <w:tc>
                <w:tcPr>
                  <w:tcW w:w="1207" w:type="dxa"/>
                  <w:tcBorders>
                    <w:tl2br w:val="nil"/>
                    <w:tr2bl w:val="nil"/>
                  </w:tcBorders>
                  <w:noWrap w:val="0"/>
                  <w:vAlign w:val="center"/>
                </w:tcPr>
                <w:p w14:paraId="1E0A2939">
                  <w:pPr>
                    <w:autoSpaceDE w:val="0"/>
                    <w:autoSpaceDN w:val="0"/>
                    <w:adjustRightInd w:val="0"/>
                    <w:snapToGrid w:val="0"/>
                    <w:jc w:val="center"/>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固体废物</w:t>
                  </w:r>
                </w:p>
              </w:tc>
              <w:tc>
                <w:tcPr>
                  <w:tcW w:w="5057" w:type="dxa"/>
                  <w:tcBorders>
                    <w:tl2br w:val="nil"/>
                    <w:tr2bl w:val="nil"/>
                  </w:tcBorders>
                  <w:noWrap w:val="0"/>
                  <w:vAlign w:val="center"/>
                </w:tcPr>
                <w:p w14:paraId="53C97AB9">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一般工业固体废物</w:t>
                  </w:r>
                  <w:r>
                    <w:rPr>
                      <w:rFonts w:hint="eastAsia" w:cs="Times New Roman"/>
                      <w:color w:val="auto"/>
                      <w:kern w:val="0"/>
                      <w:sz w:val="21"/>
                      <w:szCs w:val="21"/>
                      <w:highlight w:val="none"/>
                      <w:lang w:val="en-US" w:eastAsia="zh-CN"/>
                    </w:rPr>
                    <w:t>收集、承装、</w:t>
                  </w:r>
                  <w:r>
                    <w:rPr>
                      <w:rFonts w:hint="default" w:ascii="Times New Roman" w:hAnsi="Times New Roman" w:cs="Times New Roman"/>
                      <w:color w:val="auto"/>
                      <w:kern w:val="0"/>
                      <w:sz w:val="21"/>
                      <w:szCs w:val="21"/>
                      <w:highlight w:val="none"/>
                      <w:lang w:val="en-US" w:eastAsia="zh-CN"/>
                    </w:rPr>
                    <w:t>清运处置</w:t>
                  </w:r>
                  <w:r>
                    <w:rPr>
                      <w:rFonts w:hint="eastAsia" w:cs="Times New Roman"/>
                      <w:color w:val="auto"/>
                      <w:kern w:val="0"/>
                      <w:sz w:val="21"/>
                      <w:szCs w:val="21"/>
                      <w:highlight w:val="none"/>
                      <w:lang w:val="en-US" w:eastAsia="zh-CN"/>
                    </w:rPr>
                    <w:t>等</w:t>
                  </w:r>
                </w:p>
              </w:tc>
              <w:tc>
                <w:tcPr>
                  <w:tcW w:w="1968" w:type="dxa"/>
                  <w:tcBorders>
                    <w:tl2br w:val="nil"/>
                    <w:tr2bl w:val="nil"/>
                  </w:tcBorders>
                  <w:noWrap w:val="0"/>
                  <w:vAlign w:val="center"/>
                </w:tcPr>
                <w:p w14:paraId="31625083">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2.0</w:t>
                  </w:r>
                </w:p>
              </w:tc>
            </w:tr>
            <w:tr w14:paraId="21C86B15">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69" w:type="dxa"/>
                  <w:vMerge w:val="continue"/>
                  <w:tcBorders>
                    <w:tl2br w:val="nil"/>
                    <w:tr2bl w:val="nil"/>
                  </w:tcBorders>
                  <w:noWrap w:val="0"/>
                  <w:vAlign w:val="center"/>
                </w:tcPr>
                <w:p w14:paraId="1162E504">
                  <w:pPr>
                    <w:autoSpaceDE w:val="0"/>
                    <w:autoSpaceDN w:val="0"/>
                    <w:adjustRightInd w:val="0"/>
                    <w:snapToGrid w:val="0"/>
                    <w:jc w:val="center"/>
                    <w:rPr>
                      <w:rFonts w:hint="default" w:ascii="Times New Roman" w:hAnsi="Times New Roman" w:cs="Times New Roman"/>
                      <w:color w:val="auto"/>
                      <w:kern w:val="0"/>
                      <w:sz w:val="21"/>
                      <w:szCs w:val="21"/>
                      <w:highlight w:val="none"/>
                    </w:rPr>
                  </w:pPr>
                </w:p>
              </w:tc>
              <w:tc>
                <w:tcPr>
                  <w:tcW w:w="1207" w:type="dxa"/>
                  <w:tcBorders>
                    <w:tl2br w:val="nil"/>
                    <w:tr2bl w:val="nil"/>
                  </w:tcBorders>
                  <w:noWrap w:val="0"/>
                  <w:vAlign w:val="center"/>
                </w:tcPr>
                <w:p w14:paraId="3FC08EB7">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地下水</w:t>
                  </w:r>
                </w:p>
              </w:tc>
              <w:tc>
                <w:tcPr>
                  <w:tcW w:w="5057" w:type="dxa"/>
                  <w:tcBorders>
                    <w:tl2br w:val="nil"/>
                    <w:tr2bl w:val="nil"/>
                  </w:tcBorders>
                  <w:noWrap w:val="0"/>
                  <w:vAlign w:val="center"/>
                </w:tcPr>
                <w:p w14:paraId="7D4B78AA">
                  <w:pPr>
                    <w:autoSpaceDE w:val="0"/>
                    <w:autoSpaceDN w:val="0"/>
                    <w:adjustRightInd w:val="0"/>
                    <w:snapToGrid w:val="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地下水分区防渗措施</w:t>
                  </w:r>
                </w:p>
              </w:tc>
              <w:tc>
                <w:tcPr>
                  <w:tcW w:w="1968" w:type="dxa"/>
                  <w:tcBorders>
                    <w:tl2br w:val="nil"/>
                    <w:tr2bl w:val="nil"/>
                  </w:tcBorders>
                  <w:noWrap w:val="0"/>
                  <w:vAlign w:val="center"/>
                </w:tcPr>
                <w:p w14:paraId="537C90A5">
                  <w:pPr>
                    <w:autoSpaceDE w:val="0"/>
                    <w:autoSpaceDN w:val="0"/>
                    <w:adjustRightInd w:val="0"/>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5.0</w:t>
                  </w:r>
                </w:p>
              </w:tc>
            </w:tr>
            <w:tr w14:paraId="038C17C1">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6733" w:type="dxa"/>
                  <w:gridSpan w:val="3"/>
                  <w:tcBorders>
                    <w:tl2br w:val="nil"/>
                    <w:tr2bl w:val="nil"/>
                  </w:tcBorders>
                  <w:noWrap w:val="0"/>
                  <w:vAlign w:val="center"/>
                </w:tcPr>
                <w:p w14:paraId="1272368B">
                  <w:pPr>
                    <w:autoSpaceDE w:val="0"/>
                    <w:autoSpaceDN w:val="0"/>
                    <w:adjustRightInd w:val="0"/>
                    <w:snapToGrid w:val="0"/>
                    <w:jc w:val="center"/>
                    <w:rPr>
                      <w:rFonts w:hint="default" w:ascii="Times New Roman" w:hAnsi="Times New Roman" w:cs="Times New Roman"/>
                      <w:color w:val="auto"/>
                      <w:kern w:val="0"/>
                      <w:sz w:val="21"/>
                      <w:szCs w:val="21"/>
                      <w:highlight w:val="none"/>
                    </w:rPr>
                  </w:pPr>
                  <w:r>
                    <w:rPr>
                      <w:rFonts w:hint="eastAsia"/>
                      <w:kern w:val="0"/>
                      <w:szCs w:val="21"/>
                      <w:lang w:val="en-US" w:eastAsia="zh-CN"/>
                    </w:rPr>
                    <w:t>例行检查、</w:t>
                  </w:r>
                  <w:r>
                    <w:rPr>
                      <w:rFonts w:hint="default" w:ascii="Times New Roman" w:hAnsi="Times New Roman" w:cs="Times New Roman"/>
                      <w:color w:val="auto"/>
                      <w:kern w:val="0"/>
                      <w:sz w:val="21"/>
                      <w:szCs w:val="21"/>
                      <w:highlight w:val="none"/>
                    </w:rPr>
                    <w:t>环保设施运行维护费用</w:t>
                  </w:r>
                </w:p>
              </w:tc>
              <w:tc>
                <w:tcPr>
                  <w:tcW w:w="1968" w:type="dxa"/>
                  <w:tcBorders>
                    <w:tl2br w:val="nil"/>
                    <w:tr2bl w:val="nil"/>
                  </w:tcBorders>
                  <w:noWrap w:val="0"/>
                  <w:vAlign w:val="center"/>
                </w:tcPr>
                <w:p w14:paraId="74814048">
                  <w:pPr>
                    <w:autoSpaceDE w:val="0"/>
                    <w:autoSpaceDN w:val="0"/>
                    <w:adjustRightInd w:val="0"/>
                    <w:snapToGrid w:val="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0.5</w:t>
                  </w:r>
                </w:p>
              </w:tc>
            </w:tr>
            <w:tr w14:paraId="38501712">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6733" w:type="dxa"/>
                  <w:gridSpan w:val="3"/>
                  <w:tcBorders>
                    <w:tl2br w:val="nil"/>
                    <w:tr2bl w:val="nil"/>
                  </w:tcBorders>
                  <w:noWrap w:val="0"/>
                  <w:vAlign w:val="center"/>
                </w:tcPr>
                <w:p w14:paraId="2A8D75BE">
                  <w:pPr>
                    <w:autoSpaceDE w:val="0"/>
                    <w:autoSpaceDN w:val="0"/>
                    <w:adjustRightInd w:val="0"/>
                    <w:snapToGrid w:val="0"/>
                    <w:jc w:val="center"/>
                    <w:rPr>
                      <w:rFonts w:hint="default" w:ascii="Times New Roman" w:hAnsi="Times New Roman" w:cs="Times New Roman"/>
                      <w:color w:val="auto"/>
                      <w:kern w:val="0"/>
                      <w:sz w:val="21"/>
                      <w:szCs w:val="21"/>
                      <w:highlight w:val="none"/>
                    </w:rPr>
                  </w:pPr>
                  <w:r>
                    <w:rPr>
                      <w:rFonts w:hint="eastAsia"/>
                      <w:kern w:val="0"/>
                      <w:szCs w:val="21"/>
                      <w:lang w:val="en-US" w:eastAsia="zh-CN"/>
                    </w:rPr>
                    <w:t>竣工验收、</w:t>
                  </w:r>
                  <w:r>
                    <w:rPr>
                      <w:rFonts w:hint="eastAsia" w:ascii="Times New Roman" w:hAnsi="Times New Roman" w:eastAsia="宋体" w:cs="Times New Roman"/>
                      <w:color w:val="auto"/>
                      <w:kern w:val="0"/>
                      <w:szCs w:val="21"/>
                      <w:highlight w:val="none"/>
                      <w:lang w:val="en-US" w:eastAsia="zh-CN"/>
                    </w:rPr>
                    <w:t>突发环境事件应急预案</w:t>
                  </w:r>
                  <w:r>
                    <w:rPr>
                      <w:rFonts w:hint="eastAsia" w:ascii="Times New Roman" w:hAnsi="Times New Roman" w:cs="Times New Roman"/>
                      <w:color w:val="auto"/>
                      <w:kern w:val="0"/>
                      <w:szCs w:val="21"/>
                      <w:highlight w:val="none"/>
                      <w:lang w:val="en-US" w:eastAsia="zh-CN"/>
                    </w:rPr>
                    <w:t>等</w:t>
                  </w:r>
                </w:p>
              </w:tc>
              <w:tc>
                <w:tcPr>
                  <w:tcW w:w="1968" w:type="dxa"/>
                  <w:tcBorders>
                    <w:tl2br w:val="nil"/>
                    <w:tr2bl w:val="nil"/>
                  </w:tcBorders>
                  <w:noWrap w:val="0"/>
                  <w:vAlign w:val="center"/>
                </w:tcPr>
                <w:p w14:paraId="50E4059A">
                  <w:pPr>
                    <w:autoSpaceDE w:val="0"/>
                    <w:autoSpaceDN w:val="0"/>
                    <w:adjustRightInd w:val="0"/>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1.0</w:t>
                  </w:r>
                </w:p>
              </w:tc>
            </w:tr>
            <w:tr w14:paraId="513DE2D0">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6733" w:type="dxa"/>
                  <w:gridSpan w:val="3"/>
                  <w:tcBorders>
                    <w:tl2br w:val="nil"/>
                    <w:tr2bl w:val="nil"/>
                  </w:tcBorders>
                  <w:noWrap w:val="0"/>
                  <w:vAlign w:val="center"/>
                </w:tcPr>
                <w:p w14:paraId="4310A42F">
                  <w:pPr>
                    <w:autoSpaceDE w:val="0"/>
                    <w:autoSpaceDN w:val="0"/>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Cs w:val="21"/>
                      <w:highlight w:val="none"/>
                      <w:lang w:val="en-US" w:eastAsia="zh-CN"/>
                    </w:rPr>
                    <w:t>环境管理与污染源自行监测费用</w:t>
                  </w:r>
                </w:p>
              </w:tc>
              <w:tc>
                <w:tcPr>
                  <w:tcW w:w="1968" w:type="dxa"/>
                  <w:tcBorders>
                    <w:tl2br w:val="nil"/>
                    <w:tr2bl w:val="nil"/>
                  </w:tcBorders>
                  <w:noWrap w:val="0"/>
                  <w:vAlign w:val="center"/>
                </w:tcPr>
                <w:p w14:paraId="75044F2F">
                  <w:pPr>
                    <w:autoSpaceDE w:val="0"/>
                    <w:autoSpaceDN w:val="0"/>
                    <w:adjustRightInd w:val="0"/>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0.5</w:t>
                  </w:r>
                </w:p>
              </w:tc>
            </w:tr>
            <w:tr w14:paraId="21AD28F5">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6733" w:type="dxa"/>
                  <w:gridSpan w:val="3"/>
                  <w:tcBorders>
                    <w:tl2br w:val="nil"/>
                    <w:tr2bl w:val="nil"/>
                  </w:tcBorders>
                  <w:noWrap w:val="0"/>
                  <w:vAlign w:val="center"/>
                </w:tcPr>
                <w:p w14:paraId="3462CDAF">
                  <w:pPr>
                    <w:autoSpaceDE w:val="0"/>
                    <w:autoSpaceDN w:val="0"/>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环保投资合计</w:t>
                  </w:r>
                </w:p>
              </w:tc>
              <w:tc>
                <w:tcPr>
                  <w:tcW w:w="1968" w:type="dxa"/>
                  <w:tcBorders>
                    <w:tl2br w:val="nil"/>
                    <w:tr2bl w:val="nil"/>
                  </w:tcBorders>
                  <w:noWrap w:val="0"/>
                  <w:vAlign w:val="center"/>
                </w:tcPr>
                <w:p w14:paraId="4A869941">
                  <w:pPr>
                    <w:autoSpaceDE w:val="0"/>
                    <w:autoSpaceDN w:val="0"/>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32.0</w:t>
                  </w:r>
                </w:p>
              </w:tc>
            </w:tr>
          </w:tbl>
          <w:p w14:paraId="72C57DFA">
            <w:pPr>
              <w:pStyle w:val="16"/>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color w:val="FF0000"/>
                <w:highlight w:val="none"/>
                <w:lang w:eastAsia="zh-CN"/>
              </w:rPr>
            </w:pPr>
          </w:p>
          <w:p w14:paraId="6D763FF6">
            <w:pPr>
              <w:rPr>
                <w:rFonts w:hint="eastAsia"/>
                <w:color w:val="FF0000"/>
                <w:highlight w:val="none"/>
                <w:lang w:eastAsia="zh-CN"/>
              </w:rPr>
            </w:pPr>
          </w:p>
        </w:tc>
      </w:tr>
    </w:tbl>
    <w:p w14:paraId="7F160677">
      <w:pPr>
        <w:rPr>
          <w:rFonts w:hint="eastAsia"/>
          <w:color w:val="FF0000"/>
          <w:highlight w:val="none"/>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295A0763">
      <w:pPr>
        <w:pStyle w:val="17"/>
        <w:jc w:val="center"/>
        <w:outlineLvl w:val="0"/>
        <w:rPr>
          <w:rFonts w:ascii="黑体" w:hAnsi="黑体" w:eastAsia="黑体"/>
          <w:snapToGrid w:val="0"/>
          <w:color w:val="auto"/>
          <w:sz w:val="30"/>
          <w:szCs w:val="30"/>
          <w:highlight w:val="none"/>
        </w:rPr>
      </w:pPr>
      <w:bookmarkStart w:id="11" w:name="_Toc1741"/>
      <w:r>
        <w:rPr>
          <w:rFonts w:hint="eastAsia" w:ascii="黑体" w:hAnsi="黑体" w:eastAsia="黑体"/>
          <w:snapToGrid w:val="0"/>
          <w:color w:val="auto"/>
          <w:sz w:val="30"/>
          <w:szCs w:val="30"/>
          <w:highlight w:val="none"/>
        </w:rPr>
        <w:t>五、</w:t>
      </w:r>
      <w:bookmarkStart w:id="12" w:name="_Hlk54167917"/>
      <w:r>
        <w:rPr>
          <w:rFonts w:hint="eastAsia" w:ascii="黑体" w:hAnsi="黑体" w:eastAsia="黑体"/>
          <w:snapToGrid w:val="0"/>
          <w:color w:val="auto"/>
          <w:sz w:val="30"/>
          <w:szCs w:val="30"/>
          <w:highlight w:val="none"/>
        </w:rPr>
        <w:t>环境保护措施监督检查清单</w:t>
      </w:r>
      <w:bookmarkEnd w:id="11"/>
      <w:bookmarkEnd w:id="12"/>
    </w:p>
    <w:tbl>
      <w:tblPr>
        <w:tblStyle w:val="20"/>
        <w:tblW w:w="954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79"/>
        <w:gridCol w:w="1765"/>
        <w:gridCol w:w="1725"/>
        <w:gridCol w:w="2247"/>
        <w:gridCol w:w="2131"/>
      </w:tblGrid>
      <w:tr w14:paraId="05F53F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79" w:type="dxa"/>
            <w:tcBorders>
              <w:tl2br w:val="single" w:color="auto" w:sz="4" w:space="0"/>
            </w:tcBorders>
            <w:noWrap w:val="0"/>
            <w:vAlign w:val="top"/>
          </w:tcPr>
          <w:p w14:paraId="2E567A44">
            <w:pPr>
              <w:adjustRightInd w:val="0"/>
              <w:snapToGrid w:val="0"/>
              <w:ind w:firstLine="840"/>
              <w:rPr>
                <w:rFonts w:hint="eastAsia" w:ascii="宋体" w:hAnsi="宋体" w:cs="宋体"/>
                <w:color w:val="auto"/>
                <w:sz w:val="21"/>
                <w:szCs w:val="21"/>
                <w:highlight w:val="none"/>
              </w:rPr>
            </w:pPr>
            <w:r>
              <w:rPr>
                <w:rFonts w:hint="eastAsia" w:ascii="宋体" w:hAnsi="宋体" w:cs="宋体"/>
                <w:color w:val="auto"/>
                <w:sz w:val="21"/>
                <w:szCs w:val="21"/>
                <w:highlight w:val="none"/>
              </w:rPr>
              <w:t>内容</w:t>
            </w:r>
          </w:p>
          <w:p w14:paraId="23259F3B">
            <w:pPr>
              <w:adjustRightInd w:val="0"/>
              <w:snapToGrid w:val="0"/>
              <w:rPr>
                <w:rFonts w:hint="eastAsia" w:ascii="宋体" w:hAnsi="宋体" w:cs="宋体"/>
                <w:color w:val="auto"/>
                <w:sz w:val="21"/>
                <w:szCs w:val="21"/>
                <w:highlight w:val="none"/>
              </w:rPr>
            </w:pPr>
            <w:r>
              <w:rPr>
                <w:rFonts w:hint="eastAsia" w:ascii="宋体" w:hAnsi="宋体" w:cs="宋体"/>
                <w:color w:val="auto"/>
                <w:sz w:val="21"/>
                <w:szCs w:val="21"/>
                <w:highlight w:val="none"/>
              </w:rPr>
              <w:t>要素</w:t>
            </w:r>
          </w:p>
        </w:tc>
        <w:tc>
          <w:tcPr>
            <w:tcW w:w="1765" w:type="dxa"/>
            <w:noWrap w:val="0"/>
            <w:vAlign w:val="center"/>
          </w:tcPr>
          <w:p w14:paraId="2902DAB3">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排放口(编号、名称)/污染源</w:t>
            </w:r>
          </w:p>
        </w:tc>
        <w:tc>
          <w:tcPr>
            <w:tcW w:w="1725" w:type="dxa"/>
            <w:noWrap w:val="0"/>
            <w:vAlign w:val="center"/>
          </w:tcPr>
          <w:p w14:paraId="6C680084">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污染物项目</w:t>
            </w:r>
          </w:p>
        </w:tc>
        <w:tc>
          <w:tcPr>
            <w:tcW w:w="2247" w:type="dxa"/>
            <w:noWrap w:val="0"/>
            <w:vAlign w:val="center"/>
          </w:tcPr>
          <w:p w14:paraId="64E989B1">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环境保护措施</w:t>
            </w:r>
          </w:p>
        </w:tc>
        <w:tc>
          <w:tcPr>
            <w:tcW w:w="2131" w:type="dxa"/>
            <w:noWrap w:val="0"/>
            <w:vAlign w:val="center"/>
          </w:tcPr>
          <w:p w14:paraId="0698CD58">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执行标准</w:t>
            </w:r>
          </w:p>
        </w:tc>
      </w:tr>
      <w:tr w14:paraId="3812CF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79" w:type="dxa"/>
            <w:vMerge w:val="restart"/>
            <w:noWrap w:val="0"/>
            <w:vAlign w:val="center"/>
          </w:tcPr>
          <w:p w14:paraId="1BC00634">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大气环境</w:t>
            </w:r>
          </w:p>
        </w:tc>
        <w:tc>
          <w:tcPr>
            <w:tcW w:w="1765" w:type="dxa"/>
            <w:noWrap w:val="0"/>
            <w:vAlign w:val="center"/>
          </w:tcPr>
          <w:p w14:paraId="5555DB86">
            <w:pPr>
              <w:adjustRightInd w:val="0"/>
              <w:snapToGrid w:val="0"/>
              <w:jc w:val="center"/>
              <w:rPr>
                <w:rFonts w:hint="eastAsia" w:ascii="宋体" w:hAnsi="宋体" w:cs="宋体"/>
                <w:color w:val="auto"/>
                <w:sz w:val="21"/>
                <w:szCs w:val="21"/>
                <w:highlight w:val="none"/>
              </w:rPr>
            </w:pPr>
            <w:r>
              <w:rPr>
                <w:rFonts w:hint="default" w:ascii="Times New Roman" w:hAnsi="Times New Roman" w:cs="Times New Roman"/>
                <w:color w:val="auto"/>
                <w:sz w:val="21"/>
                <w:szCs w:val="21"/>
                <w:highlight w:val="none"/>
                <w:lang w:val="en-US" w:eastAsia="zh-CN"/>
              </w:rPr>
              <w:t>DA001</w:t>
            </w:r>
          </w:p>
        </w:tc>
        <w:tc>
          <w:tcPr>
            <w:tcW w:w="1725" w:type="dxa"/>
            <w:noWrap w:val="0"/>
            <w:vAlign w:val="center"/>
          </w:tcPr>
          <w:p w14:paraId="1937D092">
            <w:pPr>
              <w:adjustRightInd w:val="0"/>
              <w:snapToGrid w:val="0"/>
              <w:jc w:val="center"/>
              <w:rPr>
                <w:rFonts w:hint="eastAsia" w:ascii="宋体" w:hAnsi="宋体" w:cs="宋体"/>
                <w:color w:val="auto"/>
                <w:sz w:val="21"/>
                <w:szCs w:val="21"/>
                <w:highlight w:val="none"/>
              </w:rPr>
            </w:pPr>
            <w:r>
              <w:rPr>
                <w:rFonts w:hint="default" w:ascii="Times New Roman" w:hAnsi="Times New Roman" w:cs="Times New Roman"/>
                <w:color w:val="auto"/>
                <w:sz w:val="21"/>
                <w:szCs w:val="21"/>
                <w:highlight w:val="none"/>
                <w:lang w:val="en-US" w:eastAsia="zh-CN"/>
              </w:rPr>
              <w:t>颗粒物、二氧化硫、氮</w:t>
            </w:r>
            <w:r>
              <w:rPr>
                <w:rFonts w:hint="default" w:ascii="Times New Roman" w:hAnsi="Times New Roman" w:eastAsia="宋体" w:cs="Times New Roman"/>
                <w:color w:val="auto"/>
                <w:sz w:val="21"/>
                <w:szCs w:val="21"/>
                <w:highlight w:val="none"/>
                <w:lang w:val="en-US" w:eastAsia="zh-CN"/>
              </w:rPr>
              <w:t>氧化物、</w:t>
            </w:r>
            <w:r>
              <w:rPr>
                <w:rFonts w:hint="eastAsia" w:ascii="Times New Roman" w:hAnsi="Times New Roman" w:eastAsia="宋体" w:cs="Times New Roman"/>
                <w:color w:val="auto"/>
                <w:sz w:val="21"/>
                <w:szCs w:val="21"/>
                <w:highlight w:val="none"/>
                <w:lang w:val="en-US" w:eastAsia="zh-CN"/>
              </w:rPr>
              <w:t>汞及其化合物、</w:t>
            </w:r>
            <w:r>
              <w:rPr>
                <w:rFonts w:hint="default" w:ascii="Times New Roman" w:hAnsi="Times New Roman" w:eastAsia="宋体" w:cs="Times New Roman"/>
                <w:color w:val="auto"/>
                <w:sz w:val="21"/>
                <w:szCs w:val="21"/>
                <w:highlight w:val="none"/>
                <w:lang w:val="en-US" w:eastAsia="zh-CN"/>
              </w:rPr>
              <w:t>烟气</w:t>
            </w:r>
            <w:r>
              <w:rPr>
                <w:rFonts w:hint="default" w:ascii="Times New Roman" w:hAnsi="Times New Roman" w:cs="Times New Roman"/>
                <w:b w:val="0"/>
                <w:bCs w:val="0"/>
                <w:color w:val="auto"/>
                <w:sz w:val="21"/>
                <w:szCs w:val="21"/>
                <w:highlight w:val="none"/>
                <w:vertAlign w:val="baseline"/>
                <w:lang w:val="en-US" w:eastAsia="zh-CN"/>
              </w:rPr>
              <w:t>黑度</w:t>
            </w:r>
          </w:p>
        </w:tc>
        <w:tc>
          <w:tcPr>
            <w:tcW w:w="2247" w:type="dxa"/>
            <w:noWrap w:val="0"/>
            <w:vAlign w:val="center"/>
          </w:tcPr>
          <w:p w14:paraId="609BBAC5">
            <w:pPr>
              <w:adjustRightInd w:val="0"/>
              <w:snapToGrid w:val="0"/>
              <w:jc w:val="center"/>
              <w:rPr>
                <w:rFonts w:hint="eastAsia" w:ascii="宋体" w:hAnsi="宋体" w:cs="宋体"/>
                <w:color w:val="auto"/>
                <w:sz w:val="21"/>
                <w:szCs w:val="21"/>
                <w:highlight w:val="none"/>
              </w:rPr>
            </w:pPr>
            <w:r>
              <w:rPr>
                <w:rFonts w:hint="eastAsia"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旋风多管陶瓷除尘器+布袋除尘器</w:t>
            </w:r>
            <w:r>
              <w:rPr>
                <w:rFonts w:hint="eastAsia"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35</w:t>
            </w:r>
            <w:r>
              <w:rPr>
                <w:rFonts w:hint="eastAsia" w:ascii="Times New Roman" w:hAnsi="Times New Roman" w:eastAsia="宋体" w:cs="Times New Roman"/>
                <w:color w:val="auto"/>
                <w:sz w:val="21"/>
                <w:szCs w:val="21"/>
                <w:highlight w:val="none"/>
                <w:lang w:val="en-US" w:eastAsia="zh-CN"/>
              </w:rPr>
              <w:t>m高烟囱</w:t>
            </w:r>
          </w:p>
        </w:tc>
        <w:tc>
          <w:tcPr>
            <w:tcW w:w="2131" w:type="dxa"/>
            <w:noWrap w:val="0"/>
            <w:vAlign w:val="center"/>
          </w:tcPr>
          <w:p w14:paraId="41327778">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《锅炉大气污染物排放标准》（GB13271-2014）表3中燃煤锅炉大气污染物特别排放限值</w:t>
            </w:r>
          </w:p>
        </w:tc>
      </w:tr>
      <w:tr w14:paraId="0A3E83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679" w:type="dxa"/>
            <w:vMerge w:val="continue"/>
            <w:noWrap w:val="0"/>
            <w:vAlign w:val="center"/>
          </w:tcPr>
          <w:p w14:paraId="42984049">
            <w:pPr>
              <w:adjustRightInd w:val="0"/>
              <w:snapToGrid w:val="0"/>
              <w:jc w:val="center"/>
              <w:rPr>
                <w:rFonts w:hint="eastAsia" w:ascii="宋体" w:hAnsi="宋体" w:cs="宋体"/>
                <w:color w:val="auto"/>
                <w:sz w:val="24"/>
                <w:szCs w:val="24"/>
                <w:highlight w:val="none"/>
              </w:rPr>
            </w:pPr>
          </w:p>
        </w:tc>
        <w:tc>
          <w:tcPr>
            <w:tcW w:w="1765" w:type="dxa"/>
            <w:noWrap w:val="0"/>
            <w:vAlign w:val="center"/>
          </w:tcPr>
          <w:p w14:paraId="2C9FB684">
            <w:pPr>
              <w:adjustRightInd w:val="0"/>
              <w:snapToGrid w:val="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灰渣暂存间</w:t>
            </w:r>
          </w:p>
        </w:tc>
        <w:tc>
          <w:tcPr>
            <w:tcW w:w="1725" w:type="dxa"/>
            <w:noWrap w:val="0"/>
            <w:vAlign w:val="center"/>
          </w:tcPr>
          <w:p w14:paraId="09826E31">
            <w:pPr>
              <w:adjustRightInd w:val="0"/>
              <w:snapToGrid w:val="0"/>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颗粒物</w:t>
            </w:r>
          </w:p>
        </w:tc>
        <w:tc>
          <w:tcPr>
            <w:tcW w:w="2247" w:type="dxa"/>
            <w:noWrap w:val="0"/>
            <w:vAlign w:val="center"/>
          </w:tcPr>
          <w:p w14:paraId="797C5E2D">
            <w:pPr>
              <w:adjustRightInd w:val="0"/>
              <w:snapToGrid w:val="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灰渣暂存间密封措施、采取洒水抑尘措施</w:t>
            </w:r>
          </w:p>
        </w:tc>
        <w:tc>
          <w:tcPr>
            <w:tcW w:w="2131" w:type="dxa"/>
            <w:vMerge w:val="restart"/>
            <w:noWrap w:val="0"/>
            <w:vAlign w:val="center"/>
          </w:tcPr>
          <w:p w14:paraId="760A4C4E">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宋体" w:hAnsi="宋体" w:cs="宋体"/>
                <w:color w:val="auto"/>
                <w:sz w:val="21"/>
                <w:szCs w:val="21"/>
                <w:highlight w:val="none"/>
              </w:rPr>
            </w:pPr>
            <w:r>
              <w:rPr>
                <w:rFonts w:hint="default" w:ascii="Times New Roman" w:hAnsi="Times New Roman" w:eastAsia="宋体" w:cs="Times New Roman"/>
                <w:color w:val="auto"/>
                <w:sz w:val="21"/>
                <w:szCs w:val="21"/>
                <w:highlight w:val="none"/>
                <w:lang w:val="en-US" w:eastAsia="zh-CN"/>
              </w:rPr>
              <w:t>《大气污染物综合排放标准》（GB16297-1996）表2</w:t>
            </w:r>
            <w:r>
              <w:rPr>
                <w:rFonts w:hint="eastAsia" w:ascii="Times New Roman" w:hAnsi="Times New Roman" w:eastAsia="宋体" w:cs="Times New Roman"/>
                <w:color w:val="auto"/>
                <w:sz w:val="21"/>
                <w:szCs w:val="21"/>
                <w:highlight w:val="none"/>
                <w:lang w:val="en-US" w:eastAsia="zh-CN"/>
              </w:rPr>
              <w:t>无组织排放浓度限值</w:t>
            </w:r>
          </w:p>
        </w:tc>
      </w:tr>
      <w:tr w14:paraId="12FD8F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79" w:type="dxa"/>
            <w:vMerge w:val="continue"/>
            <w:noWrap w:val="0"/>
            <w:vAlign w:val="center"/>
          </w:tcPr>
          <w:p w14:paraId="61383A8B">
            <w:pPr>
              <w:adjustRightInd w:val="0"/>
              <w:snapToGrid w:val="0"/>
              <w:jc w:val="center"/>
              <w:rPr>
                <w:rFonts w:hint="eastAsia" w:ascii="宋体" w:hAnsi="宋体" w:cs="宋体"/>
                <w:color w:val="FF0000"/>
                <w:sz w:val="24"/>
                <w:szCs w:val="24"/>
                <w:highlight w:val="none"/>
              </w:rPr>
            </w:pPr>
          </w:p>
        </w:tc>
        <w:tc>
          <w:tcPr>
            <w:tcW w:w="1765" w:type="dxa"/>
            <w:noWrap w:val="0"/>
            <w:vAlign w:val="center"/>
          </w:tcPr>
          <w:p w14:paraId="0E2DDB43">
            <w:pPr>
              <w:adjustRightInd w:val="0"/>
              <w:snapToGrid w:val="0"/>
              <w:jc w:val="center"/>
              <w:rPr>
                <w:rFonts w:hint="eastAsia" w:ascii="宋体" w:hAnsi="宋体" w:cs="宋体"/>
                <w:color w:val="auto"/>
                <w:sz w:val="21"/>
                <w:szCs w:val="21"/>
                <w:highlight w:val="none"/>
              </w:rPr>
            </w:pPr>
            <w:r>
              <w:rPr>
                <w:rFonts w:hint="default" w:ascii="Times New Roman" w:hAnsi="Times New Roman" w:cs="Times New Roman"/>
                <w:color w:val="auto"/>
                <w:sz w:val="21"/>
                <w:szCs w:val="21"/>
                <w:highlight w:val="none"/>
                <w:lang w:val="en-US" w:eastAsia="zh-CN"/>
              </w:rPr>
              <w:t>厂界</w:t>
            </w:r>
          </w:p>
        </w:tc>
        <w:tc>
          <w:tcPr>
            <w:tcW w:w="1725" w:type="dxa"/>
            <w:noWrap w:val="0"/>
            <w:vAlign w:val="center"/>
          </w:tcPr>
          <w:p w14:paraId="673CDC64">
            <w:pPr>
              <w:adjustRightInd w:val="0"/>
              <w:snapToGrid w:val="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颗粒物</w:t>
            </w:r>
          </w:p>
        </w:tc>
        <w:tc>
          <w:tcPr>
            <w:tcW w:w="2247" w:type="dxa"/>
            <w:noWrap w:val="0"/>
            <w:vAlign w:val="center"/>
          </w:tcPr>
          <w:p w14:paraId="51965EC6">
            <w:pPr>
              <w:adjustRightInd w:val="0"/>
              <w:snapToGrid w:val="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采取洒水抑尘措施</w:t>
            </w:r>
          </w:p>
        </w:tc>
        <w:tc>
          <w:tcPr>
            <w:tcW w:w="2131" w:type="dxa"/>
            <w:vMerge w:val="continue"/>
            <w:noWrap w:val="0"/>
            <w:vAlign w:val="center"/>
          </w:tcPr>
          <w:p w14:paraId="748320B3">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宋体" w:hAnsi="宋体" w:cs="宋体"/>
                <w:color w:val="FF0000"/>
                <w:sz w:val="24"/>
                <w:szCs w:val="24"/>
                <w:highlight w:val="none"/>
              </w:rPr>
            </w:pPr>
          </w:p>
        </w:tc>
      </w:tr>
      <w:tr w14:paraId="764A16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79" w:type="dxa"/>
            <w:vMerge w:val="restart"/>
            <w:noWrap w:val="0"/>
            <w:vAlign w:val="center"/>
          </w:tcPr>
          <w:p w14:paraId="6B35C2B0">
            <w:pPr>
              <w:adjustRightInd w:val="0"/>
              <w:snapToGrid w:val="0"/>
              <w:jc w:val="center"/>
              <w:rPr>
                <w:rFonts w:hint="eastAsia" w:ascii="宋体" w:hAnsi="宋体" w:cs="宋体"/>
                <w:color w:val="FF0000"/>
                <w:sz w:val="21"/>
                <w:szCs w:val="21"/>
                <w:highlight w:val="none"/>
              </w:rPr>
            </w:pPr>
            <w:r>
              <w:rPr>
                <w:rFonts w:hint="eastAsia" w:ascii="宋体" w:hAnsi="宋体" w:cs="宋体"/>
                <w:color w:val="auto"/>
                <w:sz w:val="21"/>
                <w:szCs w:val="21"/>
                <w:highlight w:val="none"/>
              </w:rPr>
              <w:t>地表水环境</w:t>
            </w:r>
          </w:p>
        </w:tc>
        <w:tc>
          <w:tcPr>
            <w:tcW w:w="1765" w:type="dxa"/>
            <w:noWrap w:val="0"/>
            <w:vAlign w:val="center"/>
          </w:tcPr>
          <w:p w14:paraId="5DCE3E73">
            <w:pPr>
              <w:adjustRightInd w:val="0"/>
              <w:snapToGrid w:val="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综合废水</w:t>
            </w:r>
          </w:p>
          <w:p w14:paraId="064038CA">
            <w:pPr>
              <w:adjustRightInd w:val="0"/>
              <w:snapToGrid w:val="0"/>
              <w:jc w:val="center"/>
              <w:rPr>
                <w:rFonts w:hint="default" w:ascii="宋体" w:hAnsi="宋体" w:cs="宋体"/>
                <w:color w:val="auto"/>
                <w:sz w:val="21"/>
                <w:szCs w:val="21"/>
                <w:highlight w:val="none"/>
                <w:lang w:val="en-US"/>
              </w:rPr>
            </w:pPr>
            <w:r>
              <w:rPr>
                <w:rFonts w:hint="eastAsia" w:cs="Times New Roman"/>
                <w:color w:val="auto"/>
                <w:sz w:val="21"/>
                <w:szCs w:val="21"/>
                <w:highlight w:val="none"/>
                <w:lang w:val="en-US" w:eastAsia="zh-CN"/>
              </w:rPr>
              <w:t>（生活污水、锅炉排污水及软化处理废水）</w:t>
            </w:r>
          </w:p>
        </w:tc>
        <w:tc>
          <w:tcPr>
            <w:tcW w:w="1725" w:type="dxa"/>
            <w:noWrap w:val="0"/>
            <w:vAlign w:val="center"/>
          </w:tcPr>
          <w:p w14:paraId="27D2D2A5">
            <w:pPr>
              <w:adjustRightInd w:val="0"/>
              <w:snapToGrid w:val="0"/>
              <w:jc w:val="center"/>
              <w:rPr>
                <w:rFonts w:hint="eastAsia" w:ascii="宋体" w:hAnsi="宋体" w:cs="宋体"/>
                <w:color w:val="auto"/>
                <w:sz w:val="21"/>
                <w:szCs w:val="21"/>
                <w:highlight w:val="none"/>
              </w:rPr>
            </w:pPr>
            <w:r>
              <w:rPr>
                <w:rFonts w:hint="eastAsia" w:cs="Times New Roman"/>
                <w:color w:val="auto"/>
                <w:sz w:val="21"/>
                <w:szCs w:val="21"/>
                <w:highlight w:val="none"/>
                <w:lang w:val="en-US" w:eastAsia="zh-CN"/>
              </w:rPr>
              <w:t>pH、</w:t>
            </w:r>
            <w:r>
              <w:rPr>
                <w:rFonts w:hint="default" w:ascii="Times New Roman" w:hAnsi="Times New Roman" w:eastAsia="宋体" w:cs="Times New Roman"/>
                <w:color w:val="auto"/>
                <w:sz w:val="21"/>
                <w:szCs w:val="21"/>
                <w:highlight w:val="none"/>
                <w:lang w:val="en-US" w:eastAsia="zh-CN"/>
              </w:rPr>
              <w:t>COD</w:t>
            </w:r>
            <w:r>
              <w:rPr>
                <w:rFonts w:hint="eastAsia" w:cs="Times New Roman"/>
                <w:color w:val="auto"/>
                <w:sz w:val="21"/>
                <w:szCs w:val="21"/>
                <w:highlight w:val="none"/>
                <w:vertAlign w:val="subscript"/>
                <w:lang w:val="en-US" w:eastAsia="zh-CN"/>
              </w:rPr>
              <w:t>Cr</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BOD</w:t>
            </w:r>
            <w:r>
              <w:rPr>
                <w:rFonts w:hint="default" w:ascii="Times New Roman" w:hAnsi="Times New Roman" w:eastAsia="宋体" w:cs="Times New Roman"/>
                <w:color w:val="auto"/>
                <w:sz w:val="21"/>
                <w:szCs w:val="21"/>
                <w:highlight w:val="none"/>
                <w:vertAlign w:val="subscript"/>
                <w:lang w:val="en-US" w:eastAsia="zh-CN"/>
              </w:rPr>
              <w:t>5</w:t>
            </w:r>
            <w:r>
              <w:rPr>
                <w:rFonts w:hint="eastAsia" w:cs="Times New Roman"/>
                <w:color w:val="auto"/>
                <w:sz w:val="21"/>
                <w:szCs w:val="21"/>
                <w:highlight w:val="none"/>
                <w:lang w:val="en-US" w:eastAsia="zh-CN"/>
              </w:rPr>
              <w:t>、</w:t>
            </w:r>
            <w:r>
              <w:rPr>
                <w:rFonts w:hint="eastAsia" w:cs="Times New Roman"/>
                <w:color w:val="auto"/>
                <w:kern w:val="2"/>
                <w:sz w:val="21"/>
                <w:szCs w:val="21"/>
                <w:highlight w:val="none"/>
                <w:lang w:val="en-US" w:eastAsia="zh-CN"/>
              </w:rPr>
              <w:t>NH</w:t>
            </w:r>
            <w:r>
              <w:rPr>
                <w:rFonts w:hint="eastAsia" w:cs="Times New Roman"/>
                <w:color w:val="auto"/>
                <w:kern w:val="2"/>
                <w:sz w:val="21"/>
                <w:szCs w:val="21"/>
                <w:highlight w:val="none"/>
                <w:vertAlign w:val="subscript"/>
                <w:lang w:val="en-US" w:eastAsia="zh-CN"/>
              </w:rPr>
              <w:t>3</w:t>
            </w:r>
            <w:r>
              <w:rPr>
                <w:rFonts w:hint="eastAsia" w:cs="Times New Roman"/>
                <w:color w:val="auto"/>
                <w:kern w:val="2"/>
                <w:sz w:val="21"/>
                <w:szCs w:val="21"/>
                <w:highlight w:val="none"/>
                <w:lang w:val="en-US" w:eastAsia="zh-CN"/>
              </w:rPr>
              <w:t>-N</w:t>
            </w:r>
            <w:r>
              <w:rPr>
                <w:rFonts w:hint="eastAsia" w:cs="Times New Roman"/>
                <w:color w:val="auto"/>
                <w:sz w:val="21"/>
                <w:szCs w:val="21"/>
                <w:highlight w:val="none"/>
                <w:lang w:val="en-US" w:eastAsia="zh-CN"/>
              </w:rPr>
              <w:t>、TN、TP、</w:t>
            </w:r>
            <w:r>
              <w:rPr>
                <w:rFonts w:hint="eastAsia" w:cs="Times New Roman"/>
                <w:color w:val="auto"/>
                <w:sz w:val="21"/>
                <w:szCs w:val="21"/>
                <w:highlight w:val="none"/>
                <w:vertAlign w:val="baseline"/>
                <w:lang w:val="en-US" w:eastAsia="zh-CN"/>
              </w:rPr>
              <w:t>TDS</w:t>
            </w:r>
          </w:p>
        </w:tc>
        <w:tc>
          <w:tcPr>
            <w:tcW w:w="2247" w:type="dxa"/>
            <w:noWrap w:val="0"/>
            <w:vAlign w:val="center"/>
          </w:tcPr>
          <w:p w14:paraId="2014243F">
            <w:pPr>
              <w:adjustRightInd w:val="0"/>
              <w:snapToGrid w:val="0"/>
              <w:jc w:val="center"/>
              <w:rPr>
                <w:rFonts w:hint="default" w:ascii="宋体" w:hAnsi="宋体" w:cs="宋体"/>
                <w:color w:val="FF0000"/>
                <w:sz w:val="21"/>
                <w:szCs w:val="21"/>
                <w:highlight w:val="none"/>
                <w:lang w:val="en-US"/>
              </w:rPr>
            </w:pPr>
            <w:r>
              <w:rPr>
                <w:rFonts w:hint="eastAsia" w:ascii="宋体" w:hAnsi="宋体" w:eastAsia="宋体" w:cs="宋体"/>
                <w:color w:val="auto"/>
                <w:sz w:val="21"/>
                <w:szCs w:val="21"/>
                <w:highlight w:val="none"/>
                <w:lang w:val="en-US" w:eastAsia="zh-CN"/>
              </w:rPr>
              <w:t>排入厂区化粪池，通过10吨</w:t>
            </w:r>
            <w:r>
              <w:rPr>
                <w:rFonts w:hint="default" w:ascii="宋体" w:hAnsi="宋体" w:eastAsia="宋体" w:cs="宋体"/>
                <w:color w:val="auto"/>
                <w:sz w:val="21"/>
                <w:szCs w:val="21"/>
                <w:highlight w:val="none"/>
                <w:lang w:val="en-US" w:eastAsia="zh-CN"/>
              </w:rPr>
              <w:t>吸污车收集后，运至饶河县西林子乡污水处理站，</w:t>
            </w:r>
          </w:p>
        </w:tc>
        <w:tc>
          <w:tcPr>
            <w:tcW w:w="2131" w:type="dxa"/>
            <w:noWrap w:val="0"/>
            <w:vAlign w:val="center"/>
          </w:tcPr>
          <w:p w14:paraId="77E59189">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宋体" w:hAnsi="宋体" w:cs="宋体"/>
                <w:color w:val="FF0000"/>
                <w:sz w:val="21"/>
                <w:szCs w:val="21"/>
                <w:highlight w:val="none"/>
              </w:rPr>
            </w:pPr>
            <w:r>
              <w:rPr>
                <w:rFonts w:hint="default" w:ascii="Times New Roman" w:hAnsi="Times New Roman" w:eastAsia="宋体" w:cs="Times New Roman"/>
                <w:color w:val="auto"/>
                <w:sz w:val="21"/>
                <w:szCs w:val="21"/>
                <w:highlight w:val="none"/>
                <w:lang w:val="en-US" w:eastAsia="zh-CN"/>
              </w:rPr>
              <w:t>《污水综合排放标准》（GB8978-1996）表4中三级标准</w:t>
            </w:r>
            <w:r>
              <w:rPr>
                <w:rFonts w:hint="eastAsia" w:ascii="Times New Roman" w:hAnsi="Times New Roman" w:eastAsia="宋体" w:cs="Times New Roman"/>
                <w:color w:val="auto"/>
                <w:sz w:val="21"/>
                <w:szCs w:val="21"/>
                <w:highlight w:val="none"/>
                <w:lang w:val="en-US" w:eastAsia="zh-CN"/>
              </w:rPr>
              <w:t>及</w:t>
            </w:r>
            <w:r>
              <w:rPr>
                <w:rFonts w:hint="default" w:ascii="Times New Roman" w:hAnsi="Times New Roman" w:eastAsia="宋体" w:cs="Times New Roman"/>
                <w:color w:val="auto"/>
                <w:sz w:val="21"/>
                <w:szCs w:val="21"/>
                <w:highlight w:val="none"/>
                <w:lang w:val="en-US" w:eastAsia="zh-CN"/>
              </w:rPr>
              <w:t>饶河县西林子乡污水处理站</w:t>
            </w:r>
            <w:r>
              <w:rPr>
                <w:rFonts w:hint="eastAsia" w:ascii="Times New Roman" w:hAnsi="Times New Roman" w:eastAsia="宋体" w:cs="Times New Roman"/>
                <w:color w:val="auto"/>
                <w:sz w:val="21"/>
                <w:szCs w:val="21"/>
                <w:highlight w:val="none"/>
                <w:lang w:val="en-US" w:eastAsia="zh-CN"/>
              </w:rPr>
              <w:t>入水水质浓度</w:t>
            </w:r>
          </w:p>
        </w:tc>
      </w:tr>
      <w:tr w14:paraId="123A1C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679" w:type="dxa"/>
            <w:vMerge w:val="continue"/>
            <w:noWrap w:val="0"/>
            <w:vAlign w:val="center"/>
          </w:tcPr>
          <w:p w14:paraId="303B4361">
            <w:pPr>
              <w:adjustRightInd w:val="0"/>
              <w:snapToGrid w:val="0"/>
              <w:jc w:val="center"/>
              <w:rPr>
                <w:rFonts w:hint="eastAsia" w:ascii="宋体" w:hAnsi="宋体" w:cs="宋体"/>
                <w:color w:val="FF0000"/>
                <w:sz w:val="21"/>
                <w:szCs w:val="21"/>
                <w:highlight w:val="none"/>
              </w:rPr>
            </w:pPr>
          </w:p>
        </w:tc>
        <w:tc>
          <w:tcPr>
            <w:tcW w:w="1765" w:type="dxa"/>
            <w:noWrap w:val="0"/>
            <w:vAlign w:val="center"/>
          </w:tcPr>
          <w:p w14:paraId="0F217E10">
            <w:pPr>
              <w:adjustRightInd w:val="0"/>
              <w:snapToGrid w:val="0"/>
              <w:jc w:val="center"/>
              <w:rPr>
                <w:rFonts w:hint="eastAsia" w:ascii="宋体" w:hAnsi="宋体" w:cs="宋体"/>
                <w:color w:val="auto"/>
                <w:sz w:val="21"/>
                <w:szCs w:val="21"/>
                <w:highlight w:val="none"/>
              </w:rPr>
            </w:pPr>
            <w:r>
              <w:rPr>
                <w:rFonts w:hint="eastAsia" w:cs="Times New Roman"/>
                <w:color w:val="auto"/>
                <w:sz w:val="21"/>
                <w:szCs w:val="21"/>
                <w:highlight w:val="none"/>
                <w:lang w:val="en-US" w:eastAsia="zh-CN"/>
              </w:rPr>
              <w:t>锅炉排污水及软化处理废水</w:t>
            </w:r>
          </w:p>
        </w:tc>
        <w:tc>
          <w:tcPr>
            <w:tcW w:w="1725" w:type="dxa"/>
            <w:noWrap w:val="0"/>
            <w:vAlign w:val="center"/>
          </w:tcPr>
          <w:p w14:paraId="72A54E18">
            <w:pPr>
              <w:adjustRightInd w:val="0"/>
              <w:snapToGrid w:val="0"/>
              <w:jc w:val="center"/>
              <w:rPr>
                <w:rFonts w:hint="default" w:ascii="宋体" w:hAnsi="宋体" w:eastAsia="宋体" w:cs="宋体"/>
                <w:color w:val="auto"/>
                <w:sz w:val="21"/>
                <w:szCs w:val="21"/>
                <w:highlight w:val="none"/>
                <w:vertAlign w:val="baseline"/>
                <w:lang w:val="en-US" w:eastAsia="zh-CN"/>
              </w:rPr>
            </w:pPr>
            <w:r>
              <w:rPr>
                <w:rFonts w:hint="eastAsia" w:cs="Times New Roman"/>
                <w:color w:val="auto"/>
                <w:sz w:val="21"/>
                <w:szCs w:val="21"/>
                <w:highlight w:val="none"/>
                <w:lang w:val="en-US" w:eastAsia="zh-CN"/>
              </w:rPr>
              <w:t>pH、</w:t>
            </w:r>
            <w:r>
              <w:rPr>
                <w:rFonts w:hint="default" w:ascii="Times New Roman" w:hAnsi="Times New Roman" w:eastAsia="宋体" w:cs="Times New Roman"/>
                <w:color w:val="auto"/>
                <w:sz w:val="21"/>
                <w:szCs w:val="21"/>
                <w:highlight w:val="none"/>
                <w:lang w:val="en-US" w:eastAsia="zh-CN"/>
              </w:rPr>
              <w:t>COD</w:t>
            </w:r>
            <w:r>
              <w:rPr>
                <w:rFonts w:hint="eastAsia" w:cs="Times New Roman"/>
                <w:color w:val="auto"/>
                <w:sz w:val="21"/>
                <w:szCs w:val="21"/>
                <w:highlight w:val="none"/>
                <w:vertAlign w:val="subscript"/>
                <w:lang w:val="en-US" w:eastAsia="zh-CN"/>
              </w:rPr>
              <w:t>Cr</w:t>
            </w:r>
            <w:r>
              <w:rPr>
                <w:rFonts w:hint="eastAsia" w:cs="Times New Roman"/>
                <w:color w:val="auto"/>
                <w:sz w:val="21"/>
                <w:szCs w:val="21"/>
                <w:highlight w:val="none"/>
                <w:vertAlign w:val="baseline"/>
                <w:lang w:val="en-US" w:eastAsia="zh-CN"/>
              </w:rPr>
              <w:t>、TDS</w:t>
            </w:r>
          </w:p>
        </w:tc>
        <w:tc>
          <w:tcPr>
            <w:tcW w:w="2247" w:type="dxa"/>
            <w:noWrap w:val="0"/>
            <w:vAlign w:val="center"/>
          </w:tcPr>
          <w:p w14:paraId="350FF72C">
            <w:pPr>
              <w:adjustRightInd w:val="0"/>
              <w:snapToGrid w:val="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少量</w:t>
            </w:r>
            <w:r>
              <w:rPr>
                <w:rFonts w:hint="eastAsia" w:ascii="宋体" w:hAnsi="宋体" w:cs="宋体"/>
                <w:color w:val="auto"/>
                <w:sz w:val="21"/>
                <w:szCs w:val="21"/>
                <w:highlight w:val="none"/>
              </w:rPr>
              <w:t>用于灰渣转运、储存进行洒水抑尘</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无废水排放</w:t>
            </w:r>
          </w:p>
        </w:tc>
        <w:tc>
          <w:tcPr>
            <w:tcW w:w="2131" w:type="dxa"/>
            <w:noWrap w:val="0"/>
            <w:vAlign w:val="center"/>
          </w:tcPr>
          <w:p w14:paraId="14DEC633">
            <w:pPr>
              <w:adjustRightInd w:val="0"/>
              <w:snapToGrid w:val="0"/>
              <w:jc w:val="center"/>
              <w:rPr>
                <w:rFonts w:hint="eastAsia" w:ascii="宋体" w:hAnsi="宋体" w:cs="宋体"/>
                <w:color w:val="auto"/>
                <w:sz w:val="21"/>
                <w:szCs w:val="21"/>
                <w:highlight w:val="none"/>
              </w:rPr>
            </w:pPr>
            <w:r>
              <w:rPr>
                <w:rFonts w:hint="eastAsia" w:ascii="Times New Roman" w:hAnsi="Times New Roman" w:cs="Times New Roman"/>
                <w:color w:val="auto"/>
                <w:sz w:val="21"/>
                <w:szCs w:val="21"/>
                <w:highlight w:val="none"/>
                <w:lang w:val="en-US" w:eastAsia="zh-CN"/>
              </w:rPr>
              <w:t>/</w:t>
            </w:r>
          </w:p>
        </w:tc>
      </w:tr>
      <w:tr w14:paraId="5C0CE8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79" w:type="dxa"/>
            <w:noWrap w:val="0"/>
            <w:vAlign w:val="center"/>
          </w:tcPr>
          <w:p w14:paraId="0E903255">
            <w:pPr>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声环境</w:t>
            </w:r>
          </w:p>
        </w:tc>
        <w:tc>
          <w:tcPr>
            <w:tcW w:w="1765" w:type="dxa"/>
            <w:noWrap w:val="0"/>
            <w:vAlign w:val="center"/>
          </w:tcPr>
          <w:p w14:paraId="23FF2A04">
            <w:pPr>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厂界噪声</w:t>
            </w:r>
          </w:p>
        </w:tc>
        <w:tc>
          <w:tcPr>
            <w:tcW w:w="1725" w:type="dxa"/>
            <w:noWrap w:val="0"/>
            <w:vAlign w:val="center"/>
          </w:tcPr>
          <w:p w14:paraId="78972514">
            <w:pPr>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机械噪声</w:t>
            </w:r>
          </w:p>
        </w:tc>
        <w:tc>
          <w:tcPr>
            <w:tcW w:w="2247" w:type="dxa"/>
            <w:noWrap w:val="0"/>
            <w:vAlign w:val="center"/>
          </w:tcPr>
          <w:p w14:paraId="2B1A605C">
            <w:pPr>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选用低</w:t>
            </w:r>
            <w:r>
              <w:rPr>
                <w:rFonts w:hint="default" w:ascii="Times New Roman" w:hAnsi="Times New Roman" w:eastAsia="宋体" w:cs="Times New Roman"/>
                <w:color w:val="auto"/>
                <w:sz w:val="21"/>
                <w:szCs w:val="21"/>
                <w:highlight w:val="none"/>
                <w:lang w:val="en-US" w:eastAsia="zh-CN"/>
              </w:rPr>
              <w:t>噪声设备</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基础减振，泵类设备软性连接，厂房隔声等。</w:t>
            </w:r>
          </w:p>
        </w:tc>
        <w:tc>
          <w:tcPr>
            <w:tcW w:w="2131" w:type="dxa"/>
            <w:noWrap w:val="0"/>
            <w:vAlign w:val="center"/>
          </w:tcPr>
          <w:p w14:paraId="3132A03A">
            <w:pPr>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《工业企业厂界环境噪声排放标准》（GB12348-2008）表1中2类标准限值</w:t>
            </w:r>
          </w:p>
        </w:tc>
      </w:tr>
      <w:tr w14:paraId="254F5C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79" w:type="dxa"/>
            <w:noWrap w:val="0"/>
            <w:vAlign w:val="center"/>
          </w:tcPr>
          <w:p w14:paraId="45174554">
            <w:pPr>
              <w:adjustRightInd w:val="0"/>
              <w:snapToGrid w:val="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电磁辐射</w:t>
            </w:r>
          </w:p>
        </w:tc>
        <w:tc>
          <w:tcPr>
            <w:tcW w:w="7868" w:type="dxa"/>
            <w:gridSpan w:val="4"/>
            <w:noWrap w:val="0"/>
            <w:vAlign w:val="center"/>
          </w:tcPr>
          <w:p w14:paraId="60AAA9E9">
            <w:pPr>
              <w:adjustRightInd w:val="0"/>
              <w:snapToGrid w:val="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w:t>
            </w:r>
          </w:p>
        </w:tc>
      </w:tr>
      <w:tr w14:paraId="5D672A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679" w:type="dxa"/>
            <w:noWrap w:val="0"/>
            <w:vAlign w:val="center"/>
          </w:tcPr>
          <w:p w14:paraId="0322C8D6">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固体废物</w:t>
            </w:r>
          </w:p>
        </w:tc>
        <w:tc>
          <w:tcPr>
            <w:tcW w:w="7868" w:type="dxa"/>
            <w:gridSpan w:val="4"/>
            <w:noWrap w:val="0"/>
            <w:vAlign w:val="center"/>
          </w:tcPr>
          <w:p w14:paraId="2DA982D0">
            <w:pPr>
              <w:ind w:firstLine="420" w:firstLineChars="200"/>
              <w:jc w:val="left"/>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1.生活垃圾：生活垃圾经垃圾桶分类收集后，由环卫部门同一清运处理。</w:t>
            </w:r>
          </w:p>
          <w:p w14:paraId="55515499">
            <w:pPr>
              <w:ind w:firstLine="420" w:firstLineChars="200"/>
              <w:jc w:val="left"/>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2.锅炉灰渣：锅炉灰渣</w:t>
            </w:r>
            <w:r>
              <w:rPr>
                <w:rFonts w:hint="default" w:ascii="Times New Roman" w:hAnsi="Times New Roman" w:eastAsia="宋体" w:cs="Times New Roman"/>
                <w:color w:val="auto"/>
                <w:kern w:val="2"/>
                <w:sz w:val="21"/>
                <w:szCs w:val="21"/>
                <w:highlight w:val="none"/>
                <w:lang w:val="en-US" w:eastAsia="zh-CN" w:bidi="ar"/>
              </w:rPr>
              <w:t>统一收集</w:t>
            </w:r>
            <w:r>
              <w:rPr>
                <w:rFonts w:hint="eastAsia" w:ascii="Times New Roman" w:hAnsi="Times New Roman" w:eastAsia="宋体" w:cs="Times New Roman"/>
                <w:color w:val="auto"/>
                <w:kern w:val="2"/>
                <w:sz w:val="21"/>
                <w:szCs w:val="21"/>
                <w:highlight w:val="none"/>
                <w:lang w:val="en-US" w:eastAsia="zh-CN" w:bidi="ar"/>
              </w:rPr>
              <w:t>袋装储存于</w:t>
            </w:r>
            <w:r>
              <w:rPr>
                <w:rFonts w:hint="eastAsia" w:cs="Times New Roman"/>
                <w:color w:val="auto"/>
                <w:kern w:val="2"/>
                <w:sz w:val="21"/>
                <w:szCs w:val="21"/>
                <w:highlight w:val="none"/>
                <w:lang w:val="en-US" w:eastAsia="zh-CN" w:bidi="ar"/>
              </w:rPr>
              <w:t>灰渣暂存间</w:t>
            </w:r>
            <w:r>
              <w:rPr>
                <w:rFonts w:hint="eastAsia" w:cs="Times New Roman"/>
                <w:color w:val="auto"/>
                <w:sz w:val="21"/>
                <w:szCs w:val="21"/>
                <w:highlight w:val="none"/>
                <w:vertAlign w:val="baseline"/>
                <w:lang w:val="en-US" w:eastAsia="zh-CN"/>
              </w:rPr>
              <w:t>，定期外售企业进行综合利用。</w:t>
            </w:r>
          </w:p>
          <w:p w14:paraId="641E5759">
            <w:pPr>
              <w:ind w:firstLine="420" w:firstLineChars="200"/>
              <w:jc w:val="left"/>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3.废弃除尘布袋：废弃除尘布袋暂存于</w:t>
            </w:r>
            <w:r>
              <w:rPr>
                <w:rFonts w:hint="eastAsia" w:cs="Times New Roman"/>
                <w:color w:val="auto"/>
                <w:sz w:val="21"/>
                <w:szCs w:val="21"/>
                <w:highlight w:val="none"/>
                <w:lang w:val="en-US" w:eastAsia="zh-CN"/>
              </w:rPr>
              <w:t>灰渣暂存间</w:t>
            </w:r>
            <w:r>
              <w:rPr>
                <w:rFonts w:hint="eastAsia" w:ascii="Times New Roman" w:hAnsi="Times New Roman" w:cs="Times New Roman"/>
                <w:color w:val="auto"/>
                <w:sz w:val="21"/>
                <w:szCs w:val="21"/>
                <w:highlight w:val="none"/>
                <w:lang w:val="en-US" w:eastAsia="zh-CN" w:bidi="ar"/>
              </w:rPr>
              <w:t>指</w:t>
            </w:r>
            <w:r>
              <w:rPr>
                <w:rFonts w:hint="eastAsia" w:ascii="Times New Roman" w:hAnsi="Times New Roman" w:eastAsia="宋体" w:cs="Times New Roman"/>
                <w:color w:val="auto"/>
                <w:sz w:val="21"/>
                <w:szCs w:val="21"/>
                <w:highlight w:val="none"/>
                <w:lang w:val="en-US" w:eastAsia="zh-CN" w:bidi="ar"/>
              </w:rPr>
              <w:t>定区域临时存放，</w:t>
            </w:r>
            <w:r>
              <w:rPr>
                <w:rFonts w:hint="eastAsia" w:cs="Times New Roman"/>
                <w:color w:val="auto"/>
                <w:kern w:val="0"/>
                <w:sz w:val="21"/>
                <w:szCs w:val="21"/>
                <w:highlight w:val="none"/>
                <w:lang w:val="en-US" w:eastAsia="zh-CN" w:bidi="ar-SA"/>
              </w:rPr>
              <w:t>由厂家回收处置。</w:t>
            </w:r>
          </w:p>
          <w:p w14:paraId="29ADB36A">
            <w:pPr>
              <w:ind w:firstLine="420" w:firstLineChars="200"/>
              <w:jc w:val="left"/>
              <w:rPr>
                <w:rFonts w:hint="default"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4.废弃包装物：外购燃料产生的废弃包装袋暂存于</w:t>
            </w:r>
            <w:r>
              <w:rPr>
                <w:rFonts w:hint="eastAsia" w:cs="Times New Roman"/>
                <w:color w:val="auto"/>
                <w:sz w:val="21"/>
                <w:szCs w:val="21"/>
                <w:highlight w:val="none"/>
                <w:lang w:val="en-US" w:eastAsia="zh-CN"/>
              </w:rPr>
              <w:t>燃料贮存间</w:t>
            </w:r>
            <w:r>
              <w:rPr>
                <w:rFonts w:hint="eastAsia" w:ascii="Times New Roman" w:hAnsi="Times New Roman" w:cs="Times New Roman"/>
                <w:color w:val="auto"/>
                <w:sz w:val="21"/>
                <w:szCs w:val="21"/>
                <w:highlight w:val="none"/>
                <w:lang w:val="en-US" w:eastAsia="zh-CN" w:bidi="ar"/>
              </w:rPr>
              <w:t>指</w:t>
            </w:r>
            <w:r>
              <w:rPr>
                <w:rFonts w:hint="eastAsia" w:ascii="Times New Roman" w:hAnsi="Times New Roman" w:eastAsia="宋体" w:cs="Times New Roman"/>
                <w:color w:val="auto"/>
                <w:sz w:val="21"/>
                <w:szCs w:val="21"/>
                <w:highlight w:val="none"/>
                <w:lang w:val="en-US" w:eastAsia="zh-CN" w:bidi="ar"/>
              </w:rPr>
              <w:t>定区域临时存放，</w:t>
            </w:r>
            <w:r>
              <w:rPr>
                <w:rFonts w:hint="eastAsia" w:cs="Times New Roman"/>
                <w:color w:val="auto"/>
                <w:kern w:val="0"/>
                <w:sz w:val="21"/>
                <w:szCs w:val="21"/>
                <w:highlight w:val="none"/>
                <w:lang w:val="en-US" w:eastAsia="zh-CN" w:bidi="ar-SA"/>
              </w:rPr>
              <w:t>收集后统一进行外售。</w:t>
            </w:r>
          </w:p>
          <w:p w14:paraId="60C0B18B">
            <w:pPr>
              <w:ind w:firstLine="420" w:firstLineChars="200"/>
              <w:jc w:val="left"/>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5.废弃离子交换树脂</w:t>
            </w:r>
            <w:r>
              <w:rPr>
                <w:rFonts w:hint="eastAsia" w:ascii="Times New Roman" w:hAnsi="Times New Roman" w:eastAsia="宋体" w:cs="Times New Roman"/>
                <w:color w:val="auto"/>
                <w:kern w:val="0"/>
                <w:sz w:val="21"/>
                <w:szCs w:val="21"/>
                <w:highlight w:val="none"/>
                <w:lang w:val="en-US" w:eastAsia="zh-CN" w:bidi="ar-SA"/>
              </w:rPr>
              <w:t>：废弃离子交换树脂每3年进行一次更换，不在厂区内暂存，直接由厂家回收处置。</w:t>
            </w:r>
          </w:p>
          <w:p w14:paraId="560692E0">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宋体" w:hAnsi="宋体" w:cs="宋体"/>
                <w:color w:val="auto"/>
                <w:sz w:val="21"/>
                <w:szCs w:val="21"/>
                <w:highlight w:val="none"/>
              </w:rPr>
            </w:pPr>
            <w:r>
              <w:rPr>
                <w:rFonts w:hint="eastAsia"/>
                <w:color w:val="auto"/>
                <w:sz w:val="21"/>
                <w:szCs w:val="21"/>
                <w:highlight w:val="none"/>
                <w:lang w:val="en-US" w:eastAsia="zh-CN"/>
              </w:rPr>
              <w:t>采取上述措施后，对周边环境保护目标影响较小，不会对当地居民生活造成明显影</w:t>
            </w:r>
            <w:r>
              <w:rPr>
                <w:rFonts w:hint="eastAsia" w:ascii="Times New Roman" w:hAnsi="Times New Roman" w:eastAsia="宋体" w:cs="Times New Roman"/>
                <w:color w:val="auto"/>
                <w:sz w:val="21"/>
                <w:szCs w:val="21"/>
                <w:highlight w:val="none"/>
                <w:lang w:val="en-US" w:eastAsia="zh-CN"/>
              </w:rPr>
              <w:t>响。</w:t>
            </w:r>
          </w:p>
        </w:tc>
      </w:tr>
      <w:tr w14:paraId="1D3F98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1679" w:type="dxa"/>
            <w:noWrap w:val="0"/>
            <w:vAlign w:val="center"/>
          </w:tcPr>
          <w:p w14:paraId="0E69A601">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土壤及地下水</w:t>
            </w:r>
          </w:p>
          <w:p w14:paraId="36161AEC">
            <w:pPr>
              <w:adjustRightInd w:val="0"/>
              <w:snapToGrid w:val="0"/>
              <w:jc w:val="center"/>
              <w:rPr>
                <w:rFonts w:hint="eastAsia" w:ascii="宋体" w:hAnsi="宋体" w:cs="宋体"/>
                <w:color w:val="auto"/>
                <w:sz w:val="21"/>
                <w:szCs w:val="21"/>
                <w:highlight w:val="yellow"/>
              </w:rPr>
            </w:pPr>
            <w:r>
              <w:rPr>
                <w:rFonts w:hint="eastAsia" w:ascii="宋体" w:hAnsi="宋体" w:cs="宋体"/>
                <w:color w:val="auto"/>
                <w:sz w:val="21"/>
                <w:szCs w:val="21"/>
                <w:highlight w:val="none"/>
              </w:rPr>
              <w:t>污染防治措施</w:t>
            </w:r>
          </w:p>
        </w:tc>
        <w:tc>
          <w:tcPr>
            <w:tcW w:w="7868" w:type="dxa"/>
            <w:gridSpan w:val="4"/>
            <w:noWrap w:val="0"/>
            <w:vAlign w:val="center"/>
          </w:tcPr>
          <w:p w14:paraId="09FE886C">
            <w:pPr>
              <w:ind w:firstLine="420" w:firstLineChars="200"/>
              <w:jc w:val="left"/>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化粪池采用抗渗混凝土作为池体材料，池体表面采取防渗防腐涂层，</w:t>
            </w:r>
            <w:r>
              <w:rPr>
                <w:rFonts w:hint="default" w:ascii="Times New Roman" w:hAnsi="Times New Roman" w:eastAsia="宋体" w:cs="Times New Roman"/>
                <w:color w:val="auto"/>
                <w:kern w:val="0"/>
                <w:sz w:val="21"/>
                <w:szCs w:val="21"/>
                <w:highlight w:val="none"/>
                <w:lang w:val="en-US" w:eastAsia="zh-CN" w:bidi="ar-SA"/>
              </w:rPr>
              <w:t>基底原土夯实</w:t>
            </w:r>
            <w:r>
              <w:rPr>
                <w:rFonts w:hint="eastAsia" w:ascii="Times New Roman" w:hAnsi="Times New Roman" w:eastAsia="宋体"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铺设抗渗等级不小于P8的混凝土层（厚度不小于150mm）</w:t>
            </w:r>
            <w:r>
              <w:rPr>
                <w:rFonts w:hint="eastAsia" w:ascii="Times New Roman" w:hAnsi="Times New Roman" w:eastAsia="宋体" w:cs="Times New Roman"/>
                <w:color w:val="auto"/>
                <w:kern w:val="0"/>
                <w:sz w:val="21"/>
                <w:szCs w:val="21"/>
                <w:highlight w:val="none"/>
                <w:lang w:val="en-US" w:eastAsia="zh-CN" w:bidi="ar-SA"/>
              </w:rPr>
              <w:t>。</w:t>
            </w:r>
          </w:p>
          <w:p w14:paraId="7C853751">
            <w:pPr>
              <w:ind w:firstLine="420" w:firstLineChars="200"/>
              <w:jc w:val="left"/>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w:t>
            </w:r>
            <w:r>
              <w:rPr>
                <w:rFonts w:hint="default" w:ascii="Times New Roman" w:hAnsi="Times New Roman" w:eastAsia="宋体" w:cs="Times New Roman"/>
                <w:color w:val="auto"/>
                <w:kern w:val="0"/>
                <w:sz w:val="21"/>
                <w:szCs w:val="21"/>
                <w:highlight w:val="none"/>
                <w:lang w:val="en-US" w:eastAsia="zh-CN" w:bidi="ar-SA"/>
              </w:rPr>
              <w:t>一般防渗区：</w:t>
            </w:r>
            <w:r>
              <w:rPr>
                <w:rFonts w:hint="eastAsia" w:ascii="Times New Roman" w:hAnsi="Times New Roman" w:eastAsia="宋体" w:cs="Times New Roman"/>
                <w:color w:val="auto"/>
                <w:kern w:val="0"/>
                <w:sz w:val="21"/>
                <w:szCs w:val="21"/>
                <w:highlight w:val="none"/>
                <w:lang w:val="en-US" w:eastAsia="zh-CN" w:bidi="ar-SA"/>
              </w:rPr>
              <w:t>化粪池基底</w:t>
            </w:r>
            <w:r>
              <w:rPr>
                <w:rFonts w:hint="default" w:ascii="Times New Roman" w:hAnsi="Times New Roman" w:eastAsia="宋体" w:cs="Times New Roman"/>
                <w:color w:val="auto"/>
                <w:kern w:val="0"/>
                <w:sz w:val="21"/>
                <w:szCs w:val="21"/>
                <w:highlight w:val="none"/>
                <w:lang w:val="en-US" w:eastAsia="zh-CN" w:bidi="ar-SA"/>
              </w:rPr>
              <w:t>原土夯实</w:t>
            </w:r>
            <w:r>
              <w:rPr>
                <w:rFonts w:hint="eastAsia" w:ascii="Times New Roman" w:hAnsi="Times New Roman" w:eastAsia="宋体"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铺设抗渗等级不小于P8的混凝土层（厚度不小于150mm）</w:t>
            </w:r>
            <w:r>
              <w:rPr>
                <w:rFonts w:hint="eastAsia" w:ascii="Times New Roman" w:hAnsi="Times New Roman" w:eastAsia="宋体" w:cs="Times New Roman"/>
                <w:color w:val="auto"/>
                <w:kern w:val="0"/>
                <w:sz w:val="21"/>
                <w:szCs w:val="21"/>
                <w:highlight w:val="none"/>
                <w:lang w:val="en-US" w:eastAsia="zh-CN" w:bidi="ar-SA"/>
              </w:rPr>
              <w:t>。</w:t>
            </w:r>
          </w:p>
          <w:p w14:paraId="2D2C71B6">
            <w:pPr>
              <w:ind w:firstLine="420" w:firstLineChars="200"/>
              <w:jc w:val="left"/>
              <w:rPr>
                <w:rFonts w:hint="eastAsia" w:ascii="宋体" w:hAnsi="宋体" w:cs="宋体"/>
                <w:color w:val="auto"/>
                <w:sz w:val="21"/>
                <w:szCs w:val="21"/>
                <w:highlight w:val="yellow"/>
              </w:rPr>
            </w:pPr>
            <w:r>
              <w:rPr>
                <w:rFonts w:hint="eastAsia" w:ascii="Times New Roman" w:hAnsi="Times New Roman" w:eastAsia="宋体" w:cs="Times New Roman"/>
                <w:color w:val="auto"/>
                <w:kern w:val="0"/>
                <w:sz w:val="21"/>
                <w:szCs w:val="21"/>
                <w:highlight w:val="none"/>
                <w:lang w:val="en-US" w:eastAsia="zh-CN" w:bidi="ar-SA"/>
              </w:rPr>
              <w:t>2.</w:t>
            </w:r>
            <w:r>
              <w:rPr>
                <w:rFonts w:hint="default" w:ascii="Times New Roman" w:hAnsi="Times New Roman" w:eastAsia="宋体" w:cs="Times New Roman"/>
                <w:color w:val="auto"/>
                <w:kern w:val="0"/>
                <w:sz w:val="21"/>
                <w:szCs w:val="21"/>
                <w:highlight w:val="none"/>
                <w:lang w:val="en-US" w:eastAsia="zh-CN" w:bidi="ar-SA"/>
              </w:rPr>
              <w:t>简单防渗区：</w:t>
            </w:r>
            <w:r>
              <w:rPr>
                <w:rFonts w:hint="eastAsia" w:ascii="Times New Roman" w:hAnsi="Times New Roman" w:eastAsia="宋体" w:cs="Times New Roman"/>
                <w:color w:val="auto"/>
                <w:kern w:val="0"/>
                <w:sz w:val="21"/>
                <w:szCs w:val="21"/>
                <w:highlight w:val="none"/>
                <w:lang w:val="en-US" w:eastAsia="zh-CN" w:bidi="ar-SA"/>
              </w:rPr>
              <w:t>厂区</w:t>
            </w:r>
            <w:r>
              <w:rPr>
                <w:rFonts w:hint="default" w:ascii="Times New Roman" w:hAnsi="Times New Roman" w:eastAsia="宋体" w:cs="Times New Roman"/>
                <w:color w:val="auto"/>
                <w:kern w:val="0"/>
                <w:sz w:val="21"/>
                <w:szCs w:val="21"/>
                <w:highlight w:val="none"/>
                <w:lang w:val="en-US" w:eastAsia="zh-CN" w:bidi="ar-SA"/>
              </w:rPr>
              <w:t>采用水泥地面硬化</w:t>
            </w:r>
            <w:r>
              <w:rPr>
                <w:rFonts w:hint="eastAsia" w:ascii="Times New Roman" w:hAnsi="Times New Roman" w:eastAsia="宋体" w:cs="Times New Roman"/>
                <w:color w:val="auto"/>
                <w:kern w:val="0"/>
                <w:sz w:val="21"/>
                <w:szCs w:val="21"/>
                <w:highlight w:val="none"/>
                <w:lang w:val="en-US" w:eastAsia="zh-CN" w:bidi="ar-SA"/>
              </w:rPr>
              <w:t>。</w:t>
            </w:r>
          </w:p>
        </w:tc>
      </w:tr>
      <w:tr w14:paraId="548FF7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679" w:type="dxa"/>
            <w:noWrap w:val="0"/>
            <w:vAlign w:val="center"/>
          </w:tcPr>
          <w:p w14:paraId="136A364B">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生态保护措施</w:t>
            </w:r>
          </w:p>
        </w:tc>
        <w:tc>
          <w:tcPr>
            <w:tcW w:w="7868" w:type="dxa"/>
            <w:gridSpan w:val="4"/>
            <w:noWrap w:val="0"/>
            <w:vAlign w:val="center"/>
          </w:tcPr>
          <w:p w14:paraId="7E57160D">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w:t>
            </w:r>
          </w:p>
        </w:tc>
      </w:tr>
      <w:tr w14:paraId="6AE37D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11" w:hRule="atLeast"/>
          <w:jc w:val="center"/>
        </w:trPr>
        <w:tc>
          <w:tcPr>
            <w:tcW w:w="1679" w:type="dxa"/>
            <w:noWrap w:val="0"/>
            <w:vAlign w:val="center"/>
          </w:tcPr>
          <w:p w14:paraId="526B8B39">
            <w:pPr>
              <w:adjustRightInd w:val="0"/>
              <w:snapToGrid w:val="0"/>
              <w:jc w:val="center"/>
              <w:rPr>
                <w:rFonts w:ascii="宋体" w:hAnsi="宋体" w:cs="宋体"/>
                <w:color w:val="auto"/>
                <w:spacing w:val="-8"/>
                <w:sz w:val="21"/>
                <w:szCs w:val="21"/>
                <w:highlight w:val="none"/>
              </w:rPr>
            </w:pPr>
            <w:r>
              <w:rPr>
                <w:rFonts w:hint="eastAsia" w:ascii="宋体" w:hAnsi="宋体" w:cs="宋体"/>
                <w:color w:val="auto"/>
                <w:spacing w:val="-8"/>
                <w:sz w:val="21"/>
                <w:szCs w:val="21"/>
                <w:highlight w:val="none"/>
              </w:rPr>
              <w:t>环境风险</w:t>
            </w:r>
          </w:p>
          <w:p w14:paraId="75BCD05C">
            <w:pPr>
              <w:adjustRightInd w:val="0"/>
              <w:snapToGrid w:val="0"/>
              <w:jc w:val="center"/>
              <w:rPr>
                <w:rFonts w:hint="eastAsia" w:ascii="宋体" w:hAnsi="宋体" w:cs="宋体"/>
                <w:color w:val="auto"/>
                <w:spacing w:val="-8"/>
                <w:sz w:val="21"/>
                <w:szCs w:val="21"/>
                <w:highlight w:val="none"/>
              </w:rPr>
            </w:pPr>
            <w:r>
              <w:rPr>
                <w:rFonts w:hint="eastAsia" w:ascii="宋体" w:hAnsi="宋体" w:cs="宋体"/>
                <w:color w:val="auto"/>
                <w:spacing w:val="-8"/>
                <w:sz w:val="21"/>
                <w:szCs w:val="21"/>
                <w:highlight w:val="none"/>
              </w:rPr>
              <w:t>防范措施</w:t>
            </w:r>
          </w:p>
        </w:tc>
        <w:tc>
          <w:tcPr>
            <w:tcW w:w="7868" w:type="dxa"/>
            <w:gridSpan w:val="4"/>
            <w:noWrap w:val="0"/>
            <w:vAlign w:val="center"/>
          </w:tcPr>
          <w:p w14:paraId="239089A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1.项目应按规范配置灭火器材和消防装备；制定巡查制度，重点巡查易燃原辅材料的使用区域，对设备维修检查，需进行维修焊接，应经安全部门确认、准许，并记录在案。</w:t>
            </w:r>
          </w:p>
          <w:p w14:paraId="12A3447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2.加强火源管理，杜绝各种火种，明火发生源为火柴、打火机等，严禁闲杂人员入内；工作人员要熟练掌握操作技术和防火安全管理规定。</w:t>
            </w:r>
          </w:p>
          <w:p w14:paraId="73841C2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eastAsia="宋体" w:cs="宋体"/>
                <w:color w:val="auto"/>
                <w:sz w:val="21"/>
                <w:szCs w:val="21"/>
                <w:highlight w:val="none"/>
                <w:lang w:eastAsia="zh-CN"/>
              </w:rPr>
            </w:pPr>
            <w:r>
              <w:rPr>
                <w:rFonts w:hint="default" w:ascii="Times New Roman" w:hAnsi="Times New Roman" w:cs="Times New Roman"/>
                <w:color w:val="auto"/>
                <w:sz w:val="21"/>
                <w:szCs w:val="21"/>
                <w:highlight w:val="none"/>
                <w:lang w:val="en-US" w:eastAsia="zh-CN"/>
              </w:rPr>
              <w:t>3.厂内发生火灾时，采取先控制后消灭的消防措施。统一指挥、积极组织人员进行灭火，堵截火势、防止蔓延；扑救人员应注意占领上风或侧风阵地。</w:t>
            </w:r>
          </w:p>
        </w:tc>
      </w:tr>
      <w:tr w14:paraId="1D4864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08" w:hRule="atLeast"/>
          <w:jc w:val="center"/>
        </w:trPr>
        <w:tc>
          <w:tcPr>
            <w:tcW w:w="1679" w:type="dxa"/>
            <w:noWrap w:val="0"/>
            <w:vAlign w:val="center"/>
          </w:tcPr>
          <w:p w14:paraId="7442EF81">
            <w:pPr>
              <w:adjustRightInd w:val="0"/>
              <w:snapToGrid w:val="0"/>
              <w:jc w:val="center"/>
              <w:rPr>
                <w:rFonts w:ascii="宋体" w:hAnsi="宋体" w:cs="宋体"/>
                <w:color w:val="auto"/>
                <w:spacing w:val="-8"/>
                <w:sz w:val="21"/>
                <w:szCs w:val="21"/>
                <w:highlight w:val="none"/>
              </w:rPr>
            </w:pPr>
            <w:r>
              <w:rPr>
                <w:rFonts w:hint="eastAsia" w:ascii="宋体" w:hAnsi="宋体" w:cs="宋体"/>
                <w:color w:val="auto"/>
                <w:spacing w:val="-8"/>
                <w:sz w:val="21"/>
                <w:szCs w:val="21"/>
                <w:highlight w:val="none"/>
              </w:rPr>
              <w:t>其他环境</w:t>
            </w:r>
          </w:p>
          <w:p w14:paraId="266A183E">
            <w:pPr>
              <w:adjustRightInd w:val="0"/>
              <w:snapToGrid w:val="0"/>
              <w:jc w:val="center"/>
              <w:rPr>
                <w:rFonts w:hint="eastAsia" w:ascii="宋体" w:hAnsi="宋体" w:cs="宋体"/>
                <w:color w:val="auto"/>
                <w:spacing w:val="-8"/>
                <w:sz w:val="21"/>
                <w:szCs w:val="21"/>
                <w:highlight w:val="none"/>
              </w:rPr>
            </w:pPr>
            <w:r>
              <w:rPr>
                <w:rFonts w:hint="eastAsia" w:ascii="宋体" w:hAnsi="宋体" w:cs="宋体"/>
                <w:color w:val="auto"/>
                <w:spacing w:val="-8"/>
                <w:sz w:val="21"/>
                <w:szCs w:val="21"/>
                <w:highlight w:val="none"/>
              </w:rPr>
              <w:t>管理要求</w:t>
            </w:r>
          </w:p>
        </w:tc>
        <w:tc>
          <w:tcPr>
            <w:tcW w:w="7868" w:type="dxa"/>
            <w:gridSpan w:val="4"/>
            <w:noWrap w:val="0"/>
            <w:vAlign w:val="center"/>
          </w:tcPr>
          <w:p w14:paraId="7BC3B5E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衔接排污许可证制度</w:t>
            </w:r>
          </w:p>
          <w:p w14:paraId="68994B4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根据《固定污染源排污许可分类管理名录（2019年版）》（部令 第11号）规定，</w:t>
            </w:r>
            <w:r>
              <w:rPr>
                <w:rFonts w:hint="eastAsia" w:ascii="Times New Roman" w:hAnsi="Times New Roman" w:cs="Times New Roman"/>
                <w:color w:val="auto"/>
                <w:sz w:val="21"/>
                <w:szCs w:val="21"/>
                <w:highlight w:val="none"/>
                <w:lang w:val="en-US" w:eastAsia="zh-CN"/>
              </w:rPr>
              <w:t>本项目属于“</w:t>
            </w:r>
            <w:r>
              <w:rPr>
                <w:rFonts w:hint="default" w:ascii="Times New Roman" w:hAnsi="Times New Roman" w:cs="Times New Roman"/>
                <w:color w:val="auto"/>
                <w:sz w:val="21"/>
                <w:szCs w:val="21"/>
                <w:highlight w:val="none"/>
                <w:lang w:val="en-US" w:eastAsia="zh-CN"/>
              </w:rPr>
              <w:t>五十一、通用工序</w:t>
            </w:r>
            <w:r>
              <w:rPr>
                <w:rFonts w:hint="eastAsia" w:ascii="Times New Roman" w:hAnsi="Times New Roman" w:cs="Times New Roman"/>
                <w:color w:val="auto"/>
                <w:sz w:val="21"/>
                <w:szCs w:val="21"/>
                <w:highlight w:val="none"/>
                <w:lang w:val="en-US" w:eastAsia="zh-CN"/>
              </w:rPr>
              <w:t>”“109锅炉”“除纳入重点排污单位名录的，单台且合计出力20吨/小时（14兆瓦）以下的锅炉（不含电热锅炉）”</w:t>
            </w:r>
            <w:r>
              <w:rPr>
                <w:rFonts w:hint="default" w:ascii="Times New Roman" w:hAnsi="Times New Roman" w:cs="Times New Roman"/>
                <w:color w:val="auto"/>
                <w:sz w:val="21"/>
                <w:szCs w:val="21"/>
                <w:highlight w:val="none"/>
                <w:lang w:val="en-US" w:eastAsia="zh-CN"/>
              </w:rPr>
              <w:t>属于</w:t>
            </w:r>
            <w:r>
              <w:rPr>
                <w:rFonts w:hint="eastAsia" w:ascii="Times New Roman" w:hAnsi="Times New Roman" w:cs="Times New Roman"/>
                <w:color w:val="auto"/>
                <w:sz w:val="21"/>
                <w:szCs w:val="21"/>
                <w:highlight w:val="none"/>
                <w:lang w:val="en-US" w:eastAsia="zh-CN"/>
              </w:rPr>
              <w:t>登记</w:t>
            </w:r>
            <w:r>
              <w:rPr>
                <w:rFonts w:hint="default" w:ascii="Times New Roman" w:hAnsi="Times New Roman" w:cs="Times New Roman"/>
                <w:color w:val="auto"/>
                <w:sz w:val="21"/>
                <w:szCs w:val="21"/>
                <w:highlight w:val="none"/>
                <w:lang w:val="en-US" w:eastAsia="zh-CN"/>
              </w:rPr>
              <w:t>管理类别。</w:t>
            </w:r>
          </w:p>
          <w:p w14:paraId="2B6D438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综上所述，根据</w:t>
            </w:r>
            <w:r>
              <w:rPr>
                <w:rFonts w:hint="default" w:ascii="Times New Roman" w:hAnsi="Times New Roman" w:cs="Times New Roman"/>
                <w:color w:val="auto"/>
                <w:sz w:val="21"/>
                <w:szCs w:val="21"/>
                <w:highlight w:val="none"/>
                <w:lang w:val="en-US" w:eastAsia="zh-CN"/>
              </w:rPr>
              <w:t xml:space="preserve">《排污许可证申请与核发技术规范 </w:t>
            </w:r>
            <w:r>
              <w:rPr>
                <w:rFonts w:hint="eastAsia" w:ascii="Times New Roman" w:hAnsi="Times New Roman" w:cs="Times New Roman"/>
                <w:color w:val="auto"/>
                <w:sz w:val="21"/>
                <w:szCs w:val="21"/>
                <w:highlight w:val="none"/>
                <w:lang w:val="en-US" w:eastAsia="zh-CN"/>
              </w:rPr>
              <w:t>锅炉</w:t>
            </w:r>
            <w:r>
              <w:rPr>
                <w:rFonts w:hint="default" w:ascii="Times New Roman" w:hAnsi="Times New Roman" w:cs="Times New Roman"/>
                <w:color w:val="auto"/>
                <w:sz w:val="21"/>
                <w:szCs w:val="21"/>
                <w:highlight w:val="none"/>
                <w:lang w:val="en-US" w:eastAsia="zh-CN"/>
              </w:rPr>
              <w:t>》（HJ1121-2020）</w:t>
            </w:r>
            <w:r>
              <w:rPr>
                <w:rFonts w:hint="eastAsia" w:ascii="Times New Roman" w:hAnsi="Times New Roman" w:cs="Times New Roman"/>
                <w:color w:val="auto"/>
                <w:sz w:val="21"/>
                <w:szCs w:val="21"/>
                <w:highlight w:val="none"/>
                <w:lang w:val="en-US" w:eastAsia="zh-CN"/>
              </w:rPr>
              <w:t>等文件要求在</w:t>
            </w:r>
            <w:r>
              <w:rPr>
                <w:rFonts w:hint="default" w:ascii="Times New Roman" w:hAnsi="Times New Roman" w:cs="Times New Roman"/>
                <w:color w:val="auto"/>
                <w:sz w:val="21"/>
                <w:szCs w:val="21"/>
                <w:highlight w:val="none"/>
                <w:lang w:val="en-US" w:eastAsia="zh-CN"/>
              </w:rPr>
              <w:t>全国排污许可证管理信息平台上进行注册及填报，并</w:t>
            </w:r>
            <w:r>
              <w:rPr>
                <w:rFonts w:hint="eastAsia" w:ascii="Times New Roman" w:hAnsi="Times New Roman" w:cs="Times New Roman"/>
                <w:color w:val="auto"/>
                <w:sz w:val="21"/>
                <w:szCs w:val="21"/>
                <w:highlight w:val="none"/>
                <w:lang w:val="en-US" w:eastAsia="zh-CN"/>
              </w:rPr>
              <w:t>取得固定污染源排污登记回执。</w:t>
            </w:r>
          </w:p>
          <w:p w14:paraId="35D3371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2.企业自主环保验收</w:t>
            </w:r>
          </w:p>
          <w:p w14:paraId="5AE2288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color w:val="auto"/>
                <w:sz w:val="21"/>
                <w:szCs w:val="21"/>
                <w:highlight w:val="none"/>
              </w:rPr>
            </w:pPr>
            <w:r>
              <w:rPr>
                <w:rFonts w:hint="default" w:ascii="Times New Roman" w:hAnsi="Times New Roman" w:cs="Times New Roman"/>
                <w:color w:val="auto"/>
                <w:sz w:val="21"/>
                <w:szCs w:val="21"/>
                <w:highlight w:val="none"/>
                <w:lang w:val="en-US" w:eastAsia="zh-CN"/>
              </w:rPr>
              <w:t>根据《建设项目竣工环境保护验收暂行办法》（国环规环评〔20</w:t>
            </w:r>
            <w:r>
              <w:rPr>
                <w:rFonts w:hint="eastAsia" w:ascii="Times New Roman" w:hAnsi="Times New Roman" w:cs="Times New Roman"/>
                <w:color w:val="auto"/>
                <w:sz w:val="21"/>
                <w:szCs w:val="21"/>
                <w:highlight w:val="none"/>
                <w:lang w:val="en-US" w:eastAsia="zh-CN"/>
              </w:rPr>
              <w:t>17</w:t>
            </w:r>
            <w:r>
              <w:rPr>
                <w:rFonts w:hint="default" w:ascii="Times New Roman" w:hAnsi="Times New Roman" w:cs="Times New Roman"/>
                <w:color w:val="auto"/>
                <w:sz w:val="21"/>
                <w:szCs w:val="21"/>
                <w:highlight w:val="none"/>
                <w:lang w:val="en-US" w:eastAsia="zh-CN"/>
              </w:rPr>
              <w:t>〕4号）文件，建设单位作为建设项目竣工环境保护验收的责任主体，应当建设单位应依据建设项目竣工环境保护验收技术规范、环评文件及其批复的要求，自主开展环境保护竣工验收相关工作。建设项目配套建设的环境保护设施经验收合格，方可投入生产或者使用，未经验收或者验收不合格的，不得投入生产或者使用。</w:t>
            </w:r>
          </w:p>
        </w:tc>
      </w:tr>
    </w:tbl>
    <w:p w14:paraId="6E5CAA60">
      <w:pPr>
        <w:pStyle w:val="17"/>
        <w:jc w:val="center"/>
        <w:outlineLvl w:val="0"/>
        <w:rPr>
          <w:rFonts w:ascii="黑体" w:hAnsi="黑体" w:eastAsia="黑体"/>
          <w:snapToGrid w:val="0"/>
          <w:color w:val="auto"/>
          <w:sz w:val="30"/>
          <w:szCs w:val="30"/>
          <w:highlight w:val="none"/>
        </w:rPr>
      </w:pPr>
      <w:r>
        <w:rPr>
          <w:snapToGrid w:val="0"/>
          <w:color w:val="FF0000"/>
          <w:highlight w:val="none"/>
        </w:rPr>
        <w:br w:type="page"/>
      </w:r>
      <w:bookmarkStart w:id="13" w:name="_Toc31583"/>
      <w:r>
        <w:rPr>
          <w:rFonts w:hint="eastAsia" w:ascii="黑体" w:hAnsi="黑体" w:eastAsia="黑体"/>
          <w:snapToGrid w:val="0"/>
          <w:color w:val="auto"/>
          <w:sz w:val="30"/>
          <w:szCs w:val="30"/>
          <w:highlight w:val="none"/>
        </w:rPr>
        <w:t>六、结论</w:t>
      </w:r>
      <w:bookmarkEnd w:id="13"/>
    </w:p>
    <w:tbl>
      <w:tblPr>
        <w:tblStyle w:val="20"/>
        <w:tblW w:w="9540" w:type="dxa"/>
        <w:tblInd w:w="-241"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40"/>
      </w:tblGrid>
      <w:tr w14:paraId="132637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trPr>
        <w:tc>
          <w:tcPr>
            <w:tcW w:w="9540" w:type="dxa"/>
            <w:noWrap w:val="0"/>
            <w:vAlign w:val="top"/>
          </w:tcPr>
          <w:p w14:paraId="7A2A78F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综上所述，本项目的建设</w:t>
            </w:r>
            <w:r>
              <w:rPr>
                <w:rFonts w:hint="default" w:ascii="Times New Roman" w:hAnsi="Times New Roman" w:cs="Times New Roman"/>
                <w:color w:val="auto"/>
                <w:sz w:val="24"/>
                <w:highlight w:val="none"/>
                <w:lang w:val="en-US" w:eastAsia="zh-CN"/>
              </w:rPr>
              <w:t>符合国家产业政策、所在地区</w:t>
            </w:r>
            <w:r>
              <w:rPr>
                <w:rFonts w:hint="eastAsia" w:cs="Times New Roman"/>
                <w:color w:val="auto"/>
                <w:sz w:val="24"/>
                <w:highlight w:val="none"/>
                <w:lang w:val="en-US" w:eastAsia="zh-CN"/>
              </w:rPr>
              <w:t>生态环境分区管控</w:t>
            </w:r>
            <w:r>
              <w:rPr>
                <w:rFonts w:hint="default" w:ascii="Times New Roman" w:hAnsi="Times New Roman" w:cs="Times New Roman"/>
                <w:color w:val="auto"/>
                <w:sz w:val="24"/>
                <w:highlight w:val="none"/>
                <w:lang w:val="en-US" w:eastAsia="zh-CN"/>
              </w:rPr>
              <w:t>及相关生态环境保护法律法规政策的相关要求。</w:t>
            </w:r>
          </w:p>
          <w:p w14:paraId="15ED9D2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val="en-US" w:eastAsia="zh-CN"/>
              </w:rPr>
              <w:t>本</w:t>
            </w:r>
            <w:r>
              <w:rPr>
                <w:rFonts w:hint="default" w:ascii="Times New Roman" w:hAnsi="Times New Roman" w:cs="Times New Roman"/>
                <w:color w:val="auto"/>
                <w:sz w:val="24"/>
                <w:highlight w:val="none"/>
              </w:rPr>
              <w:t>项目</w:t>
            </w:r>
            <w:r>
              <w:rPr>
                <w:rFonts w:hint="eastAsia" w:cs="Times New Roman"/>
                <w:color w:val="auto"/>
                <w:sz w:val="24"/>
                <w:highlight w:val="none"/>
                <w:lang w:val="en-US" w:eastAsia="zh-CN"/>
              </w:rPr>
              <w:t>运营</w:t>
            </w:r>
            <w:r>
              <w:rPr>
                <w:rFonts w:hint="default" w:ascii="Times New Roman" w:hAnsi="Times New Roman" w:cs="Times New Roman"/>
                <w:color w:val="auto"/>
                <w:sz w:val="24"/>
                <w:highlight w:val="none"/>
              </w:rPr>
              <w:t>期产生的</w:t>
            </w:r>
            <w:r>
              <w:rPr>
                <w:rFonts w:hint="eastAsia" w:cs="Times New Roman"/>
                <w:color w:val="auto"/>
                <w:sz w:val="24"/>
                <w:highlight w:val="none"/>
                <w:lang w:val="en-US" w:eastAsia="zh-CN"/>
              </w:rPr>
              <w:t>废气、</w:t>
            </w:r>
            <w:r>
              <w:rPr>
                <w:rFonts w:hint="default" w:ascii="Times New Roman" w:hAnsi="Times New Roman" w:cs="Times New Roman"/>
                <w:color w:val="auto"/>
                <w:sz w:val="24"/>
                <w:highlight w:val="none"/>
              </w:rPr>
              <w:t>废水、噪声、固废等采取有效</w:t>
            </w:r>
            <w:r>
              <w:rPr>
                <w:rFonts w:hint="default" w:ascii="Times New Roman" w:hAnsi="Times New Roman" w:cs="Times New Roman"/>
                <w:color w:val="auto"/>
                <w:sz w:val="24"/>
                <w:highlight w:val="none"/>
                <w:lang w:val="en-US" w:eastAsia="zh-CN"/>
              </w:rPr>
              <w:t>的治理</w:t>
            </w:r>
            <w:r>
              <w:rPr>
                <w:rFonts w:hint="default" w:ascii="Times New Roman" w:hAnsi="Times New Roman" w:cs="Times New Roman"/>
                <w:color w:val="auto"/>
                <w:sz w:val="24"/>
                <w:highlight w:val="none"/>
              </w:rPr>
              <w:t>措施后，均能</w:t>
            </w:r>
            <w:r>
              <w:rPr>
                <w:rFonts w:hint="default" w:ascii="Times New Roman" w:hAnsi="Times New Roman" w:cs="Times New Roman"/>
                <w:color w:val="auto"/>
                <w:sz w:val="24"/>
                <w:highlight w:val="none"/>
                <w:lang w:eastAsia="zh-CN"/>
              </w:rPr>
              <w:t>符合</w:t>
            </w:r>
            <w:r>
              <w:rPr>
                <w:rFonts w:hint="default" w:ascii="Times New Roman" w:hAnsi="Times New Roman" w:cs="Times New Roman"/>
                <w:color w:val="auto"/>
                <w:sz w:val="24"/>
                <w:highlight w:val="none"/>
              </w:rPr>
              <w:t>国家相关排放标准的要求</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对环境的影响可被接受</w:t>
            </w:r>
            <w:r>
              <w:rPr>
                <w:rFonts w:hint="default" w:ascii="Times New Roman" w:hAnsi="Times New Roman" w:cs="Times New Roman"/>
                <w:color w:val="auto"/>
                <w:sz w:val="24"/>
                <w:highlight w:val="none"/>
                <w:lang w:eastAsia="zh-CN"/>
              </w:rPr>
              <w:t>。</w:t>
            </w:r>
          </w:p>
          <w:p w14:paraId="32CDE70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建设单位在严格遵守</w:t>
            </w:r>
            <w:r>
              <w:rPr>
                <w:rFonts w:hint="eastAsia" w:cs="Times New Roman"/>
                <w:color w:val="auto"/>
                <w:sz w:val="24"/>
                <w:highlight w:val="none"/>
                <w:lang w:eastAsia="zh-CN"/>
              </w:rPr>
              <w:t>“</w:t>
            </w:r>
            <w:r>
              <w:rPr>
                <w:rFonts w:hint="default" w:ascii="Times New Roman" w:hAnsi="Times New Roman" w:cs="Times New Roman"/>
                <w:color w:val="auto"/>
                <w:sz w:val="24"/>
                <w:highlight w:val="none"/>
                <w:lang w:eastAsia="zh-CN"/>
              </w:rPr>
              <w:t>三同时</w:t>
            </w:r>
            <w:r>
              <w:rPr>
                <w:rFonts w:hint="eastAsia" w:cs="Times New Roman"/>
                <w:color w:val="auto"/>
                <w:sz w:val="24"/>
                <w:highlight w:val="none"/>
                <w:lang w:eastAsia="zh-CN"/>
              </w:rPr>
              <w:t>”</w:t>
            </w:r>
            <w:r>
              <w:rPr>
                <w:rFonts w:hint="default" w:ascii="Times New Roman" w:hAnsi="Times New Roman" w:cs="Times New Roman"/>
                <w:color w:val="auto"/>
                <w:sz w:val="24"/>
                <w:highlight w:val="none"/>
                <w:lang w:eastAsia="zh-CN"/>
              </w:rPr>
              <w:t>的管理规定，切实保证本报告提出的各项环保措施得到落实</w:t>
            </w:r>
            <w:r>
              <w:rPr>
                <w:rFonts w:hint="default" w:ascii="Times New Roman" w:hAnsi="Times New Roman" w:cs="Times New Roman"/>
                <w:color w:val="auto"/>
                <w:sz w:val="24"/>
                <w:highlight w:val="none"/>
                <w:lang w:val="en-US" w:eastAsia="zh-CN"/>
              </w:rPr>
              <w:t>后</w:t>
            </w:r>
            <w:r>
              <w:rPr>
                <w:rFonts w:hint="default" w:ascii="Times New Roman" w:hAnsi="Times New Roman" w:cs="Times New Roman"/>
                <w:color w:val="auto"/>
                <w:sz w:val="24"/>
                <w:highlight w:val="none"/>
                <w:lang w:eastAsia="zh-CN"/>
              </w:rPr>
              <w:t>，确保环保设施的正常运行，尽可能将环境影响降至最小。从环境保护角度分析，本项目的建设可行。</w:t>
            </w:r>
          </w:p>
          <w:p w14:paraId="7D80624E">
            <w:pPr>
              <w:spacing w:line="360" w:lineRule="auto"/>
              <w:rPr>
                <w:rFonts w:ascii="宋体" w:cs="宋体"/>
                <w:color w:val="auto"/>
                <w:sz w:val="24"/>
                <w:highlight w:val="none"/>
              </w:rPr>
            </w:pPr>
          </w:p>
        </w:tc>
      </w:tr>
    </w:tbl>
    <w:p w14:paraId="0C96E97F">
      <w:pPr>
        <w:rPr>
          <w:rFonts w:ascii="宋体"/>
          <w:color w:val="FF0000"/>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4896C491">
      <w:pPr>
        <w:pStyle w:val="17"/>
        <w:adjustRightInd w:val="0"/>
        <w:snapToGrid w:val="0"/>
        <w:spacing w:before="0" w:beforeAutospacing="0" w:after="0" w:afterAutospacing="0" w:line="648" w:lineRule="auto"/>
        <w:outlineLvl w:val="0"/>
        <w:rPr>
          <w:rFonts w:ascii="黑体" w:hAnsi="黑体" w:eastAsia="黑体"/>
          <w:snapToGrid w:val="0"/>
          <w:color w:val="auto"/>
          <w:sz w:val="32"/>
          <w:szCs w:val="32"/>
          <w:highlight w:val="none"/>
        </w:rPr>
      </w:pPr>
      <w:bookmarkStart w:id="14" w:name="_Toc10119"/>
      <w:bookmarkStart w:id="15" w:name="_Toc8162"/>
      <w:r>
        <w:rPr>
          <w:rFonts w:hint="eastAsia" w:ascii="黑体" w:hAnsi="黑体" w:eastAsia="黑体"/>
          <w:snapToGrid w:val="0"/>
          <w:color w:val="auto"/>
          <w:sz w:val="32"/>
          <w:szCs w:val="32"/>
          <w:highlight w:val="none"/>
        </w:rPr>
        <w:t>附表</w:t>
      </w:r>
      <w:bookmarkEnd w:id="14"/>
      <w:bookmarkEnd w:id="15"/>
    </w:p>
    <w:p w14:paraId="317ADAE2">
      <w:pPr>
        <w:pStyle w:val="17"/>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auto"/>
        <w:jc w:val="center"/>
        <w:textAlignment w:val="auto"/>
        <w:outlineLvl w:val="9"/>
        <w:rPr>
          <w:rFonts w:hint="eastAsia" w:ascii="方正小标宋_GBK" w:hAnsi="黑体" w:eastAsia="方正小标宋_GBK"/>
          <w:snapToGrid w:val="0"/>
          <w:color w:val="auto"/>
          <w:sz w:val="38"/>
          <w:szCs w:val="38"/>
          <w:highlight w:val="none"/>
        </w:rPr>
      </w:pPr>
      <w:bookmarkStart w:id="16" w:name="_Toc12161"/>
      <w:r>
        <w:rPr>
          <w:rFonts w:hint="eastAsia" w:ascii="方正小标宋_GBK" w:hAnsi="黑体" w:eastAsia="方正小标宋_GBK"/>
          <w:snapToGrid w:val="0"/>
          <w:color w:val="auto"/>
          <w:sz w:val="38"/>
          <w:szCs w:val="38"/>
          <w:highlight w:val="none"/>
        </w:rPr>
        <w:t>建设项目污染物排放量汇总表</w:t>
      </w:r>
      <w:bookmarkEnd w:id="16"/>
    </w:p>
    <w:tbl>
      <w:tblPr>
        <w:tblStyle w:val="20"/>
        <w:tblW w:w="14512" w:type="dxa"/>
        <w:tblInd w:w="-34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32"/>
        <w:gridCol w:w="1913"/>
        <w:gridCol w:w="1701"/>
        <w:gridCol w:w="1276"/>
        <w:gridCol w:w="1701"/>
        <w:gridCol w:w="1559"/>
        <w:gridCol w:w="1761"/>
        <w:gridCol w:w="1959"/>
        <w:gridCol w:w="1210"/>
      </w:tblGrid>
      <w:tr w14:paraId="5BDEF1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32" w:type="dxa"/>
            <w:tcBorders>
              <w:tl2br w:val="single" w:color="auto" w:sz="4" w:space="0"/>
            </w:tcBorders>
            <w:noWrap w:val="0"/>
            <w:tcMar>
              <w:left w:w="28" w:type="dxa"/>
              <w:right w:w="28" w:type="dxa"/>
            </w:tcMar>
            <w:vAlign w:val="center"/>
          </w:tcPr>
          <w:p w14:paraId="6AC1F31E">
            <w:pPr>
              <w:pStyle w:val="37"/>
              <w:spacing w:beforeLines="0" w:afterLines="0" w:line="240" w:lineRule="auto"/>
              <w:jc w:val="right"/>
              <w:rPr>
                <w:rFonts w:hint="eastAsia" w:ascii="黑体" w:hAnsi="黑体" w:eastAsia="黑体" w:cs="宋体"/>
                <w:snapToGrid w:val="0"/>
                <w:color w:val="auto"/>
                <w:spacing w:val="-6"/>
                <w:kern w:val="21"/>
                <w:szCs w:val="21"/>
                <w:highlight w:val="none"/>
              </w:rPr>
            </w:pPr>
            <w:r>
              <w:rPr>
                <w:rFonts w:hint="eastAsia" w:ascii="黑体" w:hAnsi="黑体" w:eastAsia="黑体" w:cs="宋体"/>
                <w:snapToGrid w:val="0"/>
                <w:color w:val="auto"/>
                <w:spacing w:val="-6"/>
                <w:kern w:val="21"/>
                <w:szCs w:val="21"/>
                <w:highlight w:val="none"/>
              </w:rPr>
              <w:t>项目</w:t>
            </w:r>
          </w:p>
          <w:p w14:paraId="5CB67B0D">
            <w:pPr>
              <w:pStyle w:val="37"/>
              <w:spacing w:beforeLines="0" w:afterLines="0" w:line="240" w:lineRule="auto"/>
              <w:jc w:val="left"/>
              <w:rPr>
                <w:rFonts w:hint="eastAsia" w:ascii="黑体" w:hAnsi="黑体" w:eastAsia="黑体" w:cs="宋体"/>
                <w:snapToGrid w:val="0"/>
                <w:color w:val="auto"/>
                <w:spacing w:val="-6"/>
                <w:kern w:val="21"/>
                <w:szCs w:val="21"/>
                <w:highlight w:val="none"/>
              </w:rPr>
            </w:pPr>
            <w:r>
              <w:rPr>
                <w:rFonts w:hint="eastAsia" w:ascii="黑体" w:hAnsi="黑体" w:eastAsia="黑体" w:cs="宋体"/>
                <w:snapToGrid w:val="0"/>
                <w:color w:val="auto"/>
                <w:spacing w:val="-6"/>
                <w:kern w:val="21"/>
                <w:szCs w:val="21"/>
                <w:highlight w:val="none"/>
              </w:rPr>
              <w:t>分类</w:t>
            </w:r>
          </w:p>
        </w:tc>
        <w:tc>
          <w:tcPr>
            <w:tcW w:w="1913" w:type="dxa"/>
            <w:noWrap w:val="0"/>
            <w:tcMar>
              <w:left w:w="28" w:type="dxa"/>
              <w:right w:w="28" w:type="dxa"/>
            </w:tcMar>
            <w:vAlign w:val="center"/>
          </w:tcPr>
          <w:p w14:paraId="0742F7D7">
            <w:pPr>
              <w:pStyle w:val="37"/>
              <w:spacing w:beforeLines="0" w:afterLines="0" w:line="240" w:lineRule="auto"/>
              <w:rPr>
                <w:rFonts w:hint="eastAsia" w:ascii="黑体" w:hAnsi="黑体" w:eastAsia="黑体" w:cs="宋体"/>
                <w:snapToGrid w:val="0"/>
                <w:color w:val="auto"/>
                <w:spacing w:val="-6"/>
                <w:kern w:val="21"/>
                <w:szCs w:val="21"/>
                <w:highlight w:val="none"/>
              </w:rPr>
            </w:pPr>
            <w:r>
              <w:rPr>
                <w:rFonts w:hint="eastAsia" w:ascii="黑体" w:hAnsi="黑体" w:eastAsia="黑体" w:cs="宋体"/>
                <w:snapToGrid w:val="0"/>
                <w:color w:val="auto"/>
                <w:spacing w:val="-6"/>
                <w:kern w:val="21"/>
                <w:szCs w:val="21"/>
                <w:highlight w:val="none"/>
              </w:rPr>
              <w:t>污染物名称</w:t>
            </w:r>
          </w:p>
        </w:tc>
        <w:tc>
          <w:tcPr>
            <w:tcW w:w="1701" w:type="dxa"/>
            <w:noWrap w:val="0"/>
            <w:tcMar>
              <w:left w:w="28" w:type="dxa"/>
              <w:right w:w="28" w:type="dxa"/>
            </w:tcMar>
            <w:vAlign w:val="center"/>
          </w:tcPr>
          <w:p w14:paraId="5985F3E1">
            <w:pPr>
              <w:pStyle w:val="37"/>
              <w:spacing w:beforeLines="0" w:afterLines="0" w:line="240" w:lineRule="auto"/>
              <w:rPr>
                <w:rFonts w:hint="eastAsia" w:ascii="黑体" w:hAnsi="黑体" w:eastAsia="黑体"/>
                <w:snapToGrid w:val="0"/>
                <w:color w:val="auto"/>
                <w:spacing w:val="-6"/>
                <w:kern w:val="21"/>
                <w:szCs w:val="21"/>
                <w:highlight w:val="none"/>
              </w:rPr>
            </w:pPr>
            <w:r>
              <w:rPr>
                <w:rFonts w:ascii="黑体" w:hAnsi="黑体" w:eastAsia="黑体"/>
                <w:snapToGrid w:val="0"/>
                <w:color w:val="auto"/>
                <w:spacing w:val="-6"/>
                <w:kern w:val="21"/>
                <w:szCs w:val="21"/>
                <w:highlight w:val="none"/>
              </w:rPr>
              <w:t>现有工程</w:t>
            </w:r>
          </w:p>
          <w:p w14:paraId="67562275">
            <w:pPr>
              <w:pStyle w:val="37"/>
              <w:spacing w:beforeLines="0" w:afterLines="0" w:line="240" w:lineRule="auto"/>
              <w:rPr>
                <w:rFonts w:ascii="黑体" w:hAnsi="黑体" w:eastAsia="黑体"/>
                <w:snapToGrid w:val="0"/>
                <w:color w:val="auto"/>
                <w:spacing w:val="-6"/>
                <w:kern w:val="21"/>
                <w:szCs w:val="21"/>
                <w:highlight w:val="none"/>
              </w:rPr>
            </w:pPr>
            <w:r>
              <w:rPr>
                <w:rFonts w:ascii="黑体" w:hAnsi="黑体" w:eastAsia="黑体"/>
                <w:snapToGrid w:val="0"/>
                <w:color w:val="auto"/>
                <w:spacing w:val="-6"/>
                <w:kern w:val="21"/>
                <w:szCs w:val="21"/>
                <w:highlight w:val="none"/>
              </w:rPr>
              <w:t>排放量（固</w:t>
            </w:r>
            <w:r>
              <w:rPr>
                <w:rFonts w:hint="eastAsia" w:ascii="黑体" w:hAnsi="黑体" w:eastAsia="黑体"/>
                <w:snapToGrid w:val="0"/>
                <w:color w:val="auto"/>
                <w:spacing w:val="-6"/>
                <w:kern w:val="21"/>
                <w:szCs w:val="21"/>
                <w:highlight w:val="none"/>
              </w:rPr>
              <w:t>体</w:t>
            </w:r>
            <w:r>
              <w:rPr>
                <w:rFonts w:ascii="黑体" w:hAnsi="黑体" w:eastAsia="黑体"/>
                <w:snapToGrid w:val="0"/>
                <w:color w:val="auto"/>
                <w:spacing w:val="-6"/>
                <w:kern w:val="21"/>
                <w:szCs w:val="21"/>
                <w:highlight w:val="none"/>
              </w:rPr>
              <w:t>废</w:t>
            </w:r>
            <w:r>
              <w:rPr>
                <w:rFonts w:hint="eastAsia" w:ascii="黑体" w:hAnsi="黑体" w:eastAsia="黑体"/>
                <w:snapToGrid w:val="0"/>
                <w:color w:val="auto"/>
                <w:spacing w:val="-6"/>
                <w:kern w:val="21"/>
                <w:szCs w:val="21"/>
                <w:highlight w:val="none"/>
              </w:rPr>
              <w:t>物</w:t>
            </w:r>
            <w:r>
              <w:rPr>
                <w:rFonts w:ascii="黑体" w:hAnsi="黑体" w:eastAsia="黑体"/>
                <w:snapToGrid w:val="0"/>
                <w:color w:val="auto"/>
                <w:spacing w:val="-6"/>
                <w:kern w:val="21"/>
                <w:szCs w:val="21"/>
                <w:highlight w:val="none"/>
              </w:rPr>
              <w:t>产生量）</w:t>
            </w:r>
            <w:r>
              <w:rPr>
                <w:rFonts w:ascii="黑体" w:hAnsi="黑体" w:eastAsia="黑体"/>
                <w:snapToGrid w:val="0"/>
                <w:color w:val="auto"/>
                <w:spacing w:val="-6"/>
                <w:kern w:val="21"/>
                <w:szCs w:val="21"/>
                <w:highlight w:val="none"/>
              </w:rPr>
              <w:fldChar w:fldCharType="begin"/>
            </w:r>
            <w:r>
              <w:rPr>
                <w:rFonts w:ascii="黑体" w:hAnsi="黑体" w:eastAsia="黑体"/>
                <w:snapToGrid w:val="0"/>
                <w:color w:val="auto"/>
                <w:spacing w:val="-6"/>
                <w:kern w:val="21"/>
                <w:szCs w:val="21"/>
                <w:highlight w:val="none"/>
              </w:rPr>
              <w:instrText xml:space="preserve"> = 1 \* GB3 \* MERGEFORMAT </w:instrText>
            </w:r>
            <w:r>
              <w:rPr>
                <w:rFonts w:ascii="黑体" w:hAnsi="黑体" w:eastAsia="黑体"/>
                <w:snapToGrid w:val="0"/>
                <w:color w:val="auto"/>
                <w:spacing w:val="-6"/>
                <w:kern w:val="21"/>
                <w:szCs w:val="21"/>
                <w:highlight w:val="none"/>
              </w:rPr>
              <w:fldChar w:fldCharType="separate"/>
            </w:r>
            <w:r>
              <w:rPr>
                <w:rFonts w:hint="eastAsia" w:ascii="黑体" w:hAnsi="黑体" w:eastAsia="黑体" w:cs="宋体"/>
                <w:color w:val="auto"/>
                <w:kern w:val="2"/>
                <w:szCs w:val="21"/>
                <w:highlight w:val="none"/>
              </w:rPr>
              <w:t>①</w:t>
            </w:r>
            <w:r>
              <w:rPr>
                <w:rFonts w:ascii="黑体" w:hAnsi="黑体" w:eastAsia="黑体"/>
                <w:snapToGrid w:val="0"/>
                <w:color w:val="auto"/>
                <w:spacing w:val="-6"/>
                <w:kern w:val="21"/>
                <w:szCs w:val="21"/>
                <w:highlight w:val="none"/>
              </w:rPr>
              <w:fldChar w:fldCharType="end"/>
            </w:r>
          </w:p>
        </w:tc>
        <w:tc>
          <w:tcPr>
            <w:tcW w:w="1276" w:type="dxa"/>
            <w:noWrap w:val="0"/>
            <w:tcMar>
              <w:left w:w="28" w:type="dxa"/>
              <w:right w:w="28" w:type="dxa"/>
            </w:tcMar>
            <w:vAlign w:val="center"/>
          </w:tcPr>
          <w:p w14:paraId="01A87D66">
            <w:pPr>
              <w:pStyle w:val="37"/>
              <w:spacing w:beforeLines="0" w:afterLines="0" w:line="240" w:lineRule="auto"/>
              <w:rPr>
                <w:rFonts w:ascii="黑体" w:hAnsi="黑体" w:eastAsia="黑体"/>
                <w:snapToGrid w:val="0"/>
                <w:color w:val="auto"/>
                <w:spacing w:val="-6"/>
                <w:kern w:val="21"/>
                <w:szCs w:val="21"/>
                <w:highlight w:val="none"/>
              </w:rPr>
            </w:pPr>
            <w:r>
              <w:rPr>
                <w:rFonts w:ascii="黑体" w:hAnsi="黑体" w:eastAsia="黑体"/>
                <w:snapToGrid w:val="0"/>
                <w:color w:val="auto"/>
                <w:spacing w:val="-6"/>
                <w:kern w:val="21"/>
                <w:szCs w:val="21"/>
                <w:highlight w:val="none"/>
              </w:rPr>
              <w:t>现有工程</w:t>
            </w:r>
          </w:p>
          <w:p w14:paraId="0B7488EA">
            <w:pPr>
              <w:pStyle w:val="37"/>
              <w:spacing w:beforeLines="0" w:afterLines="0" w:line="240" w:lineRule="auto"/>
              <w:rPr>
                <w:rFonts w:ascii="黑体" w:hAnsi="黑体" w:eastAsia="黑体"/>
                <w:snapToGrid w:val="0"/>
                <w:color w:val="auto"/>
                <w:spacing w:val="-6"/>
                <w:kern w:val="21"/>
                <w:szCs w:val="21"/>
                <w:highlight w:val="none"/>
              </w:rPr>
            </w:pPr>
            <w:r>
              <w:rPr>
                <w:rFonts w:ascii="黑体" w:hAnsi="黑体" w:eastAsia="黑体"/>
                <w:snapToGrid w:val="0"/>
                <w:color w:val="auto"/>
                <w:spacing w:val="-6"/>
                <w:kern w:val="21"/>
                <w:szCs w:val="21"/>
                <w:highlight w:val="none"/>
              </w:rPr>
              <w:t>许可排放量</w:t>
            </w:r>
          </w:p>
          <w:p w14:paraId="3EF1A673">
            <w:pPr>
              <w:pStyle w:val="37"/>
              <w:spacing w:beforeLines="0" w:afterLines="0"/>
              <w:rPr>
                <w:rFonts w:ascii="黑体" w:hAnsi="黑体" w:eastAsia="黑体"/>
                <w:snapToGrid w:val="0"/>
                <w:color w:val="auto"/>
                <w:spacing w:val="-6"/>
                <w:kern w:val="21"/>
                <w:szCs w:val="21"/>
                <w:highlight w:val="none"/>
              </w:rPr>
            </w:pPr>
            <w:r>
              <w:rPr>
                <w:rFonts w:ascii="黑体" w:hAnsi="黑体" w:eastAsia="黑体"/>
                <w:snapToGrid w:val="0"/>
                <w:color w:val="auto"/>
                <w:spacing w:val="-6"/>
                <w:kern w:val="21"/>
                <w:szCs w:val="21"/>
                <w:highlight w:val="none"/>
              </w:rPr>
              <w:fldChar w:fldCharType="begin"/>
            </w:r>
            <w:r>
              <w:rPr>
                <w:rFonts w:ascii="黑体" w:hAnsi="黑体" w:eastAsia="黑体"/>
                <w:snapToGrid w:val="0"/>
                <w:color w:val="auto"/>
                <w:spacing w:val="-6"/>
                <w:kern w:val="21"/>
                <w:szCs w:val="21"/>
                <w:highlight w:val="none"/>
              </w:rPr>
              <w:instrText xml:space="preserve"> = 2 \* GB3 \* MERGEFORMAT </w:instrText>
            </w:r>
            <w:r>
              <w:rPr>
                <w:rFonts w:ascii="黑体" w:hAnsi="黑体" w:eastAsia="黑体"/>
                <w:snapToGrid w:val="0"/>
                <w:color w:val="auto"/>
                <w:spacing w:val="-6"/>
                <w:kern w:val="21"/>
                <w:szCs w:val="21"/>
                <w:highlight w:val="none"/>
              </w:rPr>
              <w:fldChar w:fldCharType="separate"/>
            </w:r>
            <w:r>
              <w:rPr>
                <w:rFonts w:hint="eastAsia" w:ascii="黑体" w:hAnsi="黑体" w:eastAsia="黑体" w:cs="宋体"/>
                <w:snapToGrid w:val="0"/>
                <w:color w:val="auto"/>
                <w:spacing w:val="-6"/>
                <w:kern w:val="21"/>
                <w:szCs w:val="21"/>
                <w:highlight w:val="none"/>
              </w:rPr>
              <w:t>②</w:t>
            </w:r>
            <w:r>
              <w:rPr>
                <w:rFonts w:ascii="黑体" w:hAnsi="黑体" w:eastAsia="黑体"/>
                <w:snapToGrid w:val="0"/>
                <w:color w:val="auto"/>
                <w:spacing w:val="-6"/>
                <w:kern w:val="21"/>
                <w:szCs w:val="21"/>
                <w:highlight w:val="none"/>
              </w:rPr>
              <w:fldChar w:fldCharType="end"/>
            </w:r>
          </w:p>
        </w:tc>
        <w:tc>
          <w:tcPr>
            <w:tcW w:w="1701" w:type="dxa"/>
            <w:noWrap w:val="0"/>
            <w:tcMar>
              <w:left w:w="28" w:type="dxa"/>
              <w:right w:w="28" w:type="dxa"/>
            </w:tcMar>
            <w:vAlign w:val="center"/>
          </w:tcPr>
          <w:p w14:paraId="3D8966F4">
            <w:pPr>
              <w:pStyle w:val="37"/>
              <w:spacing w:beforeLines="0" w:afterLines="0" w:line="240" w:lineRule="auto"/>
              <w:rPr>
                <w:rFonts w:hint="eastAsia" w:ascii="黑体" w:hAnsi="黑体" w:eastAsia="黑体"/>
                <w:snapToGrid w:val="0"/>
                <w:color w:val="auto"/>
                <w:spacing w:val="-6"/>
                <w:kern w:val="21"/>
                <w:szCs w:val="21"/>
                <w:highlight w:val="none"/>
              </w:rPr>
            </w:pPr>
            <w:r>
              <w:rPr>
                <w:rFonts w:ascii="黑体" w:hAnsi="黑体" w:eastAsia="黑体"/>
                <w:snapToGrid w:val="0"/>
                <w:color w:val="auto"/>
                <w:spacing w:val="-6"/>
                <w:kern w:val="21"/>
                <w:szCs w:val="21"/>
                <w:highlight w:val="none"/>
              </w:rPr>
              <w:t>在建工程</w:t>
            </w:r>
          </w:p>
          <w:p w14:paraId="33BB25F6">
            <w:pPr>
              <w:pStyle w:val="37"/>
              <w:spacing w:beforeLines="0" w:afterLines="0" w:line="240" w:lineRule="auto"/>
              <w:rPr>
                <w:rFonts w:ascii="黑体" w:hAnsi="黑体" w:eastAsia="黑体"/>
                <w:snapToGrid w:val="0"/>
                <w:color w:val="auto"/>
                <w:spacing w:val="-6"/>
                <w:kern w:val="21"/>
                <w:szCs w:val="21"/>
                <w:highlight w:val="none"/>
              </w:rPr>
            </w:pPr>
            <w:r>
              <w:rPr>
                <w:rFonts w:ascii="黑体" w:hAnsi="黑体" w:eastAsia="黑体"/>
                <w:snapToGrid w:val="0"/>
                <w:color w:val="auto"/>
                <w:spacing w:val="-6"/>
                <w:kern w:val="21"/>
                <w:szCs w:val="21"/>
                <w:highlight w:val="none"/>
              </w:rPr>
              <w:t>排放量（固</w:t>
            </w:r>
            <w:r>
              <w:rPr>
                <w:rFonts w:hint="eastAsia" w:ascii="黑体" w:hAnsi="黑体" w:eastAsia="黑体"/>
                <w:snapToGrid w:val="0"/>
                <w:color w:val="auto"/>
                <w:spacing w:val="-6"/>
                <w:kern w:val="21"/>
                <w:szCs w:val="21"/>
                <w:highlight w:val="none"/>
              </w:rPr>
              <w:t>体</w:t>
            </w:r>
            <w:r>
              <w:rPr>
                <w:rFonts w:ascii="黑体" w:hAnsi="黑体" w:eastAsia="黑体"/>
                <w:snapToGrid w:val="0"/>
                <w:color w:val="auto"/>
                <w:spacing w:val="-6"/>
                <w:kern w:val="21"/>
                <w:szCs w:val="21"/>
                <w:highlight w:val="none"/>
              </w:rPr>
              <w:t>废</w:t>
            </w:r>
            <w:r>
              <w:rPr>
                <w:rFonts w:hint="eastAsia" w:ascii="黑体" w:hAnsi="黑体" w:eastAsia="黑体"/>
                <w:snapToGrid w:val="0"/>
                <w:color w:val="auto"/>
                <w:spacing w:val="-6"/>
                <w:kern w:val="21"/>
                <w:szCs w:val="21"/>
                <w:highlight w:val="none"/>
              </w:rPr>
              <w:t>物</w:t>
            </w:r>
            <w:r>
              <w:rPr>
                <w:rFonts w:ascii="黑体" w:hAnsi="黑体" w:eastAsia="黑体"/>
                <w:snapToGrid w:val="0"/>
                <w:color w:val="auto"/>
                <w:spacing w:val="-6"/>
                <w:kern w:val="21"/>
                <w:szCs w:val="21"/>
                <w:highlight w:val="none"/>
              </w:rPr>
              <w:t>产生量）</w:t>
            </w:r>
            <w:r>
              <w:rPr>
                <w:rFonts w:ascii="黑体" w:hAnsi="黑体" w:eastAsia="黑体"/>
                <w:snapToGrid w:val="0"/>
                <w:color w:val="auto"/>
                <w:spacing w:val="-6"/>
                <w:kern w:val="21"/>
                <w:szCs w:val="21"/>
                <w:highlight w:val="none"/>
              </w:rPr>
              <w:fldChar w:fldCharType="begin"/>
            </w:r>
            <w:r>
              <w:rPr>
                <w:rFonts w:ascii="黑体" w:hAnsi="黑体" w:eastAsia="黑体"/>
                <w:snapToGrid w:val="0"/>
                <w:color w:val="auto"/>
                <w:spacing w:val="-6"/>
                <w:kern w:val="21"/>
                <w:szCs w:val="21"/>
                <w:highlight w:val="none"/>
              </w:rPr>
              <w:instrText xml:space="preserve"> = 3 \* GB3 \* MERGEFORMAT </w:instrText>
            </w:r>
            <w:r>
              <w:rPr>
                <w:rFonts w:ascii="黑体" w:hAnsi="黑体" w:eastAsia="黑体"/>
                <w:snapToGrid w:val="0"/>
                <w:color w:val="auto"/>
                <w:spacing w:val="-6"/>
                <w:kern w:val="21"/>
                <w:szCs w:val="21"/>
                <w:highlight w:val="none"/>
              </w:rPr>
              <w:fldChar w:fldCharType="separate"/>
            </w:r>
            <w:r>
              <w:rPr>
                <w:rFonts w:hint="eastAsia" w:ascii="黑体" w:hAnsi="黑体" w:eastAsia="黑体" w:cs="宋体"/>
                <w:color w:val="auto"/>
                <w:kern w:val="2"/>
                <w:szCs w:val="21"/>
                <w:highlight w:val="none"/>
              </w:rPr>
              <w:t>③</w:t>
            </w:r>
            <w:r>
              <w:rPr>
                <w:rFonts w:ascii="黑体" w:hAnsi="黑体" w:eastAsia="黑体"/>
                <w:snapToGrid w:val="0"/>
                <w:color w:val="auto"/>
                <w:spacing w:val="-6"/>
                <w:kern w:val="21"/>
                <w:szCs w:val="21"/>
                <w:highlight w:val="none"/>
              </w:rPr>
              <w:fldChar w:fldCharType="end"/>
            </w:r>
          </w:p>
        </w:tc>
        <w:tc>
          <w:tcPr>
            <w:tcW w:w="1559" w:type="dxa"/>
            <w:noWrap w:val="0"/>
            <w:tcMar>
              <w:left w:w="28" w:type="dxa"/>
              <w:right w:w="28" w:type="dxa"/>
            </w:tcMar>
            <w:vAlign w:val="center"/>
          </w:tcPr>
          <w:p w14:paraId="59E1C481">
            <w:pPr>
              <w:pStyle w:val="37"/>
              <w:spacing w:beforeLines="0" w:afterLines="0" w:line="240" w:lineRule="auto"/>
              <w:rPr>
                <w:rFonts w:hint="eastAsia" w:ascii="黑体" w:hAnsi="黑体" w:eastAsia="黑体"/>
                <w:snapToGrid w:val="0"/>
                <w:color w:val="auto"/>
                <w:spacing w:val="-6"/>
                <w:kern w:val="21"/>
                <w:szCs w:val="21"/>
                <w:highlight w:val="none"/>
              </w:rPr>
            </w:pPr>
            <w:r>
              <w:rPr>
                <w:rFonts w:ascii="黑体" w:hAnsi="黑体" w:eastAsia="黑体"/>
                <w:snapToGrid w:val="0"/>
                <w:color w:val="auto"/>
                <w:spacing w:val="-6"/>
                <w:kern w:val="21"/>
                <w:szCs w:val="21"/>
                <w:highlight w:val="none"/>
              </w:rPr>
              <w:t>本项目</w:t>
            </w:r>
          </w:p>
          <w:p w14:paraId="52BFFD40">
            <w:pPr>
              <w:pStyle w:val="37"/>
              <w:spacing w:beforeLines="0" w:afterLines="0" w:line="240" w:lineRule="auto"/>
              <w:rPr>
                <w:rFonts w:ascii="黑体" w:hAnsi="黑体" w:eastAsia="黑体"/>
                <w:snapToGrid w:val="0"/>
                <w:color w:val="auto"/>
                <w:spacing w:val="-6"/>
                <w:kern w:val="21"/>
                <w:szCs w:val="21"/>
                <w:highlight w:val="none"/>
              </w:rPr>
            </w:pPr>
            <w:r>
              <w:rPr>
                <w:rFonts w:ascii="黑体" w:hAnsi="黑体" w:eastAsia="黑体"/>
                <w:snapToGrid w:val="0"/>
                <w:color w:val="auto"/>
                <w:spacing w:val="-6"/>
                <w:kern w:val="21"/>
                <w:szCs w:val="21"/>
                <w:highlight w:val="none"/>
              </w:rPr>
              <w:t>排放量（固</w:t>
            </w:r>
            <w:r>
              <w:rPr>
                <w:rFonts w:hint="eastAsia" w:ascii="黑体" w:hAnsi="黑体" w:eastAsia="黑体"/>
                <w:snapToGrid w:val="0"/>
                <w:color w:val="auto"/>
                <w:spacing w:val="-6"/>
                <w:kern w:val="21"/>
                <w:szCs w:val="21"/>
                <w:highlight w:val="none"/>
              </w:rPr>
              <w:t>体</w:t>
            </w:r>
            <w:r>
              <w:rPr>
                <w:rFonts w:ascii="黑体" w:hAnsi="黑体" w:eastAsia="黑体"/>
                <w:snapToGrid w:val="0"/>
                <w:color w:val="auto"/>
                <w:spacing w:val="-6"/>
                <w:kern w:val="21"/>
                <w:szCs w:val="21"/>
                <w:highlight w:val="none"/>
              </w:rPr>
              <w:t>废</w:t>
            </w:r>
            <w:r>
              <w:rPr>
                <w:rFonts w:hint="eastAsia" w:ascii="黑体" w:hAnsi="黑体" w:eastAsia="黑体"/>
                <w:snapToGrid w:val="0"/>
                <w:color w:val="auto"/>
                <w:spacing w:val="-6"/>
                <w:kern w:val="21"/>
                <w:szCs w:val="21"/>
                <w:highlight w:val="none"/>
              </w:rPr>
              <w:t>物</w:t>
            </w:r>
            <w:r>
              <w:rPr>
                <w:rFonts w:ascii="黑体" w:hAnsi="黑体" w:eastAsia="黑体"/>
                <w:snapToGrid w:val="0"/>
                <w:color w:val="auto"/>
                <w:spacing w:val="-6"/>
                <w:kern w:val="21"/>
                <w:szCs w:val="21"/>
                <w:highlight w:val="none"/>
              </w:rPr>
              <w:t>产生量）</w:t>
            </w:r>
            <w:r>
              <w:rPr>
                <w:rFonts w:ascii="黑体" w:hAnsi="黑体" w:eastAsia="黑体"/>
                <w:snapToGrid w:val="0"/>
                <w:color w:val="auto"/>
                <w:spacing w:val="-6"/>
                <w:kern w:val="21"/>
                <w:szCs w:val="21"/>
                <w:highlight w:val="none"/>
              </w:rPr>
              <w:fldChar w:fldCharType="begin"/>
            </w:r>
            <w:r>
              <w:rPr>
                <w:rFonts w:ascii="黑体" w:hAnsi="黑体" w:eastAsia="黑体"/>
                <w:snapToGrid w:val="0"/>
                <w:color w:val="auto"/>
                <w:spacing w:val="-6"/>
                <w:kern w:val="21"/>
                <w:szCs w:val="21"/>
                <w:highlight w:val="none"/>
              </w:rPr>
              <w:instrText xml:space="preserve"> = 4 \* GB3 \* MERGEFORMAT </w:instrText>
            </w:r>
            <w:r>
              <w:rPr>
                <w:rFonts w:ascii="黑体" w:hAnsi="黑体" w:eastAsia="黑体"/>
                <w:snapToGrid w:val="0"/>
                <w:color w:val="auto"/>
                <w:spacing w:val="-6"/>
                <w:kern w:val="21"/>
                <w:szCs w:val="21"/>
                <w:highlight w:val="none"/>
              </w:rPr>
              <w:fldChar w:fldCharType="separate"/>
            </w:r>
            <w:r>
              <w:rPr>
                <w:rFonts w:hint="eastAsia" w:ascii="黑体" w:hAnsi="黑体" w:eastAsia="黑体" w:cs="宋体"/>
                <w:color w:val="auto"/>
                <w:kern w:val="2"/>
                <w:szCs w:val="21"/>
                <w:highlight w:val="none"/>
              </w:rPr>
              <w:t>④</w:t>
            </w:r>
            <w:r>
              <w:rPr>
                <w:rFonts w:ascii="黑体" w:hAnsi="黑体" w:eastAsia="黑体"/>
                <w:snapToGrid w:val="0"/>
                <w:color w:val="auto"/>
                <w:spacing w:val="-6"/>
                <w:kern w:val="21"/>
                <w:szCs w:val="21"/>
                <w:highlight w:val="none"/>
              </w:rPr>
              <w:fldChar w:fldCharType="end"/>
            </w:r>
          </w:p>
        </w:tc>
        <w:tc>
          <w:tcPr>
            <w:tcW w:w="1761" w:type="dxa"/>
            <w:noWrap w:val="0"/>
            <w:tcMar>
              <w:left w:w="28" w:type="dxa"/>
              <w:right w:w="28" w:type="dxa"/>
            </w:tcMar>
            <w:vAlign w:val="center"/>
          </w:tcPr>
          <w:p w14:paraId="4E7B6205">
            <w:pPr>
              <w:pStyle w:val="37"/>
              <w:spacing w:beforeLines="0" w:afterLines="0" w:line="240" w:lineRule="auto"/>
              <w:rPr>
                <w:rFonts w:hint="eastAsia" w:ascii="黑体" w:hAnsi="黑体" w:eastAsia="黑体"/>
                <w:snapToGrid w:val="0"/>
                <w:color w:val="auto"/>
                <w:spacing w:val="-16"/>
                <w:kern w:val="21"/>
                <w:szCs w:val="21"/>
                <w:highlight w:val="none"/>
              </w:rPr>
            </w:pPr>
            <w:r>
              <w:rPr>
                <w:rFonts w:ascii="黑体" w:hAnsi="黑体" w:eastAsia="黑体"/>
                <w:snapToGrid w:val="0"/>
                <w:color w:val="auto"/>
                <w:spacing w:val="-16"/>
                <w:kern w:val="21"/>
                <w:szCs w:val="21"/>
                <w:highlight w:val="none"/>
              </w:rPr>
              <w:t>以新带老削减量</w:t>
            </w:r>
          </w:p>
          <w:p w14:paraId="5F48DBFF">
            <w:pPr>
              <w:pStyle w:val="37"/>
              <w:spacing w:beforeLines="0" w:afterLines="0" w:line="240" w:lineRule="auto"/>
              <w:rPr>
                <w:rFonts w:ascii="黑体" w:hAnsi="黑体" w:eastAsia="黑体"/>
                <w:snapToGrid w:val="0"/>
                <w:color w:val="auto"/>
                <w:spacing w:val="-16"/>
                <w:kern w:val="21"/>
                <w:szCs w:val="21"/>
                <w:highlight w:val="none"/>
              </w:rPr>
            </w:pPr>
            <w:r>
              <w:rPr>
                <w:rFonts w:ascii="黑体" w:hAnsi="黑体" w:eastAsia="黑体"/>
                <w:snapToGrid w:val="0"/>
                <w:color w:val="auto"/>
                <w:spacing w:val="-16"/>
                <w:kern w:val="21"/>
                <w:szCs w:val="21"/>
                <w:highlight w:val="none"/>
              </w:rPr>
              <w:t>（新建项目不填）</w:t>
            </w:r>
            <w:r>
              <w:rPr>
                <w:rFonts w:ascii="黑体" w:hAnsi="黑体" w:eastAsia="黑体"/>
                <w:snapToGrid w:val="0"/>
                <w:color w:val="auto"/>
                <w:spacing w:val="-16"/>
                <w:kern w:val="21"/>
                <w:szCs w:val="21"/>
                <w:highlight w:val="none"/>
              </w:rPr>
              <w:fldChar w:fldCharType="begin"/>
            </w:r>
            <w:r>
              <w:rPr>
                <w:rFonts w:ascii="黑体" w:hAnsi="黑体" w:eastAsia="黑体"/>
                <w:snapToGrid w:val="0"/>
                <w:color w:val="auto"/>
                <w:spacing w:val="-16"/>
                <w:kern w:val="21"/>
                <w:szCs w:val="21"/>
                <w:highlight w:val="none"/>
              </w:rPr>
              <w:instrText xml:space="preserve"> = 5 \* GB3 \* MERGEFORMAT </w:instrText>
            </w:r>
            <w:r>
              <w:rPr>
                <w:rFonts w:ascii="黑体" w:hAnsi="黑体" w:eastAsia="黑体"/>
                <w:snapToGrid w:val="0"/>
                <w:color w:val="auto"/>
                <w:spacing w:val="-16"/>
                <w:kern w:val="21"/>
                <w:szCs w:val="21"/>
                <w:highlight w:val="none"/>
              </w:rPr>
              <w:fldChar w:fldCharType="separate"/>
            </w:r>
            <w:r>
              <w:rPr>
                <w:rFonts w:hint="eastAsia" w:ascii="黑体" w:hAnsi="黑体" w:eastAsia="黑体" w:cs="宋体"/>
                <w:color w:val="auto"/>
                <w:kern w:val="2"/>
                <w:szCs w:val="21"/>
                <w:highlight w:val="none"/>
              </w:rPr>
              <w:t>⑤</w:t>
            </w:r>
            <w:r>
              <w:rPr>
                <w:rFonts w:ascii="黑体" w:hAnsi="黑体" w:eastAsia="黑体"/>
                <w:snapToGrid w:val="0"/>
                <w:color w:val="auto"/>
                <w:spacing w:val="-16"/>
                <w:kern w:val="21"/>
                <w:szCs w:val="21"/>
                <w:highlight w:val="none"/>
              </w:rPr>
              <w:fldChar w:fldCharType="end"/>
            </w:r>
          </w:p>
        </w:tc>
        <w:tc>
          <w:tcPr>
            <w:tcW w:w="1959" w:type="dxa"/>
            <w:noWrap w:val="0"/>
            <w:tcMar>
              <w:left w:w="28" w:type="dxa"/>
              <w:right w:w="28" w:type="dxa"/>
            </w:tcMar>
            <w:vAlign w:val="center"/>
          </w:tcPr>
          <w:p w14:paraId="3C174023">
            <w:pPr>
              <w:pStyle w:val="37"/>
              <w:spacing w:beforeLines="0" w:afterLines="0" w:line="240" w:lineRule="auto"/>
              <w:rPr>
                <w:rFonts w:hint="eastAsia" w:ascii="黑体" w:hAnsi="黑体" w:eastAsia="黑体"/>
                <w:snapToGrid w:val="0"/>
                <w:color w:val="auto"/>
                <w:spacing w:val="-16"/>
                <w:kern w:val="21"/>
                <w:szCs w:val="21"/>
                <w:highlight w:val="none"/>
              </w:rPr>
            </w:pPr>
            <w:r>
              <w:rPr>
                <w:rFonts w:ascii="黑体" w:hAnsi="黑体" w:eastAsia="黑体"/>
                <w:snapToGrid w:val="0"/>
                <w:color w:val="auto"/>
                <w:spacing w:val="-16"/>
                <w:kern w:val="21"/>
                <w:szCs w:val="21"/>
                <w:highlight w:val="none"/>
              </w:rPr>
              <w:t>本项目建成后</w:t>
            </w:r>
          </w:p>
          <w:p w14:paraId="407A8846">
            <w:pPr>
              <w:pStyle w:val="37"/>
              <w:spacing w:beforeLines="0" w:afterLines="0" w:line="240" w:lineRule="auto"/>
              <w:rPr>
                <w:rFonts w:ascii="黑体" w:hAnsi="黑体" w:eastAsia="黑体"/>
                <w:snapToGrid w:val="0"/>
                <w:color w:val="auto"/>
                <w:spacing w:val="-16"/>
                <w:kern w:val="21"/>
                <w:szCs w:val="21"/>
                <w:highlight w:val="none"/>
              </w:rPr>
            </w:pPr>
            <w:r>
              <w:rPr>
                <w:rFonts w:hint="eastAsia" w:ascii="黑体" w:hAnsi="黑体" w:eastAsia="黑体"/>
                <w:snapToGrid w:val="0"/>
                <w:color w:val="auto"/>
                <w:spacing w:val="-16"/>
                <w:kern w:val="21"/>
                <w:szCs w:val="21"/>
                <w:highlight w:val="none"/>
              </w:rPr>
              <w:t>全厂</w:t>
            </w:r>
            <w:r>
              <w:rPr>
                <w:rFonts w:ascii="黑体" w:hAnsi="黑体" w:eastAsia="黑体"/>
                <w:snapToGrid w:val="0"/>
                <w:color w:val="auto"/>
                <w:spacing w:val="-16"/>
                <w:kern w:val="21"/>
                <w:szCs w:val="21"/>
                <w:highlight w:val="none"/>
              </w:rPr>
              <w:t>排放量（固</w:t>
            </w:r>
            <w:r>
              <w:rPr>
                <w:rFonts w:hint="eastAsia" w:ascii="黑体" w:hAnsi="黑体" w:eastAsia="黑体"/>
                <w:snapToGrid w:val="0"/>
                <w:color w:val="auto"/>
                <w:spacing w:val="-16"/>
                <w:kern w:val="21"/>
                <w:szCs w:val="21"/>
                <w:highlight w:val="none"/>
              </w:rPr>
              <w:t>体</w:t>
            </w:r>
            <w:r>
              <w:rPr>
                <w:rFonts w:ascii="黑体" w:hAnsi="黑体" w:eastAsia="黑体"/>
                <w:snapToGrid w:val="0"/>
                <w:color w:val="auto"/>
                <w:spacing w:val="-16"/>
                <w:kern w:val="21"/>
                <w:szCs w:val="21"/>
                <w:highlight w:val="none"/>
              </w:rPr>
              <w:t>废</w:t>
            </w:r>
            <w:r>
              <w:rPr>
                <w:rFonts w:hint="eastAsia" w:ascii="黑体" w:hAnsi="黑体" w:eastAsia="黑体"/>
                <w:snapToGrid w:val="0"/>
                <w:color w:val="auto"/>
                <w:spacing w:val="-16"/>
                <w:kern w:val="21"/>
                <w:szCs w:val="21"/>
                <w:highlight w:val="none"/>
              </w:rPr>
              <w:t>物</w:t>
            </w:r>
            <w:r>
              <w:rPr>
                <w:rFonts w:ascii="黑体" w:hAnsi="黑体" w:eastAsia="黑体"/>
                <w:snapToGrid w:val="0"/>
                <w:color w:val="auto"/>
                <w:spacing w:val="-16"/>
                <w:kern w:val="21"/>
                <w:szCs w:val="21"/>
                <w:highlight w:val="none"/>
              </w:rPr>
              <w:t>产生量）</w:t>
            </w:r>
            <w:r>
              <w:rPr>
                <w:rFonts w:ascii="黑体" w:hAnsi="黑体" w:eastAsia="黑体"/>
                <w:snapToGrid w:val="0"/>
                <w:color w:val="auto"/>
                <w:spacing w:val="-16"/>
                <w:kern w:val="21"/>
                <w:szCs w:val="21"/>
                <w:highlight w:val="none"/>
              </w:rPr>
              <w:fldChar w:fldCharType="begin"/>
            </w:r>
            <w:r>
              <w:rPr>
                <w:rFonts w:ascii="黑体" w:hAnsi="黑体" w:eastAsia="黑体"/>
                <w:snapToGrid w:val="0"/>
                <w:color w:val="auto"/>
                <w:spacing w:val="-16"/>
                <w:kern w:val="21"/>
                <w:szCs w:val="21"/>
                <w:highlight w:val="none"/>
              </w:rPr>
              <w:instrText xml:space="preserve"> = 6 \* GB3 \* MERGEFORMAT </w:instrText>
            </w:r>
            <w:r>
              <w:rPr>
                <w:rFonts w:ascii="黑体" w:hAnsi="黑体" w:eastAsia="黑体"/>
                <w:snapToGrid w:val="0"/>
                <w:color w:val="auto"/>
                <w:spacing w:val="-16"/>
                <w:kern w:val="21"/>
                <w:szCs w:val="21"/>
                <w:highlight w:val="none"/>
              </w:rPr>
              <w:fldChar w:fldCharType="separate"/>
            </w:r>
            <w:r>
              <w:rPr>
                <w:rFonts w:hint="eastAsia" w:ascii="黑体" w:hAnsi="黑体" w:eastAsia="黑体" w:cs="宋体"/>
                <w:color w:val="auto"/>
                <w:kern w:val="2"/>
                <w:szCs w:val="21"/>
                <w:highlight w:val="none"/>
              </w:rPr>
              <w:t>⑥</w:t>
            </w:r>
            <w:r>
              <w:rPr>
                <w:rFonts w:ascii="黑体" w:hAnsi="黑体" w:eastAsia="黑体"/>
                <w:snapToGrid w:val="0"/>
                <w:color w:val="auto"/>
                <w:spacing w:val="-16"/>
                <w:kern w:val="21"/>
                <w:szCs w:val="21"/>
                <w:highlight w:val="none"/>
              </w:rPr>
              <w:fldChar w:fldCharType="end"/>
            </w:r>
          </w:p>
        </w:tc>
        <w:tc>
          <w:tcPr>
            <w:tcW w:w="1210" w:type="dxa"/>
            <w:noWrap w:val="0"/>
            <w:tcMar>
              <w:left w:w="28" w:type="dxa"/>
              <w:right w:w="28" w:type="dxa"/>
            </w:tcMar>
            <w:vAlign w:val="center"/>
          </w:tcPr>
          <w:p w14:paraId="0403140E">
            <w:pPr>
              <w:pStyle w:val="37"/>
              <w:spacing w:beforeLines="0" w:afterLines="0" w:line="240" w:lineRule="auto"/>
              <w:rPr>
                <w:rFonts w:ascii="黑体" w:hAnsi="黑体" w:eastAsia="黑体"/>
                <w:snapToGrid w:val="0"/>
                <w:color w:val="auto"/>
                <w:spacing w:val="-6"/>
                <w:kern w:val="21"/>
                <w:szCs w:val="21"/>
                <w:highlight w:val="none"/>
              </w:rPr>
            </w:pPr>
            <w:r>
              <w:rPr>
                <w:rFonts w:ascii="黑体" w:hAnsi="黑体" w:eastAsia="黑体"/>
                <w:snapToGrid w:val="0"/>
                <w:color w:val="auto"/>
                <w:spacing w:val="-6"/>
                <w:kern w:val="21"/>
                <w:szCs w:val="21"/>
                <w:highlight w:val="none"/>
              </w:rPr>
              <w:t>变化量</w:t>
            </w:r>
          </w:p>
          <w:p w14:paraId="647DB5C4">
            <w:pPr>
              <w:pStyle w:val="37"/>
              <w:spacing w:beforeLines="0" w:afterLines="0" w:line="240" w:lineRule="auto"/>
              <w:rPr>
                <w:rFonts w:ascii="黑体" w:hAnsi="黑体" w:eastAsia="黑体"/>
                <w:snapToGrid w:val="0"/>
                <w:color w:val="auto"/>
                <w:spacing w:val="-6"/>
                <w:kern w:val="21"/>
                <w:szCs w:val="21"/>
                <w:highlight w:val="none"/>
              </w:rPr>
            </w:pPr>
            <w:r>
              <w:rPr>
                <w:rFonts w:ascii="黑体" w:hAnsi="黑体" w:eastAsia="黑体"/>
                <w:snapToGrid w:val="0"/>
                <w:color w:val="auto"/>
                <w:spacing w:val="-6"/>
                <w:kern w:val="21"/>
                <w:szCs w:val="21"/>
                <w:highlight w:val="none"/>
              </w:rPr>
              <w:fldChar w:fldCharType="begin"/>
            </w:r>
            <w:r>
              <w:rPr>
                <w:rFonts w:ascii="黑体" w:hAnsi="黑体" w:eastAsia="黑体"/>
                <w:snapToGrid w:val="0"/>
                <w:color w:val="auto"/>
                <w:spacing w:val="-6"/>
                <w:kern w:val="21"/>
                <w:szCs w:val="21"/>
                <w:highlight w:val="none"/>
              </w:rPr>
              <w:instrText xml:space="preserve"> = 7 \* GB3 \* MERGEFORMAT </w:instrText>
            </w:r>
            <w:r>
              <w:rPr>
                <w:rFonts w:ascii="黑体" w:hAnsi="黑体" w:eastAsia="黑体"/>
                <w:snapToGrid w:val="0"/>
                <w:color w:val="auto"/>
                <w:spacing w:val="-6"/>
                <w:kern w:val="21"/>
                <w:szCs w:val="21"/>
                <w:highlight w:val="none"/>
              </w:rPr>
              <w:fldChar w:fldCharType="separate"/>
            </w:r>
            <w:r>
              <w:rPr>
                <w:rFonts w:hint="eastAsia" w:ascii="黑体" w:hAnsi="黑体" w:eastAsia="黑体" w:cs="宋体"/>
                <w:color w:val="auto"/>
                <w:kern w:val="2"/>
                <w:szCs w:val="21"/>
                <w:highlight w:val="none"/>
              </w:rPr>
              <w:t>⑦</w:t>
            </w:r>
            <w:r>
              <w:rPr>
                <w:rFonts w:ascii="黑体" w:hAnsi="黑体" w:eastAsia="黑体"/>
                <w:snapToGrid w:val="0"/>
                <w:color w:val="auto"/>
                <w:spacing w:val="-6"/>
                <w:kern w:val="21"/>
                <w:szCs w:val="21"/>
                <w:highlight w:val="none"/>
              </w:rPr>
              <w:fldChar w:fldCharType="end"/>
            </w:r>
          </w:p>
        </w:tc>
      </w:tr>
      <w:tr w14:paraId="010E47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32" w:type="dxa"/>
            <w:vMerge w:val="restart"/>
            <w:noWrap w:val="0"/>
            <w:vAlign w:val="center"/>
          </w:tcPr>
          <w:p w14:paraId="5E7294A7">
            <w:pPr>
              <w:pStyle w:val="37"/>
              <w:spacing w:beforeLines="0" w:afterLines="0" w:line="240" w:lineRule="auto"/>
              <w:rPr>
                <w:rFonts w:hint="eastAsia" w:hAnsi="宋体" w:cs="宋体"/>
                <w:snapToGrid w:val="0"/>
                <w:color w:val="auto"/>
                <w:kern w:val="21"/>
                <w:szCs w:val="21"/>
                <w:highlight w:val="none"/>
              </w:rPr>
            </w:pPr>
            <w:r>
              <w:rPr>
                <w:rFonts w:hint="eastAsia" w:hAnsi="宋体" w:cs="宋体"/>
                <w:snapToGrid w:val="0"/>
                <w:color w:val="auto"/>
                <w:kern w:val="21"/>
                <w:szCs w:val="21"/>
                <w:highlight w:val="none"/>
              </w:rPr>
              <w:t>废气</w:t>
            </w:r>
          </w:p>
        </w:tc>
        <w:tc>
          <w:tcPr>
            <w:tcW w:w="1913" w:type="dxa"/>
            <w:noWrap w:val="0"/>
            <w:vAlign w:val="center"/>
          </w:tcPr>
          <w:p w14:paraId="3996641E">
            <w:pPr>
              <w:pStyle w:val="37"/>
              <w:spacing w:beforeLines="0" w:afterLines="0" w:line="240" w:lineRule="auto"/>
              <w:rPr>
                <w:rFonts w:hint="default" w:hAnsi="宋体" w:eastAsia="宋体" w:cs="宋体"/>
                <w:snapToGrid w:val="0"/>
                <w:color w:val="auto"/>
                <w:kern w:val="21"/>
                <w:sz w:val="21"/>
                <w:szCs w:val="21"/>
                <w:highlight w:val="none"/>
                <w:lang w:val="en-US" w:eastAsia="zh-CN"/>
              </w:rPr>
            </w:pPr>
            <w:r>
              <w:rPr>
                <w:rFonts w:hint="eastAsia" w:hAnsi="宋体" w:cs="宋体"/>
                <w:snapToGrid w:val="0"/>
                <w:color w:val="auto"/>
                <w:kern w:val="21"/>
                <w:sz w:val="21"/>
                <w:szCs w:val="21"/>
                <w:highlight w:val="none"/>
                <w:lang w:val="en-US" w:eastAsia="zh-CN"/>
              </w:rPr>
              <w:t>颗粒物</w:t>
            </w:r>
          </w:p>
        </w:tc>
        <w:tc>
          <w:tcPr>
            <w:tcW w:w="1701" w:type="dxa"/>
            <w:noWrap w:val="0"/>
            <w:vAlign w:val="center"/>
          </w:tcPr>
          <w:p w14:paraId="435C967C">
            <w:pPr>
              <w:spacing w:beforeLines="0" w:afterLines="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snapToGrid w:val="0"/>
                <w:color w:val="auto"/>
                <w:kern w:val="21"/>
                <w:sz w:val="21"/>
                <w:szCs w:val="21"/>
                <w:highlight w:val="none"/>
              </w:rPr>
              <w:t>/</w:t>
            </w:r>
          </w:p>
        </w:tc>
        <w:tc>
          <w:tcPr>
            <w:tcW w:w="1276" w:type="dxa"/>
            <w:noWrap w:val="0"/>
            <w:vAlign w:val="center"/>
          </w:tcPr>
          <w:p w14:paraId="5438D494">
            <w:pPr>
              <w:spacing w:beforeLines="0" w:afterLines="0" w:line="240" w:lineRule="auto"/>
              <w:jc w:val="center"/>
              <w:rPr>
                <w:rFonts w:hint="default" w:ascii="Times New Roman" w:hAnsi="Times New Roman" w:cs="Times New Roman"/>
                <w:snapToGrid w:val="0"/>
                <w:color w:val="auto"/>
                <w:kern w:val="21"/>
                <w:sz w:val="21"/>
                <w:szCs w:val="21"/>
                <w:highlight w:val="none"/>
              </w:rPr>
            </w:pPr>
            <w:r>
              <w:rPr>
                <w:rFonts w:hint="eastAsia" w:ascii="Times New Roman"/>
                <w:snapToGrid w:val="0"/>
                <w:color w:val="auto"/>
                <w:kern w:val="21"/>
                <w:sz w:val="21"/>
                <w:szCs w:val="21"/>
                <w:highlight w:val="none"/>
              </w:rPr>
              <w:t>/</w:t>
            </w:r>
          </w:p>
        </w:tc>
        <w:tc>
          <w:tcPr>
            <w:tcW w:w="1701" w:type="dxa"/>
            <w:noWrap w:val="0"/>
            <w:vAlign w:val="center"/>
          </w:tcPr>
          <w:p w14:paraId="5E20BC1B">
            <w:pPr>
              <w:spacing w:beforeLines="0" w:afterLines="0" w:line="240" w:lineRule="auto"/>
              <w:jc w:val="center"/>
              <w:rPr>
                <w:rFonts w:hAnsi="宋体" w:cs="宋体"/>
                <w:snapToGrid w:val="0"/>
                <w:color w:val="auto"/>
                <w:kern w:val="21"/>
                <w:sz w:val="21"/>
                <w:szCs w:val="21"/>
                <w:highlight w:val="none"/>
              </w:rPr>
            </w:pPr>
            <w:r>
              <w:rPr>
                <w:rFonts w:hint="eastAsia" w:ascii="Times New Roman"/>
                <w:snapToGrid w:val="0"/>
                <w:color w:val="auto"/>
                <w:kern w:val="21"/>
                <w:sz w:val="21"/>
                <w:szCs w:val="21"/>
                <w:highlight w:val="none"/>
              </w:rPr>
              <w:t>/</w:t>
            </w:r>
          </w:p>
        </w:tc>
        <w:tc>
          <w:tcPr>
            <w:tcW w:w="1559" w:type="dxa"/>
            <w:noWrap w:val="0"/>
            <w:vAlign w:val="center"/>
          </w:tcPr>
          <w:p w14:paraId="1123711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0.6</w:t>
            </w:r>
            <w:r>
              <w:rPr>
                <w:rFonts w:hint="eastAsia" w:cs="Times New Roman"/>
                <w:b w:val="0"/>
                <w:bCs w:val="0"/>
                <w:color w:val="auto"/>
                <w:sz w:val="21"/>
                <w:szCs w:val="21"/>
                <w:highlight w:val="none"/>
                <w:lang w:val="en-US" w:eastAsia="zh-CN"/>
              </w:rPr>
              <w:t>5</w:t>
            </w:r>
            <w:r>
              <w:rPr>
                <w:rFonts w:hint="eastAsia" w:ascii="Times New Roman" w:hAnsi="Times New Roman" w:eastAsia="宋体" w:cs="Times New Roman"/>
                <w:b w:val="0"/>
                <w:bCs w:val="0"/>
                <w:color w:val="auto"/>
                <w:sz w:val="21"/>
                <w:szCs w:val="21"/>
                <w:highlight w:val="none"/>
                <w:lang w:val="en-US" w:eastAsia="zh-CN"/>
              </w:rPr>
              <w:t>t/a</w:t>
            </w:r>
          </w:p>
        </w:tc>
        <w:tc>
          <w:tcPr>
            <w:tcW w:w="1761" w:type="dxa"/>
            <w:noWrap w:val="0"/>
            <w:vAlign w:val="center"/>
          </w:tcPr>
          <w:p w14:paraId="61A547DA">
            <w:pPr>
              <w:spacing w:beforeLines="0" w:afterLines="0" w:line="240" w:lineRule="auto"/>
              <w:jc w:val="center"/>
              <w:rPr>
                <w:rFonts w:hAnsi="宋体" w:cs="宋体"/>
                <w:snapToGrid w:val="0"/>
                <w:color w:val="auto"/>
                <w:kern w:val="21"/>
                <w:sz w:val="21"/>
                <w:szCs w:val="21"/>
                <w:highlight w:val="none"/>
              </w:rPr>
            </w:pPr>
            <w:r>
              <w:rPr>
                <w:rFonts w:hint="eastAsia" w:ascii="Times New Roman"/>
                <w:snapToGrid w:val="0"/>
                <w:color w:val="auto"/>
                <w:kern w:val="21"/>
                <w:sz w:val="21"/>
                <w:szCs w:val="21"/>
                <w:highlight w:val="none"/>
              </w:rPr>
              <w:t>/</w:t>
            </w:r>
          </w:p>
        </w:tc>
        <w:tc>
          <w:tcPr>
            <w:tcW w:w="1959" w:type="dxa"/>
            <w:noWrap w:val="0"/>
            <w:vAlign w:val="center"/>
          </w:tcPr>
          <w:p w14:paraId="7160FD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Ansi="宋体" w:cs="宋体"/>
                <w:snapToGrid w:val="0"/>
                <w:color w:val="auto"/>
                <w:kern w:val="21"/>
                <w:sz w:val="21"/>
                <w:szCs w:val="21"/>
                <w:highlight w:val="none"/>
              </w:rPr>
            </w:pPr>
            <w:r>
              <w:rPr>
                <w:rFonts w:hint="eastAsia" w:ascii="Times New Roman" w:hAnsi="Times New Roman" w:eastAsia="宋体" w:cs="Times New Roman"/>
                <w:b w:val="0"/>
                <w:bCs w:val="0"/>
                <w:color w:val="auto"/>
                <w:sz w:val="21"/>
                <w:szCs w:val="21"/>
                <w:highlight w:val="none"/>
                <w:lang w:val="en-US" w:eastAsia="zh-CN"/>
              </w:rPr>
              <w:t>0.6</w:t>
            </w:r>
            <w:r>
              <w:rPr>
                <w:rFonts w:hint="eastAsia" w:cs="Times New Roman"/>
                <w:b w:val="0"/>
                <w:bCs w:val="0"/>
                <w:color w:val="auto"/>
                <w:sz w:val="21"/>
                <w:szCs w:val="21"/>
                <w:highlight w:val="none"/>
                <w:lang w:val="en-US" w:eastAsia="zh-CN"/>
              </w:rPr>
              <w:t>5</w:t>
            </w:r>
            <w:r>
              <w:rPr>
                <w:rFonts w:hint="eastAsia" w:ascii="Times New Roman" w:hAnsi="Times New Roman" w:eastAsia="宋体" w:cs="Times New Roman"/>
                <w:b w:val="0"/>
                <w:bCs w:val="0"/>
                <w:color w:val="auto"/>
                <w:sz w:val="21"/>
                <w:szCs w:val="21"/>
                <w:highlight w:val="none"/>
                <w:lang w:val="en-US" w:eastAsia="zh-CN"/>
              </w:rPr>
              <w:t>t/a</w:t>
            </w:r>
          </w:p>
        </w:tc>
        <w:tc>
          <w:tcPr>
            <w:tcW w:w="1210" w:type="dxa"/>
            <w:noWrap w:val="0"/>
            <w:vAlign w:val="center"/>
          </w:tcPr>
          <w:p w14:paraId="78A9E9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0.6</w:t>
            </w:r>
            <w:r>
              <w:rPr>
                <w:rFonts w:hint="eastAsia" w:cs="Times New Roman"/>
                <w:b w:val="0"/>
                <w:bCs w:val="0"/>
                <w:color w:val="auto"/>
                <w:sz w:val="21"/>
                <w:szCs w:val="21"/>
                <w:highlight w:val="none"/>
                <w:lang w:val="en-US" w:eastAsia="zh-CN"/>
              </w:rPr>
              <w:t>5</w:t>
            </w:r>
            <w:r>
              <w:rPr>
                <w:rFonts w:hint="eastAsia" w:ascii="Times New Roman" w:hAnsi="Times New Roman" w:eastAsia="宋体" w:cs="Times New Roman"/>
                <w:b w:val="0"/>
                <w:bCs w:val="0"/>
                <w:color w:val="auto"/>
                <w:sz w:val="21"/>
                <w:szCs w:val="21"/>
                <w:highlight w:val="none"/>
                <w:lang w:val="en-US" w:eastAsia="zh-CN"/>
              </w:rPr>
              <w:t>t/a</w:t>
            </w:r>
          </w:p>
        </w:tc>
      </w:tr>
      <w:tr w14:paraId="78EA13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32" w:type="dxa"/>
            <w:vMerge w:val="continue"/>
            <w:noWrap w:val="0"/>
            <w:vAlign w:val="center"/>
          </w:tcPr>
          <w:p w14:paraId="709DD8C5">
            <w:pPr>
              <w:pStyle w:val="37"/>
              <w:spacing w:beforeLines="0" w:afterLines="0" w:line="240" w:lineRule="auto"/>
              <w:rPr>
                <w:rFonts w:hint="eastAsia" w:hAnsi="宋体" w:cs="宋体"/>
                <w:snapToGrid w:val="0"/>
                <w:color w:val="auto"/>
                <w:kern w:val="21"/>
                <w:szCs w:val="21"/>
                <w:highlight w:val="none"/>
              </w:rPr>
            </w:pPr>
          </w:p>
        </w:tc>
        <w:tc>
          <w:tcPr>
            <w:tcW w:w="1913" w:type="dxa"/>
            <w:noWrap w:val="0"/>
            <w:vAlign w:val="center"/>
          </w:tcPr>
          <w:p w14:paraId="3A81B72C">
            <w:pPr>
              <w:pStyle w:val="37"/>
              <w:spacing w:beforeLines="0" w:afterLines="0" w:line="240" w:lineRule="auto"/>
              <w:rPr>
                <w:rFonts w:hint="eastAsia" w:hAnsi="宋体" w:eastAsia="宋体" w:cs="宋体"/>
                <w:snapToGrid w:val="0"/>
                <w:color w:val="auto"/>
                <w:kern w:val="21"/>
                <w:szCs w:val="21"/>
                <w:highlight w:val="none"/>
                <w:lang w:val="en-US" w:eastAsia="zh-CN"/>
              </w:rPr>
            </w:pPr>
            <w:r>
              <w:rPr>
                <w:rFonts w:hint="eastAsia" w:hAnsi="宋体" w:cs="宋体"/>
                <w:snapToGrid w:val="0"/>
                <w:color w:val="auto"/>
                <w:kern w:val="21"/>
                <w:szCs w:val="21"/>
                <w:highlight w:val="none"/>
                <w:lang w:val="en-US" w:eastAsia="zh-CN"/>
              </w:rPr>
              <w:t>二氧化硫</w:t>
            </w:r>
          </w:p>
        </w:tc>
        <w:tc>
          <w:tcPr>
            <w:tcW w:w="1701" w:type="dxa"/>
            <w:noWrap w:val="0"/>
            <w:vAlign w:val="center"/>
          </w:tcPr>
          <w:p w14:paraId="60B8225C">
            <w:pPr>
              <w:spacing w:beforeLines="0" w:afterLines="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snapToGrid w:val="0"/>
                <w:color w:val="auto"/>
                <w:kern w:val="21"/>
                <w:sz w:val="21"/>
                <w:szCs w:val="21"/>
                <w:highlight w:val="none"/>
              </w:rPr>
              <w:t>/</w:t>
            </w:r>
          </w:p>
        </w:tc>
        <w:tc>
          <w:tcPr>
            <w:tcW w:w="1276" w:type="dxa"/>
            <w:noWrap w:val="0"/>
            <w:vAlign w:val="center"/>
          </w:tcPr>
          <w:p w14:paraId="6AEA0730">
            <w:pPr>
              <w:spacing w:beforeLines="0" w:afterLines="0" w:line="240" w:lineRule="auto"/>
              <w:jc w:val="center"/>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701" w:type="dxa"/>
            <w:noWrap w:val="0"/>
            <w:vAlign w:val="center"/>
          </w:tcPr>
          <w:p w14:paraId="7353F5D1">
            <w:pPr>
              <w:spacing w:beforeLines="0" w:afterLines="0" w:line="240" w:lineRule="auto"/>
              <w:jc w:val="center"/>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559" w:type="dxa"/>
            <w:noWrap w:val="0"/>
            <w:vAlign w:val="center"/>
          </w:tcPr>
          <w:p w14:paraId="1F80B0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w:t>
            </w:r>
            <w:r>
              <w:rPr>
                <w:rFonts w:hint="eastAsia" w:ascii="Times New Roman" w:hAnsi="Times New Roman" w:eastAsia="宋体" w:cs="Times New Roman"/>
                <w:b w:val="0"/>
                <w:bCs w:val="0"/>
                <w:color w:val="auto"/>
                <w:sz w:val="21"/>
                <w:szCs w:val="21"/>
                <w:highlight w:val="none"/>
                <w:lang w:val="en-US" w:eastAsia="zh-CN"/>
              </w:rPr>
              <w:t>.</w:t>
            </w:r>
            <w:r>
              <w:rPr>
                <w:rFonts w:hint="eastAsia" w:cs="Times New Roman"/>
                <w:b w:val="0"/>
                <w:bCs w:val="0"/>
                <w:color w:val="auto"/>
                <w:sz w:val="21"/>
                <w:szCs w:val="21"/>
                <w:highlight w:val="none"/>
                <w:lang w:val="en-US" w:eastAsia="zh-CN"/>
              </w:rPr>
              <w:t>83</w:t>
            </w:r>
            <w:r>
              <w:rPr>
                <w:rFonts w:hint="eastAsia" w:ascii="Times New Roman" w:hAnsi="Times New Roman" w:eastAsia="宋体" w:cs="Times New Roman"/>
                <w:b w:val="0"/>
                <w:bCs w:val="0"/>
                <w:color w:val="auto"/>
                <w:sz w:val="21"/>
                <w:szCs w:val="21"/>
                <w:highlight w:val="none"/>
                <w:lang w:val="en-US" w:eastAsia="zh-CN"/>
              </w:rPr>
              <w:t>t/a</w:t>
            </w:r>
          </w:p>
        </w:tc>
        <w:tc>
          <w:tcPr>
            <w:tcW w:w="1761" w:type="dxa"/>
            <w:noWrap w:val="0"/>
            <w:vAlign w:val="center"/>
          </w:tcPr>
          <w:p w14:paraId="13592008">
            <w:pPr>
              <w:spacing w:beforeLines="0" w:afterLines="0" w:line="240" w:lineRule="auto"/>
              <w:jc w:val="center"/>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959" w:type="dxa"/>
            <w:noWrap w:val="0"/>
            <w:vAlign w:val="center"/>
          </w:tcPr>
          <w:p w14:paraId="473F05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Ansi="宋体" w:cs="宋体"/>
                <w:snapToGrid w:val="0"/>
                <w:color w:val="auto"/>
                <w:kern w:val="21"/>
                <w:szCs w:val="21"/>
                <w:highlight w:val="none"/>
              </w:rPr>
            </w:pPr>
            <w:r>
              <w:rPr>
                <w:rFonts w:hint="eastAsia" w:cs="Times New Roman"/>
                <w:b w:val="0"/>
                <w:bCs w:val="0"/>
                <w:color w:val="auto"/>
                <w:sz w:val="21"/>
                <w:szCs w:val="21"/>
                <w:highlight w:val="none"/>
                <w:lang w:val="en-US" w:eastAsia="zh-CN"/>
              </w:rPr>
              <w:t>3</w:t>
            </w:r>
            <w:r>
              <w:rPr>
                <w:rFonts w:hint="eastAsia" w:ascii="Times New Roman" w:hAnsi="Times New Roman" w:eastAsia="宋体" w:cs="Times New Roman"/>
                <w:b w:val="0"/>
                <w:bCs w:val="0"/>
                <w:color w:val="auto"/>
                <w:sz w:val="21"/>
                <w:szCs w:val="21"/>
                <w:highlight w:val="none"/>
                <w:lang w:val="en-US" w:eastAsia="zh-CN"/>
              </w:rPr>
              <w:t>.</w:t>
            </w:r>
            <w:r>
              <w:rPr>
                <w:rFonts w:hint="eastAsia" w:cs="Times New Roman"/>
                <w:b w:val="0"/>
                <w:bCs w:val="0"/>
                <w:color w:val="auto"/>
                <w:sz w:val="21"/>
                <w:szCs w:val="21"/>
                <w:highlight w:val="none"/>
                <w:lang w:val="en-US" w:eastAsia="zh-CN"/>
              </w:rPr>
              <w:t>83</w:t>
            </w:r>
            <w:r>
              <w:rPr>
                <w:rFonts w:hint="eastAsia" w:ascii="Times New Roman" w:hAnsi="Times New Roman" w:eastAsia="宋体" w:cs="Times New Roman"/>
                <w:b w:val="0"/>
                <w:bCs w:val="0"/>
                <w:color w:val="auto"/>
                <w:sz w:val="21"/>
                <w:szCs w:val="21"/>
                <w:highlight w:val="none"/>
                <w:lang w:val="en-US" w:eastAsia="zh-CN"/>
              </w:rPr>
              <w:t>t/a</w:t>
            </w:r>
          </w:p>
        </w:tc>
        <w:tc>
          <w:tcPr>
            <w:tcW w:w="1210" w:type="dxa"/>
            <w:noWrap w:val="0"/>
            <w:vAlign w:val="center"/>
          </w:tcPr>
          <w:p w14:paraId="357053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3</w:t>
            </w:r>
            <w:r>
              <w:rPr>
                <w:rFonts w:hint="eastAsia" w:ascii="Times New Roman" w:hAnsi="Times New Roman" w:eastAsia="宋体" w:cs="Times New Roman"/>
                <w:b w:val="0"/>
                <w:bCs w:val="0"/>
                <w:color w:val="auto"/>
                <w:sz w:val="21"/>
                <w:szCs w:val="21"/>
                <w:highlight w:val="none"/>
                <w:lang w:val="en-US" w:eastAsia="zh-CN"/>
              </w:rPr>
              <w:t>.</w:t>
            </w:r>
            <w:r>
              <w:rPr>
                <w:rFonts w:hint="eastAsia" w:cs="Times New Roman"/>
                <w:b w:val="0"/>
                <w:bCs w:val="0"/>
                <w:color w:val="auto"/>
                <w:sz w:val="21"/>
                <w:szCs w:val="21"/>
                <w:highlight w:val="none"/>
                <w:lang w:val="en-US" w:eastAsia="zh-CN"/>
              </w:rPr>
              <w:t>83</w:t>
            </w:r>
            <w:r>
              <w:rPr>
                <w:rFonts w:hint="eastAsia" w:ascii="Times New Roman" w:hAnsi="Times New Roman" w:eastAsia="宋体" w:cs="Times New Roman"/>
                <w:b w:val="0"/>
                <w:bCs w:val="0"/>
                <w:color w:val="auto"/>
                <w:sz w:val="21"/>
                <w:szCs w:val="21"/>
                <w:highlight w:val="none"/>
                <w:lang w:val="en-US" w:eastAsia="zh-CN"/>
              </w:rPr>
              <w:t>t/a</w:t>
            </w:r>
          </w:p>
        </w:tc>
      </w:tr>
      <w:tr w14:paraId="7FD1F8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32" w:type="dxa"/>
            <w:vMerge w:val="continue"/>
            <w:noWrap w:val="0"/>
            <w:vAlign w:val="center"/>
          </w:tcPr>
          <w:p w14:paraId="0603C0D4">
            <w:pPr>
              <w:pStyle w:val="37"/>
              <w:spacing w:beforeLines="0" w:afterLines="0" w:line="240" w:lineRule="auto"/>
              <w:rPr>
                <w:rFonts w:hint="eastAsia" w:hAnsi="宋体" w:cs="宋体"/>
                <w:snapToGrid w:val="0"/>
                <w:color w:val="auto"/>
                <w:kern w:val="21"/>
                <w:szCs w:val="21"/>
                <w:highlight w:val="none"/>
              </w:rPr>
            </w:pPr>
          </w:p>
        </w:tc>
        <w:tc>
          <w:tcPr>
            <w:tcW w:w="1913" w:type="dxa"/>
            <w:noWrap w:val="0"/>
            <w:vAlign w:val="center"/>
          </w:tcPr>
          <w:p w14:paraId="0EA0DD18">
            <w:pPr>
              <w:pStyle w:val="37"/>
              <w:spacing w:beforeLines="0" w:afterLines="0" w:line="240" w:lineRule="auto"/>
              <w:rPr>
                <w:rFonts w:hint="default" w:ascii="宋体" w:hAnsi="宋体" w:eastAsia="宋体" w:cs="宋体"/>
                <w:snapToGrid w:val="0"/>
                <w:color w:val="auto"/>
                <w:kern w:val="21"/>
                <w:sz w:val="21"/>
                <w:szCs w:val="21"/>
                <w:highlight w:val="none"/>
                <w:lang w:val="en-US" w:eastAsia="zh-CN" w:bidi="ar-SA"/>
              </w:rPr>
            </w:pPr>
            <w:r>
              <w:rPr>
                <w:rFonts w:hint="eastAsia" w:ascii="宋体" w:hAnsi="宋体" w:eastAsia="宋体" w:cs="宋体"/>
                <w:snapToGrid w:val="0"/>
                <w:color w:val="auto"/>
                <w:kern w:val="21"/>
                <w:sz w:val="21"/>
                <w:szCs w:val="21"/>
                <w:highlight w:val="none"/>
                <w:lang w:val="en-US" w:eastAsia="zh-CN" w:bidi="ar-SA"/>
              </w:rPr>
              <w:t>氮氧化物</w:t>
            </w:r>
          </w:p>
        </w:tc>
        <w:tc>
          <w:tcPr>
            <w:tcW w:w="1701" w:type="dxa"/>
            <w:noWrap w:val="0"/>
            <w:vAlign w:val="center"/>
          </w:tcPr>
          <w:p w14:paraId="2FE65858">
            <w:pPr>
              <w:spacing w:beforeLines="0" w:afterLines="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snapToGrid w:val="0"/>
                <w:color w:val="auto"/>
                <w:kern w:val="21"/>
                <w:sz w:val="21"/>
                <w:szCs w:val="21"/>
                <w:highlight w:val="none"/>
              </w:rPr>
              <w:t>/</w:t>
            </w:r>
          </w:p>
        </w:tc>
        <w:tc>
          <w:tcPr>
            <w:tcW w:w="1276" w:type="dxa"/>
            <w:noWrap w:val="0"/>
            <w:vAlign w:val="center"/>
          </w:tcPr>
          <w:p w14:paraId="3E9DDA0D">
            <w:pPr>
              <w:spacing w:beforeLines="0" w:afterLines="0" w:line="240" w:lineRule="auto"/>
              <w:jc w:val="center"/>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701" w:type="dxa"/>
            <w:noWrap w:val="0"/>
            <w:vAlign w:val="center"/>
          </w:tcPr>
          <w:p w14:paraId="2A76027B">
            <w:pPr>
              <w:spacing w:beforeLines="0" w:afterLines="0" w:line="240" w:lineRule="auto"/>
              <w:jc w:val="center"/>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559" w:type="dxa"/>
            <w:noWrap w:val="0"/>
            <w:vAlign w:val="center"/>
          </w:tcPr>
          <w:p w14:paraId="20C428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6.34</w:t>
            </w:r>
            <w:r>
              <w:rPr>
                <w:rFonts w:hint="eastAsia" w:ascii="Times New Roman" w:hAnsi="Times New Roman" w:eastAsia="宋体" w:cs="Times New Roman"/>
                <w:b w:val="0"/>
                <w:bCs w:val="0"/>
                <w:color w:val="auto"/>
                <w:sz w:val="21"/>
                <w:szCs w:val="21"/>
                <w:highlight w:val="none"/>
                <w:lang w:val="en-US" w:eastAsia="zh-CN"/>
              </w:rPr>
              <w:t>t/a</w:t>
            </w:r>
          </w:p>
        </w:tc>
        <w:tc>
          <w:tcPr>
            <w:tcW w:w="1761" w:type="dxa"/>
            <w:noWrap w:val="0"/>
            <w:vAlign w:val="center"/>
          </w:tcPr>
          <w:p w14:paraId="1F19974E">
            <w:pPr>
              <w:spacing w:beforeLines="0" w:afterLines="0" w:line="240" w:lineRule="auto"/>
              <w:jc w:val="center"/>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959" w:type="dxa"/>
            <w:noWrap w:val="0"/>
            <w:vAlign w:val="center"/>
          </w:tcPr>
          <w:p w14:paraId="3DA1BB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Ansi="宋体" w:cs="宋体"/>
                <w:snapToGrid w:val="0"/>
                <w:color w:val="auto"/>
                <w:kern w:val="21"/>
                <w:szCs w:val="21"/>
                <w:highlight w:val="none"/>
              </w:rPr>
            </w:pPr>
            <w:r>
              <w:rPr>
                <w:rFonts w:hint="eastAsia" w:cs="Times New Roman"/>
                <w:b w:val="0"/>
                <w:bCs w:val="0"/>
                <w:color w:val="auto"/>
                <w:sz w:val="21"/>
                <w:szCs w:val="21"/>
                <w:highlight w:val="none"/>
                <w:lang w:val="en-US" w:eastAsia="zh-CN"/>
              </w:rPr>
              <w:t>6.34</w:t>
            </w:r>
            <w:r>
              <w:rPr>
                <w:rFonts w:hint="eastAsia" w:ascii="Times New Roman" w:hAnsi="Times New Roman" w:eastAsia="宋体" w:cs="Times New Roman"/>
                <w:b w:val="0"/>
                <w:bCs w:val="0"/>
                <w:color w:val="auto"/>
                <w:sz w:val="21"/>
                <w:szCs w:val="21"/>
                <w:highlight w:val="none"/>
                <w:lang w:val="en-US" w:eastAsia="zh-CN"/>
              </w:rPr>
              <w:t>t/a</w:t>
            </w:r>
          </w:p>
        </w:tc>
        <w:tc>
          <w:tcPr>
            <w:tcW w:w="1210" w:type="dxa"/>
            <w:noWrap w:val="0"/>
            <w:vAlign w:val="center"/>
          </w:tcPr>
          <w:p w14:paraId="17B8E2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6.34</w:t>
            </w:r>
            <w:r>
              <w:rPr>
                <w:rFonts w:hint="eastAsia" w:ascii="Times New Roman" w:hAnsi="Times New Roman" w:eastAsia="宋体" w:cs="Times New Roman"/>
                <w:b w:val="0"/>
                <w:bCs w:val="0"/>
                <w:color w:val="auto"/>
                <w:sz w:val="21"/>
                <w:szCs w:val="21"/>
                <w:highlight w:val="none"/>
                <w:lang w:val="en-US" w:eastAsia="zh-CN"/>
              </w:rPr>
              <w:t>t/a</w:t>
            </w:r>
          </w:p>
        </w:tc>
      </w:tr>
      <w:tr w14:paraId="4CE076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32" w:type="dxa"/>
            <w:vMerge w:val="continue"/>
            <w:noWrap w:val="0"/>
            <w:vAlign w:val="center"/>
          </w:tcPr>
          <w:p w14:paraId="28D03230">
            <w:pPr>
              <w:pStyle w:val="37"/>
              <w:spacing w:beforeLines="0" w:afterLines="0" w:line="240" w:lineRule="auto"/>
              <w:rPr>
                <w:rFonts w:hint="eastAsia" w:hAnsi="宋体" w:cs="宋体"/>
                <w:snapToGrid w:val="0"/>
                <w:color w:val="auto"/>
                <w:kern w:val="21"/>
                <w:szCs w:val="21"/>
                <w:highlight w:val="none"/>
              </w:rPr>
            </w:pPr>
          </w:p>
        </w:tc>
        <w:tc>
          <w:tcPr>
            <w:tcW w:w="1913" w:type="dxa"/>
            <w:noWrap w:val="0"/>
            <w:vAlign w:val="center"/>
          </w:tcPr>
          <w:p w14:paraId="083C95E8">
            <w:pPr>
              <w:widowControl/>
              <w:spacing w:line="240" w:lineRule="auto"/>
              <w:jc w:val="center"/>
              <w:rPr>
                <w:rFonts w:hint="eastAsia" w:ascii="宋体" w:hAnsi="宋体" w:eastAsia="宋体" w:cs="宋体"/>
                <w:snapToGrid w:val="0"/>
                <w:color w:val="auto"/>
                <w:kern w:val="21"/>
                <w:sz w:val="21"/>
                <w:szCs w:val="21"/>
                <w:highlight w:val="none"/>
                <w:lang w:val="en-US" w:eastAsia="zh-CN" w:bidi="ar-SA"/>
              </w:rPr>
            </w:pPr>
            <w:r>
              <w:rPr>
                <w:rFonts w:hint="eastAsia" w:ascii="宋体" w:hAnsi="宋体" w:eastAsia="宋体" w:cs="宋体"/>
                <w:snapToGrid w:val="0"/>
                <w:color w:val="auto"/>
                <w:kern w:val="21"/>
                <w:sz w:val="21"/>
                <w:szCs w:val="21"/>
                <w:highlight w:val="none"/>
                <w:lang w:val="en-US" w:eastAsia="zh-CN" w:bidi="ar-SA"/>
              </w:rPr>
              <w:t>汞及其化合物</w:t>
            </w:r>
          </w:p>
        </w:tc>
        <w:tc>
          <w:tcPr>
            <w:tcW w:w="1701" w:type="dxa"/>
            <w:noWrap w:val="0"/>
            <w:vAlign w:val="center"/>
          </w:tcPr>
          <w:p w14:paraId="390F2345">
            <w:pPr>
              <w:pStyle w:val="37"/>
              <w:spacing w:beforeLines="0" w:afterLines="0" w:line="240" w:lineRule="auto"/>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276" w:type="dxa"/>
            <w:noWrap w:val="0"/>
            <w:vAlign w:val="center"/>
          </w:tcPr>
          <w:p w14:paraId="49EC9FBA">
            <w:pPr>
              <w:pStyle w:val="37"/>
              <w:spacing w:beforeLines="0" w:afterLines="0" w:line="240" w:lineRule="auto"/>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701" w:type="dxa"/>
            <w:noWrap w:val="0"/>
            <w:vAlign w:val="center"/>
          </w:tcPr>
          <w:p w14:paraId="190CC610">
            <w:pPr>
              <w:pStyle w:val="37"/>
              <w:spacing w:beforeLines="0" w:afterLines="0" w:line="240" w:lineRule="auto"/>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559" w:type="dxa"/>
            <w:noWrap w:val="0"/>
            <w:vAlign w:val="center"/>
          </w:tcPr>
          <w:p w14:paraId="1A8DFD24">
            <w:pPr>
              <w:widowControl/>
              <w:spacing w:line="240" w:lineRule="auto"/>
              <w:jc w:val="center"/>
              <w:textAlignment w:val="center"/>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761" w:type="dxa"/>
            <w:noWrap w:val="0"/>
            <w:vAlign w:val="center"/>
          </w:tcPr>
          <w:p w14:paraId="0B886A9C">
            <w:pPr>
              <w:spacing w:beforeLines="0" w:afterLines="0" w:line="240" w:lineRule="auto"/>
              <w:jc w:val="center"/>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959" w:type="dxa"/>
            <w:noWrap w:val="0"/>
            <w:vAlign w:val="center"/>
          </w:tcPr>
          <w:p w14:paraId="7679D6F1">
            <w:pPr>
              <w:widowControl/>
              <w:spacing w:line="240" w:lineRule="auto"/>
              <w:jc w:val="center"/>
              <w:textAlignment w:val="center"/>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210" w:type="dxa"/>
            <w:noWrap w:val="0"/>
            <w:vAlign w:val="center"/>
          </w:tcPr>
          <w:p w14:paraId="07327941">
            <w:pPr>
              <w:widowControl/>
              <w:spacing w:line="240" w:lineRule="auto"/>
              <w:jc w:val="center"/>
              <w:textAlignment w:val="center"/>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r>
      <w:tr w14:paraId="61A0AF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32" w:type="dxa"/>
            <w:vMerge w:val="continue"/>
            <w:noWrap w:val="0"/>
            <w:vAlign w:val="center"/>
          </w:tcPr>
          <w:p w14:paraId="3CB32BE6">
            <w:pPr>
              <w:pStyle w:val="37"/>
              <w:spacing w:beforeLines="0" w:afterLines="0" w:line="240" w:lineRule="auto"/>
              <w:rPr>
                <w:rFonts w:hint="eastAsia" w:hAnsi="宋体" w:cs="宋体"/>
                <w:snapToGrid w:val="0"/>
                <w:color w:val="auto"/>
                <w:kern w:val="21"/>
                <w:szCs w:val="21"/>
                <w:highlight w:val="none"/>
              </w:rPr>
            </w:pPr>
          </w:p>
        </w:tc>
        <w:tc>
          <w:tcPr>
            <w:tcW w:w="1913" w:type="dxa"/>
            <w:noWrap w:val="0"/>
            <w:vAlign w:val="center"/>
          </w:tcPr>
          <w:p w14:paraId="5D8C410E">
            <w:pPr>
              <w:widowControl/>
              <w:spacing w:line="240" w:lineRule="auto"/>
              <w:jc w:val="center"/>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烟气黑度</w:t>
            </w:r>
          </w:p>
        </w:tc>
        <w:tc>
          <w:tcPr>
            <w:tcW w:w="1701" w:type="dxa"/>
            <w:noWrap w:val="0"/>
            <w:vAlign w:val="center"/>
          </w:tcPr>
          <w:p w14:paraId="3CCC655D">
            <w:pPr>
              <w:spacing w:beforeLines="0" w:afterLines="0" w:line="240" w:lineRule="auto"/>
              <w:jc w:val="center"/>
              <w:rPr>
                <w:rFonts w:hint="eastAsia" w:ascii="Times New Roman"/>
                <w:snapToGrid w:val="0"/>
                <w:color w:val="auto"/>
                <w:kern w:val="21"/>
                <w:sz w:val="21"/>
                <w:szCs w:val="21"/>
                <w:highlight w:val="none"/>
              </w:rPr>
            </w:pPr>
            <w:r>
              <w:rPr>
                <w:rFonts w:hint="eastAsia" w:ascii="Times New Roman"/>
                <w:snapToGrid w:val="0"/>
                <w:color w:val="auto"/>
                <w:kern w:val="21"/>
                <w:sz w:val="21"/>
                <w:szCs w:val="21"/>
                <w:highlight w:val="none"/>
              </w:rPr>
              <w:t>/</w:t>
            </w:r>
          </w:p>
        </w:tc>
        <w:tc>
          <w:tcPr>
            <w:tcW w:w="1276" w:type="dxa"/>
            <w:noWrap w:val="0"/>
            <w:vAlign w:val="center"/>
          </w:tcPr>
          <w:p w14:paraId="382EAB16">
            <w:pPr>
              <w:spacing w:beforeLines="0" w:afterLines="0" w:line="240" w:lineRule="auto"/>
              <w:jc w:val="center"/>
              <w:rPr>
                <w:rFonts w:hint="eastAsia" w:ascii="Times New Roman"/>
                <w:snapToGrid w:val="0"/>
                <w:color w:val="auto"/>
                <w:kern w:val="21"/>
                <w:sz w:val="21"/>
                <w:szCs w:val="21"/>
                <w:highlight w:val="none"/>
              </w:rPr>
            </w:pPr>
            <w:r>
              <w:rPr>
                <w:rFonts w:hint="eastAsia" w:ascii="Times New Roman"/>
                <w:snapToGrid w:val="0"/>
                <w:color w:val="auto"/>
                <w:kern w:val="21"/>
                <w:sz w:val="21"/>
                <w:szCs w:val="21"/>
                <w:highlight w:val="none"/>
              </w:rPr>
              <w:t>/</w:t>
            </w:r>
          </w:p>
        </w:tc>
        <w:tc>
          <w:tcPr>
            <w:tcW w:w="1701" w:type="dxa"/>
            <w:noWrap w:val="0"/>
            <w:vAlign w:val="center"/>
          </w:tcPr>
          <w:p w14:paraId="61A2EE0F">
            <w:pPr>
              <w:spacing w:beforeLines="0" w:afterLines="0" w:line="240" w:lineRule="auto"/>
              <w:jc w:val="center"/>
              <w:rPr>
                <w:rFonts w:hint="eastAsia" w:ascii="Times New Roman"/>
                <w:snapToGrid w:val="0"/>
                <w:color w:val="auto"/>
                <w:kern w:val="21"/>
                <w:sz w:val="21"/>
                <w:szCs w:val="21"/>
                <w:highlight w:val="none"/>
              </w:rPr>
            </w:pPr>
            <w:r>
              <w:rPr>
                <w:rFonts w:hint="eastAsia" w:ascii="Times New Roman"/>
                <w:snapToGrid w:val="0"/>
                <w:color w:val="auto"/>
                <w:kern w:val="21"/>
                <w:sz w:val="21"/>
                <w:szCs w:val="21"/>
                <w:highlight w:val="none"/>
              </w:rPr>
              <w:t>/</w:t>
            </w:r>
          </w:p>
        </w:tc>
        <w:tc>
          <w:tcPr>
            <w:tcW w:w="1559" w:type="dxa"/>
            <w:noWrap w:val="0"/>
            <w:vAlign w:val="center"/>
          </w:tcPr>
          <w:p w14:paraId="47BE967E">
            <w:pPr>
              <w:widowControl/>
              <w:spacing w:line="240" w:lineRule="auto"/>
              <w:jc w:val="center"/>
              <w:textAlignment w:val="center"/>
              <w:rPr>
                <w:rFonts w:hint="eastAsia" w:ascii="Times New Roman"/>
                <w:snapToGrid w:val="0"/>
                <w:color w:val="auto"/>
                <w:kern w:val="21"/>
                <w:sz w:val="21"/>
                <w:szCs w:val="21"/>
                <w:highlight w:val="none"/>
              </w:rPr>
            </w:pPr>
            <w:r>
              <w:rPr>
                <w:rFonts w:hint="eastAsia" w:ascii="Times New Roman"/>
                <w:snapToGrid w:val="0"/>
                <w:color w:val="auto"/>
                <w:kern w:val="21"/>
                <w:sz w:val="21"/>
                <w:szCs w:val="21"/>
                <w:highlight w:val="none"/>
              </w:rPr>
              <w:t>/</w:t>
            </w:r>
          </w:p>
        </w:tc>
        <w:tc>
          <w:tcPr>
            <w:tcW w:w="1761" w:type="dxa"/>
            <w:noWrap w:val="0"/>
            <w:vAlign w:val="center"/>
          </w:tcPr>
          <w:p w14:paraId="5C6ACB44">
            <w:pPr>
              <w:spacing w:beforeLines="0" w:afterLines="0" w:line="240" w:lineRule="auto"/>
              <w:jc w:val="center"/>
              <w:rPr>
                <w:rFonts w:hint="eastAsia" w:ascii="Times New Roman"/>
                <w:snapToGrid w:val="0"/>
                <w:color w:val="auto"/>
                <w:kern w:val="21"/>
                <w:sz w:val="21"/>
                <w:szCs w:val="21"/>
                <w:highlight w:val="none"/>
              </w:rPr>
            </w:pPr>
            <w:r>
              <w:rPr>
                <w:rFonts w:hint="eastAsia" w:ascii="Times New Roman"/>
                <w:snapToGrid w:val="0"/>
                <w:color w:val="auto"/>
                <w:kern w:val="21"/>
                <w:sz w:val="21"/>
                <w:szCs w:val="21"/>
                <w:highlight w:val="none"/>
              </w:rPr>
              <w:t>/</w:t>
            </w:r>
          </w:p>
        </w:tc>
        <w:tc>
          <w:tcPr>
            <w:tcW w:w="1959" w:type="dxa"/>
            <w:noWrap w:val="0"/>
            <w:vAlign w:val="center"/>
          </w:tcPr>
          <w:p w14:paraId="2B180286">
            <w:pPr>
              <w:widowControl/>
              <w:spacing w:line="240" w:lineRule="auto"/>
              <w:jc w:val="center"/>
              <w:textAlignment w:val="center"/>
              <w:rPr>
                <w:rFonts w:hint="eastAsia" w:ascii="Times New Roman"/>
                <w:snapToGrid w:val="0"/>
                <w:color w:val="auto"/>
                <w:kern w:val="21"/>
                <w:sz w:val="21"/>
                <w:szCs w:val="21"/>
                <w:highlight w:val="none"/>
              </w:rPr>
            </w:pPr>
            <w:r>
              <w:rPr>
                <w:rFonts w:hint="eastAsia" w:ascii="Times New Roman"/>
                <w:snapToGrid w:val="0"/>
                <w:color w:val="auto"/>
                <w:kern w:val="21"/>
                <w:sz w:val="21"/>
                <w:szCs w:val="21"/>
                <w:highlight w:val="none"/>
              </w:rPr>
              <w:t>/</w:t>
            </w:r>
          </w:p>
        </w:tc>
        <w:tc>
          <w:tcPr>
            <w:tcW w:w="1210" w:type="dxa"/>
            <w:noWrap w:val="0"/>
            <w:vAlign w:val="center"/>
          </w:tcPr>
          <w:p w14:paraId="2E03D879">
            <w:pPr>
              <w:widowControl/>
              <w:spacing w:line="240" w:lineRule="auto"/>
              <w:jc w:val="center"/>
              <w:textAlignment w:val="center"/>
              <w:rPr>
                <w:rFonts w:hint="eastAsia" w:ascii="Times New Roman"/>
                <w:snapToGrid w:val="0"/>
                <w:color w:val="auto"/>
                <w:kern w:val="21"/>
                <w:sz w:val="21"/>
                <w:szCs w:val="21"/>
                <w:highlight w:val="none"/>
              </w:rPr>
            </w:pPr>
            <w:r>
              <w:rPr>
                <w:rFonts w:hint="eastAsia" w:ascii="Times New Roman"/>
                <w:snapToGrid w:val="0"/>
                <w:color w:val="auto"/>
                <w:kern w:val="21"/>
                <w:sz w:val="21"/>
                <w:szCs w:val="21"/>
                <w:highlight w:val="none"/>
              </w:rPr>
              <w:t>/</w:t>
            </w:r>
          </w:p>
        </w:tc>
      </w:tr>
      <w:tr w14:paraId="03AF58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32" w:type="dxa"/>
            <w:vMerge w:val="restart"/>
            <w:noWrap w:val="0"/>
            <w:vAlign w:val="center"/>
          </w:tcPr>
          <w:p w14:paraId="03707399">
            <w:pPr>
              <w:pStyle w:val="37"/>
              <w:spacing w:beforeLines="0" w:afterLines="0" w:line="240" w:lineRule="auto"/>
              <w:rPr>
                <w:rFonts w:hint="eastAsia" w:hAnsi="宋体" w:cs="宋体"/>
                <w:snapToGrid w:val="0"/>
                <w:color w:val="auto"/>
                <w:kern w:val="21"/>
                <w:szCs w:val="21"/>
                <w:highlight w:val="none"/>
              </w:rPr>
            </w:pPr>
            <w:r>
              <w:rPr>
                <w:rFonts w:hint="eastAsia" w:hAnsi="宋体" w:cs="宋体"/>
                <w:snapToGrid w:val="0"/>
                <w:color w:val="auto"/>
                <w:kern w:val="21"/>
                <w:szCs w:val="21"/>
                <w:highlight w:val="none"/>
              </w:rPr>
              <w:t>废水</w:t>
            </w:r>
          </w:p>
        </w:tc>
        <w:tc>
          <w:tcPr>
            <w:tcW w:w="1913" w:type="dxa"/>
            <w:noWrap w:val="0"/>
            <w:vAlign w:val="center"/>
          </w:tcPr>
          <w:p w14:paraId="76882F70">
            <w:pPr>
              <w:pStyle w:val="37"/>
              <w:spacing w:beforeLines="0" w:afterLines="0" w:line="240" w:lineRule="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COD</w:t>
            </w:r>
          </w:p>
        </w:tc>
        <w:tc>
          <w:tcPr>
            <w:tcW w:w="1701" w:type="dxa"/>
            <w:noWrap w:val="0"/>
            <w:vAlign w:val="center"/>
          </w:tcPr>
          <w:p w14:paraId="3A8245E5">
            <w:pPr>
              <w:pStyle w:val="37"/>
              <w:spacing w:beforeLines="0" w:afterLines="0" w:line="240" w:lineRule="auto"/>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276" w:type="dxa"/>
            <w:noWrap w:val="0"/>
            <w:vAlign w:val="center"/>
          </w:tcPr>
          <w:p w14:paraId="03D5ABD2">
            <w:pPr>
              <w:pStyle w:val="37"/>
              <w:spacing w:beforeLines="0" w:afterLines="0" w:line="240" w:lineRule="auto"/>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701" w:type="dxa"/>
            <w:noWrap w:val="0"/>
            <w:vAlign w:val="center"/>
          </w:tcPr>
          <w:p w14:paraId="6D4513AC">
            <w:pPr>
              <w:pStyle w:val="37"/>
              <w:spacing w:beforeLines="0" w:afterLines="0" w:line="240" w:lineRule="auto"/>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559" w:type="dxa"/>
            <w:noWrap w:val="0"/>
            <w:vAlign w:val="center"/>
          </w:tcPr>
          <w:p w14:paraId="6BD0FA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0.181</w:t>
            </w:r>
            <w:r>
              <w:rPr>
                <w:rFonts w:hint="eastAsia" w:ascii="Times New Roman" w:hAnsi="Times New Roman" w:eastAsia="宋体" w:cs="Times New Roman"/>
                <w:b w:val="0"/>
                <w:bCs w:val="0"/>
                <w:color w:val="auto"/>
                <w:sz w:val="21"/>
                <w:szCs w:val="21"/>
                <w:highlight w:val="none"/>
                <w:lang w:val="en-US" w:eastAsia="zh-CN"/>
              </w:rPr>
              <w:t>t/a</w:t>
            </w:r>
          </w:p>
        </w:tc>
        <w:tc>
          <w:tcPr>
            <w:tcW w:w="1761" w:type="dxa"/>
            <w:noWrap w:val="0"/>
            <w:vAlign w:val="center"/>
          </w:tcPr>
          <w:p w14:paraId="4AF7EE38">
            <w:pPr>
              <w:spacing w:beforeLines="0" w:afterLines="0" w:line="240" w:lineRule="auto"/>
              <w:jc w:val="center"/>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959" w:type="dxa"/>
            <w:noWrap w:val="0"/>
            <w:vAlign w:val="center"/>
          </w:tcPr>
          <w:p w14:paraId="3E1A6C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hAnsi="宋体" w:eastAsia="宋体" w:cs="宋体"/>
                <w:snapToGrid w:val="0"/>
                <w:color w:val="auto"/>
                <w:kern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0.181</w:t>
            </w:r>
            <w:r>
              <w:rPr>
                <w:rFonts w:hint="eastAsia" w:ascii="Times New Roman" w:hAnsi="Times New Roman" w:eastAsia="宋体" w:cs="Times New Roman"/>
                <w:b w:val="0"/>
                <w:bCs w:val="0"/>
                <w:color w:val="auto"/>
                <w:sz w:val="21"/>
                <w:szCs w:val="21"/>
                <w:highlight w:val="none"/>
                <w:lang w:val="en-US" w:eastAsia="zh-CN"/>
              </w:rPr>
              <w:t>t/a</w:t>
            </w:r>
          </w:p>
        </w:tc>
        <w:tc>
          <w:tcPr>
            <w:tcW w:w="1210" w:type="dxa"/>
            <w:noWrap w:val="0"/>
            <w:vAlign w:val="center"/>
          </w:tcPr>
          <w:p w14:paraId="7A9B13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eastAsia="宋体" w:cs="宋体"/>
                <w:snapToGrid w:val="0"/>
                <w:color w:val="auto"/>
                <w:kern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0.181</w:t>
            </w:r>
            <w:r>
              <w:rPr>
                <w:rFonts w:hint="eastAsia" w:ascii="Times New Roman" w:hAnsi="Times New Roman" w:eastAsia="宋体" w:cs="Times New Roman"/>
                <w:b w:val="0"/>
                <w:bCs w:val="0"/>
                <w:color w:val="auto"/>
                <w:sz w:val="21"/>
                <w:szCs w:val="21"/>
                <w:highlight w:val="none"/>
                <w:lang w:val="en-US" w:eastAsia="zh-CN"/>
              </w:rPr>
              <w:t>t/a</w:t>
            </w:r>
          </w:p>
        </w:tc>
      </w:tr>
      <w:tr w14:paraId="429B86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32" w:type="dxa"/>
            <w:vMerge w:val="continue"/>
            <w:noWrap w:val="0"/>
            <w:vAlign w:val="center"/>
          </w:tcPr>
          <w:p w14:paraId="4250A49A">
            <w:pPr>
              <w:pStyle w:val="37"/>
              <w:spacing w:beforeLines="0" w:afterLines="0" w:line="240" w:lineRule="auto"/>
              <w:rPr>
                <w:rFonts w:hint="eastAsia" w:hAnsi="宋体" w:cs="宋体"/>
                <w:snapToGrid w:val="0"/>
                <w:color w:val="auto"/>
                <w:kern w:val="21"/>
                <w:szCs w:val="21"/>
                <w:highlight w:val="none"/>
              </w:rPr>
            </w:pPr>
          </w:p>
        </w:tc>
        <w:tc>
          <w:tcPr>
            <w:tcW w:w="1913" w:type="dxa"/>
            <w:noWrap w:val="0"/>
            <w:vAlign w:val="center"/>
          </w:tcPr>
          <w:p w14:paraId="34450624">
            <w:pPr>
              <w:pStyle w:val="37"/>
              <w:spacing w:beforeLines="0" w:afterLines="0" w:line="240" w:lineRule="auto"/>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NH</w:t>
            </w:r>
            <w:r>
              <w:rPr>
                <w:rFonts w:hint="eastAsia" w:ascii="Times New Roman" w:hAnsi="Times New Roman" w:eastAsia="宋体" w:cs="Times New Roman"/>
                <w:b w:val="0"/>
                <w:bCs w:val="0"/>
                <w:color w:val="auto"/>
                <w:kern w:val="2"/>
                <w:sz w:val="21"/>
                <w:szCs w:val="21"/>
                <w:highlight w:val="none"/>
                <w:vertAlign w:val="subscript"/>
                <w:lang w:val="en-US" w:eastAsia="zh-CN" w:bidi="ar-SA"/>
              </w:rPr>
              <w:t>3</w:t>
            </w:r>
            <w:r>
              <w:rPr>
                <w:rFonts w:hint="eastAsia" w:ascii="Times New Roman" w:hAnsi="Times New Roman" w:eastAsia="宋体" w:cs="Times New Roman"/>
                <w:b w:val="0"/>
                <w:bCs w:val="0"/>
                <w:color w:val="auto"/>
                <w:kern w:val="2"/>
                <w:sz w:val="21"/>
                <w:szCs w:val="21"/>
                <w:highlight w:val="none"/>
                <w:vertAlign w:val="baseline"/>
                <w:lang w:val="en-US" w:eastAsia="zh-CN" w:bidi="ar-SA"/>
              </w:rPr>
              <w:t>-N</w:t>
            </w:r>
          </w:p>
        </w:tc>
        <w:tc>
          <w:tcPr>
            <w:tcW w:w="1701" w:type="dxa"/>
            <w:noWrap w:val="0"/>
            <w:vAlign w:val="center"/>
          </w:tcPr>
          <w:p w14:paraId="4DB1E918">
            <w:pPr>
              <w:pStyle w:val="37"/>
              <w:spacing w:beforeLines="0" w:afterLines="0" w:line="240" w:lineRule="auto"/>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276" w:type="dxa"/>
            <w:noWrap w:val="0"/>
            <w:vAlign w:val="center"/>
          </w:tcPr>
          <w:p w14:paraId="2DA846B4">
            <w:pPr>
              <w:pStyle w:val="37"/>
              <w:spacing w:beforeLines="0" w:afterLines="0" w:line="240" w:lineRule="auto"/>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701" w:type="dxa"/>
            <w:noWrap w:val="0"/>
            <w:vAlign w:val="center"/>
          </w:tcPr>
          <w:p w14:paraId="1FE4841A">
            <w:pPr>
              <w:pStyle w:val="37"/>
              <w:spacing w:beforeLines="0" w:afterLines="0" w:line="240" w:lineRule="auto"/>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559" w:type="dxa"/>
            <w:noWrap w:val="0"/>
            <w:vAlign w:val="center"/>
          </w:tcPr>
          <w:p w14:paraId="64D0A2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0.001</w:t>
            </w:r>
            <w:r>
              <w:rPr>
                <w:rFonts w:hint="eastAsia" w:ascii="Times New Roman" w:hAnsi="Times New Roman" w:eastAsia="宋体" w:cs="Times New Roman"/>
                <w:b w:val="0"/>
                <w:bCs w:val="0"/>
                <w:color w:val="auto"/>
                <w:sz w:val="21"/>
                <w:szCs w:val="21"/>
                <w:highlight w:val="none"/>
                <w:lang w:val="en-US" w:eastAsia="zh-CN"/>
              </w:rPr>
              <w:t>t/a</w:t>
            </w:r>
          </w:p>
        </w:tc>
        <w:tc>
          <w:tcPr>
            <w:tcW w:w="1761" w:type="dxa"/>
            <w:noWrap w:val="0"/>
            <w:vAlign w:val="center"/>
          </w:tcPr>
          <w:p w14:paraId="242E6CD1">
            <w:pPr>
              <w:spacing w:beforeLines="0" w:afterLines="0" w:line="240" w:lineRule="auto"/>
              <w:jc w:val="center"/>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959" w:type="dxa"/>
            <w:noWrap w:val="0"/>
            <w:vAlign w:val="center"/>
          </w:tcPr>
          <w:p w14:paraId="06817A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eastAsia="宋体" w:cs="宋体"/>
                <w:snapToGrid w:val="0"/>
                <w:color w:val="auto"/>
                <w:kern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0.001</w:t>
            </w:r>
            <w:r>
              <w:rPr>
                <w:rFonts w:hint="eastAsia" w:ascii="Times New Roman" w:hAnsi="Times New Roman" w:eastAsia="宋体" w:cs="Times New Roman"/>
                <w:b w:val="0"/>
                <w:bCs w:val="0"/>
                <w:color w:val="auto"/>
                <w:sz w:val="21"/>
                <w:szCs w:val="21"/>
                <w:highlight w:val="none"/>
                <w:lang w:val="en-US" w:eastAsia="zh-CN"/>
              </w:rPr>
              <w:t>t/a</w:t>
            </w:r>
          </w:p>
        </w:tc>
        <w:tc>
          <w:tcPr>
            <w:tcW w:w="1210" w:type="dxa"/>
            <w:noWrap w:val="0"/>
            <w:vAlign w:val="center"/>
          </w:tcPr>
          <w:p w14:paraId="0430DE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eastAsia="宋体" w:cs="宋体"/>
                <w:snapToGrid w:val="0"/>
                <w:color w:val="auto"/>
                <w:kern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0.001</w:t>
            </w:r>
            <w:r>
              <w:rPr>
                <w:rFonts w:hint="eastAsia" w:ascii="Times New Roman" w:hAnsi="Times New Roman" w:eastAsia="宋体" w:cs="Times New Roman"/>
                <w:b w:val="0"/>
                <w:bCs w:val="0"/>
                <w:color w:val="auto"/>
                <w:sz w:val="21"/>
                <w:szCs w:val="21"/>
                <w:highlight w:val="none"/>
                <w:lang w:val="en-US" w:eastAsia="zh-CN"/>
              </w:rPr>
              <w:t>t/a</w:t>
            </w:r>
          </w:p>
        </w:tc>
      </w:tr>
      <w:tr w14:paraId="3CE14B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32" w:type="dxa"/>
            <w:vMerge w:val="continue"/>
            <w:noWrap w:val="0"/>
            <w:vAlign w:val="center"/>
          </w:tcPr>
          <w:p w14:paraId="4A0B25DD">
            <w:pPr>
              <w:pStyle w:val="37"/>
              <w:spacing w:beforeLines="0" w:afterLines="0" w:line="240" w:lineRule="auto"/>
              <w:rPr>
                <w:rFonts w:hint="eastAsia" w:hAnsi="宋体" w:cs="宋体"/>
                <w:snapToGrid w:val="0"/>
                <w:color w:val="auto"/>
                <w:kern w:val="21"/>
                <w:szCs w:val="21"/>
                <w:highlight w:val="none"/>
              </w:rPr>
            </w:pPr>
          </w:p>
        </w:tc>
        <w:tc>
          <w:tcPr>
            <w:tcW w:w="1913" w:type="dxa"/>
            <w:noWrap w:val="0"/>
            <w:vAlign w:val="center"/>
          </w:tcPr>
          <w:p w14:paraId="2AE08F52">
            <w:pPr>
              <w:pStyle w:val="37"/>
              <w:spacing w:beforeLines="0" w:afterLines="0" w:line="240" w:lineRule="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cs="Times New Roman"/>
                <w:b w:val="0"/>
                <w:bCs w:val="0"/>
                <w:color w:val="auto"/>
                <w:kern w:val="2"/>
                <w:sz w:val="21"/>
                <w:szCs w:val="21"/>
                <w:highlight w:val="none"/>
                <w:vertAlign w:val="baseline"/>
                <w:lang w:val="en-US" w:eastAsia="zh-CN" w:bidi="ar-SA"/>
              </w:rPr>
              <w:t>TP</w:t>
            </w:r>
          </w:p>
        </w:tc>
        <w:tc>
          <w:tcPr>
            <w:tcW w:w="1701" w:type="dxa"/>
            <w:noWrap w:val="0"/>
            <w:vAlign w:val="center"/>
          </w:tcPr>
          <w:p w14:paraId="2C192F10">
            <w:pPr>
              <w:pStyle w:val="37"/>
              <w:spacing w:beforeLines="0" w:afterLines="0" w:line="240" w:lineRule="auto"/>
              <w:rPr>
                <w:rFonts w:hint="eastAsia" w:ascii="Times New Roman"/>
                <w:snapToGrid w:val="0"/>
                <w:color w:val="auto"/>
                <w:kern w:val="21"/>
                <w:sz w:val="21"/>
                <w:szCs w:val="21"/>
                <w:highlight w:val="none"/>
              </w:rPr>
            </w:pPr>
            <w:r>
              <w:rPr>
                <w:rFonts w:hint="eastAsia" w:ascii="Times New Roman"/>
                <w:snapToGrid w:val="0"/>
                <w:color w:val="auto"/>
                <w:kern w:val="21"/>
                <w:sz w:val="21"/>
                <w:szCs w:val="21"/>
                <w:highlight w:val="none"/>
              </w:rPr>
              <w:t>/</w:t>
            </w:r>
          </w:p>
        </w:tc>
        <w:tc>
          <w:tcPr>
            <w:tcW w:w="1276" w:type="dxa"/>
            <w:noWrap w:val="0"/>
            <w:vAlign w:val="center"/>
          </w:tcPr>
          <w:p w14:paraId="223796AA">
            <w:pPr>
              <w:pStyle w:val="37"/>
              <w:spacing w:beforeLines="0" w:afterLines="0" w:line="240" w:lineRule="auto"/>
              <w:rPr>
                <w:rFonts w:hint="eastAsia" w:ascii="Times New Roman"/>
                <w:snapToGrid w:val="0"/>
                <w:color w:val="auto"/>
                <w:kern w:val="21"/>
                <w:sz w:val="21"/>
                <w:szCs w:val="21"/>
                <w:highlight w:val="none"/>
              </w:rPr>
            </w:pPr>
            <w:r>
              <w:rPr>
                <w:rFonts w:hint="eastAsia" w:ascii="Times New Roman"/>
                <w:snapToGrid w:val="0"/>
                <w:color w:val="auto"/>
                <w:kern w:val="21"/>
                <w:sz w:val="21"/>
                <w:szCs w:val="21"/>
                <w:highlight w:val="none"/>
              </w:rPr>
              <w:t>/</w:t>
            </w:r>
          </w:p>
        </w:tc>
        <w:tc>
          <w:tcPr>
            <w:tcW w:w="1701" w:type="dxa"/>
            <w:noWrap w:val="0"/>
            <w:vAlign w:val="center"/>
          </w:tcPr>
          <w:p w14:paraId="01722F63">
            <w:pPr>
              <w:pStyle w:val="37"/>
              <w:spacing w:beforeLines="0" w:afterLines="0" w:line="240" w:lineRule="auto"/>
              <w:rPr>
                <w:rFonts w:hint="eastAsia" w:ascii="Times New Roman"/>
                <w:snapToGrid w:val="0"/>
                <w:color w:val="auto"/>
                <w:kern w:val="21"/>
                <w:sz w:val="21"/>
                <w:szCs w:val="21"/>
                <w:highlight w:val="none"/>
              </w:rPr>
            </w:pPr>
            <w:r>
              <w:rPr>
                <w:rFonts w:hint="eastAsia" w:ascii="Times New Roman"/>
                <w:snapToGrid w:val="0"/>
                <w:color w:val="auto"/>
                <w:kern w:val="21"/>
                <w:sz w:val="21"/>
                <w:szCs w:val="21"/>
                <w:highlight w:val="none"/>
              </w:rPr>
              <w:t>/</w:t>
            </w:r>
          </w:p>
        </w:tc>
        <w:tc>
          <w:tcPr>
            <w:tcW w:w="1559" w:type="dxa"/>
            <w:noWrap w:val="0"/>
            <w:vAlign w:val="center"/>
          </w:tcPr>
          <w:p w14:paraId="3D8B9C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0.0001</w:t>
            </w:r>
            <w:r>
              <w:rPr>
                <w:rFonts w:hint="eastAsia" w:ascii="Times New Roman" w:hAnsi="Times New Roman" w:eastAsia="宋体" w:cs="Times New Roman"/>
                <w:b w:val="0"/>
                <w:bCs w:val="0"/>
                <w:color w:val="auto"/>
                <w:sz w:val="21"/>
                <w:szCs w:val="21"/>
                <w:highlight w:val="none"/>
                <w:lang w:val="en-US" w:eastAsia="zh-CN"/>
              </w:rPr>
              <w:t>t/a</w:t>
            </w:r>
          </w:p>
        </w:tc>
        <w:tc>
          <w:tcPr>
            <w:tcW w:w="1761" w:type="dxa"/>
            <w:noWrap w:val="0"/>
            <w:vAlign w:val="center"/>
          </w:tcPr>
          <w:p w14:paraId="1DE0D4EB">
            <w:pPr>
              <w:spacing w:beforeLines="0" w:afterLines="0" w:line="240" w:lineRule="auto"/>
              <w:jc w:val="center"/>
              <w:rPr>
                <w:rFonts w:hint="eastAsia" w:ascii="Times New Roman" w:eastAsia="宋体"/>
                <w:snapToGrid w:val="0"/>
                <w:color w:val="auto"/>
                <w:kern w:val="21"/>
                <w:sz w:val="21"/>
                <w:szCs w:val="21"/>
                <w:highlight w:val="none"/>
                <w:lang w:val="en-US" w:eastAsia="zh-CN"/>
              </w:rPr>
            </w:pPr>
            <w:r>
              <w:rPr>
                <w:rFonts w:hint="eastAsia"/>
                <w:snapToGrid w:val="0"/>
                <w:color w:val="auto"/>
                <w:kern w:val="21"/>
                <w:sz w:val="21"/>
                <w:szCs w:val="21"/>
                <w:highlight w:val="none"/>
                <w:lang w:val="en-US" w:eastAsia="zh-CN"/>
              </w:rPr>
              <w:t>/</w:t>
            </w:r>
          </w:p>
        </w:tc>
        <w:tc>
          <w:tcPr>
            <w:tcW w:w="1959" w:type="dxa"/>
            <w:noWrap w:val="0"/>
            <w:vAlign w:val="center"/>
          </w:tcPr>
          <w:p w14:paraId="311A2E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cs="宋体"/>
                <w:snapToGrid w:val="0"/>
                <w:color w:val="auto"/>
                <w:kern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0.0001</w:t>
            </w:r>
            <w:r>
              <w:rPr>
                <w:rFonts w:hint="eastAsia" w:ascii="Times New Roman" w:hAnsi="Times New Roman" w:eastAsia="宋体" w:cs="Times New Roman"/>
                <w:b w:val="0"/>
                <w:bCs w:val="0"/>
                <w:color w:val="auto"/>
                <w:sz w:val="21"/>
                <w:szCs w:val="21"/>
                <w:highlight w:val="none"/>
                <w:lang w:val="en-US" w:eastAsia="zh-CN"/>
              </w:rPr>
              <w:t>t/a</w:t>
            </w:r>
          </w:p>
        </w:tc>
        <w:tc>
          <w:tcPr>
            <w:tcW w:w="1210" w:type="dxa"/>
            <w:noWrap w:val="0"/>
            <w:vAlign w:val="center"/>
          </w:tcPr>
          <w:p w14:paraId="0DE5A2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cs="宋体"/>
                <w:snapToGrid w:val="0"/>
                <w:color w:val="auto"/>
                <w:kern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0.0001</w:t>
            </w:r>
            <w:r>
              <w:rPr>
                <w:rFonts w:hint="eastAsia" w:ascii="Times New Roman" w:hAnsi="Times New Roman" w:eastAsia="宋体" w:cs="Times New Roman"/>
                <w:b w:val="0"/>
                <w:bCs w:val="0"/>
                <w:color w:val="auto"/>
                <w:sz w:val="21"/>
                <w:szCs w:val="21"/>
                <w:highlight w:val="none"/>
                <w:lang w:val="en-US" w:eastAsia="zh-CN"/>
              </w:rPr>
              <w:t>t/a</w:t>
            </w:r>
          </w:p>
        </w:tc>
      </w:tr>
      <w:tr w14:paraId="152E87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32" w:type="dxa"/>
            <w:vMerge w:val="restart"/>
            <w:noWrap w:val="0"/>
            <w:vAlign w:val="center"/>
          </w:tcPr>
          <w:p w14:paraId="4E9F34BE">
            <w:pPr>
              <w:pStyle w:val="37"/>
              <w:spacing w:beforeLines="0" w:afterLines="0" w:line="240" w:lineRule="auto"/>
              <w:rPr>
                <w:rFonts w:hAnsi="宋体" w:cs="宋体"/>
                <w:snapToGrid w:val="0"/>
                <w:color w:val="auto"/>
                <w:kern w:val="21"/>
                <w:szCs w:val="21"/>
                <w:highlight w:val="none"/>
              </w:rPr>
            </w:pPr>
            <w:r>
              <w:rPr>
                <w:rFonts w:hint="eastAsia" w:hAnsi="宋体" w:cs="宋体"/>
                <w:snapToGrid w:val="0"/>
                <w:color w:val="auto"/>
                <w:kern w:val="21"/>
                <w:szCs w:val="21"/>
                <w:highlight w:val="none"/>
              </w:rPr>
              <w:t>一般工业</w:t>
            </w:r>
          </w:p>
          <w:p w14:paraId="05FAAAEB">
            <w:pPr>
              <w:pStyle w:val="37"/>
              <w:spacing w:beforeLines="0" w:afterLines="0" w:line="240" w:lineRule="auto"/>
              <w:rPr>
                <w:rFonts w:hint="eastAsia" w:hAnsi="宋体" w:cs="宋体"/>
                <w:snapToGrid w:val="0"/>
                <w:color w:val="auto"/>
                <w:kern w:val="21"/>
                <w:szCs w:val="21"/>
                <w:highlight w:val="none"/>
              </w:rPr>
            </w:pPr>
            <w:r>
              <w:rPr>
                <w:rFonts w:hint="eastAsia" w:hAnsi="宋体" w:cs="宋体"/>
                <w:snapToGrid w:val="0"/>
                <w:color w:val="auto"/>
                <w:kern w:val="21"/>
                <w:szCs w:val="21"/>
                <w:highlight w:val="none"/>
              </w:rPr>
              <w:t>固体废物</w:t>
            </w:r>
          </w:p>
        </w:tc>
        <w:tc>
          <w:tcPr>
            <w:tcW w:w="1913" w:type="dxa"/>
            <w:noWrap w:val="0"/>
            <w:vAlign w:val="center"/>
          </w:tcPr>
          <w:p w14:paraId="310C034D">
            <w:pPr>
              <w:pStyle w:val="37"/>
              <w:spacing w:beforeLines="0" w:afterLines="0" w:line="240" w:lineRule="auto"/>
              <w:rPr>
                <w:rFonts w:hAnsi="宋体" w:cs="宋体"/>
                <w:snapToGrid w:val="0"/>
                <w:color w:val="auto"/>
                <w:kern w:val="21"/>
                <w:szCs w:val="21"/>
                <w:highlight w:val="none"/>
              </w:rPr>
            </w:pPr>
            <w:r>
              <w:rPr>
                <w:rFonts w:hint="default" w:ascii="Times New Roman" w:hAnsi="Times New Roman" w:cs="Times New Roman"/>
                <w:color w:val="auto"/>
                <w:sz w:val="21"/>
                <w:szCs w:val="21"/>
                <w:highlight w:val="none"/>
                <w:lang w:val="en-US" w:eastAsia="zh-CN" w:bidi="ar"/>
              </w:rPr>
              <w:t>废弃除尘布袋</w:t>
            </w:r>
          </w:p>
        </w:tc>
        <w:tc>
          <w:tcPr>
            <w:tcW w:w="1701" w:type="dxa"/>
            <w:noWrap w:val="0"/>
            <w:vAlign w:val="center"/>
          </w:tcPr>
          <w:p w14:paraId="4947BBC7">
            <w:pPr>
              <w:spacing w:beforeLines="0" w:afterLines="0"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snapToGrid w:val="0"/>
                <w:color w:val="auto"/>
                <w:kern w:val="21"/>
                <w:sz w:val="21"/>
                <w:szCs w:val="21"/>
                <w:highlight w:val="none"/>
              </w:rPr>
              <w:t>/</w:t>
            </w:r>
          </w:p>
        </w:tc>
        <w:tc>
          <w:tcPr>
            <w:tcW w:w="1276" w:type="dxa"/>
            <w:noWrap w:val="0"/>
            <w:vAlign w:val="center"/>
          </w:tcPr>
          <w:p w14:paraId="2819D118">
            <w:pPr>
              <w:spacing w:beforeLines="0" w:afterLines="0" w:line="240" w:lineRule="auto"/>
              <w:jc w:val="center"/>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701" w:type="dxa"/>
            <w:noWrap w:val="0"/>
            <w:vAlign w:val="center"/>
          </w:tcPr>
          <w:p w14:paraId="376E0050">
            <w:pPr>
              <w:spacing w:beforeLines="0" w:afterLines="0" w:line="240" w:lineRule="auto"/>
              <w:jc w:val="center"/>
              <w:rPr>
                <w:rFonts w:hAnsi="宋体" w:cs="宋体"/>
                <w:snapToGrid w:val="0"/>
                <w:color w:val="auto"/>
                <w:kern w:val="21"/>
                <w:szCs w:val="21"/>
                <w:highlight w:val="none"/>
              </w:rPr>
            </w:pPr>
            <w:r>
              <w:rPr>
                <w:rFonts w:hint="eastAsia" w:ascii="Times New Roman"/>
                <w:snapToGrid w:val="0"/>
                <w:color w:val="auto"/>
                <w:kern w:val="21"/>
                <w:sz w:val="21"/>
                <w:szCs w:val="21"/>
                <w:highlight w:val="none"/>
              </w:rPr>
              <w:t>/</w:t>
            </w:r>
          </w:p>
        </w:tc>
        <w:tc>
          <w:tcPr>
            <w:tcW w:w="1559" w:type="dxa"/>
            <w:noWrap w:val="0"/>
            <w:vAlign w:val="center"/>
          </w:tcPr>
          <w:p w14:paraId="3A3B6E22">
            <w:pPr>
              <w:pStyle w:val="37"/>
              <w:spacing w:beforeLines="0" w:afterLines="0" w:line="240" w:lineRule="auto"/>
              <w:rPr>
                <w:rFonts w:hAnsi="宋体" w:cs="宋体"/>
                <w:snapToGrid w:val="0"/>
                <w:color w:val="auto"/>
                <w:kern w:val="21"/>
                <w:szCs w:val="21"/>
                <w:highlight w:val="none"/>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0.1t/a</w:t>
            </w:r>
          </w:p>
        </w:tc>
        <w:tc>
          <w:tcPr>
            <w:tcW w:w="1761" w:type="dxa"/>
            <w:shd w:val="clear" w:color="auto" w:fill="auto"/>
            <w:noWrap w:val="0"/>
            <w:vAlign w:val="center"/>
          </w:tcPr>
          <w:p w14:paraId="6C2681BC">
            <w:pPr>
              <w:pStyle w:val="37"/>
              <w:spacing w:beforeLines="0" w:afterLines="0" w:line="240" w:lineRule="auto"/>
              <w:rPr>
                <w:rFonts w:ascii="宋体" w:hAnsi="宋体" w:eastAsia="宋体" w:cs="宋体"/>
                <w:snapToGrid w:val="0"/>
                <w:color w:val="auto"/>
                <w:kern w:val="21"/>
                <w:sz w:val="21"/>
                <w:szCs w:val="21"/>
                <w:highlight w:val="none"/>
                <w:lang w:val="en-US" w:eastAsia="zh-CN" w:bidi="ar-SA"/>
              </w:rPr>
            </w:pPr>
            <w:r>
              <w:rPr>
                <w:rFonts w:hint="eastAsia" w:ascii="Times New Roman"/>
                <w:snapToGrid w:val="0"/>
                <w:color w:val="auto"/>
                <w:kern w:val="21"/>
                <w:sz w:val="21"/>
                <w:szCs w:val="21"/>
                <w:highlight w:val="none"/>
              </w:rPr>
              <w:t>/</w:t>
            </w:r>
          </w:p>
        </w:tc>
        <w:tc>
          <w:tcPr>
            <w:tcW w:w="1959" w:type="dxa"/>
            <w:shd w:val="clear" w:color="auto" w:fill="auto"/>
            <w:noWrap w:val="0"/>
            <w:vAlign w:val="center"/>
          </w:tcPr>
          <w:p w14:paraId="2B9FE817">
            <w:pPr>
              <w:pStyle w:val="37"/>
              <w:spacing w:beforeLines="0" w:afterLines="0" w:line="240" w:lineRule="auto"/>
              <w:rPr>
                <w:rFonts w:hint="default" w:ascii="Times New Roman" w:hAnsi="宋体" w:eastAsia="宋体" w:cs="宋体"/>
                <w:snapToGrid w:val="0"/>
                <w:color w:val="auto"/>
                <w:kern w:val="21"/>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0.1t/a</w:t>
            </w:r>
          </w:p>
        </w:tc>
        <w:tc>
          <w:tcPr>
            <w:tcW w:w="1210" w:type="dxa"/>
            <w:noWrap w:val="0"/>
            <w:vAlign w:val="center"/>
          </w:tcPr>
          <w:p w14:paraId="21312BA6">
            <w:pPr>
              <w:pStyle w:val="37"/>
              <w:spacing w:beforeLines="0" w:afterLines="0" w:line="240" w:lineRule="auto"/>
              <w:rPr>
                <w:rFonts w:hint="eastAsia" w:ascii="Times New Roman" w:hAnsi="宋体" w:eastAsia="宋体" w:cs="宋体"/>
                <w:snapToGrid w:val="0"/>
                <w:color w:val="auto"/>
                <w:kern w:val="21"/>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0.1t/a</w:t>
            </w:r>
          </w:p>
        </w:tc>
      </w:tr>
      <w:tr w14:paraId="70FA2B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32" w:type="dxa"/>
            <w:vMerge w:val="continue"/>
            <w:noWrap w:val="0"/>
            <w:vAlign w:val="center"/>
          </w:tcPr>
          <w:p w14:paraId="2F321ACA">
            <w:pPr>
              <w:pStyle w:val="37"/>
              <w:spacing w:beforeLines="0" w:afterLines="0" w:line="240" w:lineRule="auto"/>
              <w:rPr>
                <w:rFonts w:hAnsi="宋体" w:cs="宋体"/>
                <w:snapToGrid w:val="0"/>
                <w:color w:val="auto"/>
                <w:kern w:val="21"/>
                <w:szCs w:val="21"/>
                <w:highlight w:val="none"/>
              </w:rPr>
            </w:pPr>
          </w:p>
        </w:tc>
        <w:tc>
          <w:tcPr>
            <w:tcW w:w="1913" w:type="dxa"/>
            <w:noWrap w:val="0"/>
            <w:vAlign w:val="center"/>
          </w:tcPr>
          <w:p w14:paraId="6E63AC92">
            <w:pPr>
              <w:pStyle w:val="37"/>
              <w:spacing w:beforeLines="0" w:afterLines="0" w:line="240" w:lineRule="auto"/>
              <w:rPr>
                <w:rFonts w:hAnsi="宋体" w:cs="宋体"/>
                <w:snapToGrid w:val="0"/>
                <w:color w:val="auto"/>
                <w:kern w:val="21"/>
                <w:szCs w:val="21"/>
                <w:highlight w:val="none"/>
              </w:rPr>
            </w:pPr>
            <w:r>
              <w:rPr>
                <w:rFonts w:hint="eastAsia" w:ascii="Times New Roman" w:hAnsi="Times New Roman" w:eastAsia="宋体" w:cs="Times New Roman"/>
                <w:color w:val="auto"/>
                <w:kern w:val="0"/>
                <w:sz w:val="21"/>
                <w:szCs w:val="21"/>
                <w:highlight w:val="none"/>
                <w:lang w:val="en-US" w:eastAsia="zh-CN"/>
              </w:rPr>
              <w:t>废弃包装物</w:t>
            </w:r>
          </w:p>
        </w:tc>
        <w:tc>
          <w:tcPr>
            <w:tcW w:w="1701" w:type="dxa"/>
            <w:noWrap w:val="0"/>
            <w:vAlign w:val="center"/>
          </w:tcPr>
          <w:p w14:paraId="6183A5C3">
            <w:pPr>
              <w:widowControl/>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宋体" w:eastAsia="宋体" w:cs="宋体"/>
                <w:snapToGrid w:val="0"/>
                <w:color w:val="auto"/>
                <w:kern w:val="21"/>
                <w:szCs w:val="21"/>
                <w:highlight w:val="none"/>
                <w:lang w:val="en-US" w:eastAsia="zh-CN"/>
              </w:rPr>
              <w:t>/</w:t>
            </w:r>
          </w:p>
        </w:tc>
        <w:tc>
          <w:tcPr>
            <w:tcW w:w="1276" w:type="dxa"/>
            <w:noWrap w:val="0"/>
            <w:vAlign w:val="center"/>
          </w:tcPr>
          <w:p w14:paraId="0F8CC5ED">
            <w:pPr>
              <w:widowControl/>
              <w:spacing w:line="240" w:lineRule="auto"/>
              <w:jc w:val="center"/>
              <w:rPr>
                <w:rFonts w:hint="eastAsia" w:ascii="Times New Roman" w:hAnsi="宋体" w:eastAsia="宋体" w:cs="宋体"/>
                <w:snapToGrid w:val="0"/>
                <w:color w:val="auto"/>
                <w:kern w:val="21"/>
                <w:szCs w:val="21"/>
                <w:highlight w:val="none"/>
                <w:lang w:val="en-US" w:eastAsia="zh-CN"/>
              </w:rPr>
            </w:pPr>
            <w:r>
              <w:rPr>
                <w:rFonts w:hint="eastAsia" w:ascii="Times New Roman" w:hAnsi="宋体" w:eastAsia="宋体" w:cs="宋体"/>
                <w:snapToGrid w:val="0"/>
                <w:color w:val="auto"/>
                <w:kern w:val="21"/>
                <w:szCs w:val="21"/>
                <w:highlight w:val="none"/>
                <w:lang w:val="en-US" w:eastAsia="zh-CN"/>
              </w:rPr>
              <w:t>/</w:t>
            </w:r>
          </w:p>
        </w:tc>
        <w:tc>
          <w:tcPr>
            <w:tcW w:w="1701" w:type="dxa"/>
            <w:noWrap w:val="0"/>
            <w:vAlign w:val="center"/>
          </w:tcPr>
          <w:p w14:paraId="426C2975">
            <w:pPr>
              <w:widowControl/>
              <w:spacing w:line="240" w:lineRule="auto"/>
              <w:jc w:val="center"/>
              <w:rPr>
                <w:rFonts w:hint="eastAsia" w:ascii="Times New Roman" w:hAnsi="宋体" w:eastAsia="宋体" w:cs="宋体"/>
                <w:snapToGrid w:val="0"/>
                <w:color w:val="auto"/>
                <w:kern w:val="21"/>
                <w:szCs w:val="21"/>
                <w:highlight w:val="none"/>
                <w:lang w:val="en-US" w:eastAsia="zh-CN"/>
              </w:rPr>
            </w:pPr>
            <w:r>
              <w:rPr>
                <w:rFonts w:hint="eastAsia" w:ascii="Times New Roman" w:hAnsi="宋体" w:eastAsia="宋体" w:cs="宋体"/>
                <w:snapToGrid w:val="0"/>
                <w:color w:val="auto"/>
                <w:kern w:val="21"/>
                <w:szCs w:val="21"/>
                <w:highlight w:val="none"/>
                <w:lang w:val="en-US" w:eastAsia="zh-CN"/>
              </w:rPr>
              <w:t>/</w:t>
            </w:r>
          </w:p>
        </w:tc>
        <w:tc>
          <w:tcPr>
            <w:tcW w:w="1559" w:type="dxa"/>
            <w:noWrap w:val="0"/>
            <w:vAlign w:val="center"/>
          </w:tcPr>
          <w:p w14:paraId="006764BB">
            <w:pPr>
              <w:widowControl/>
              <w:spacing w:line="240" w:lineRule="auto"/>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1t/a</w:t>
            </w:r>
          </w:p>
        </w:tc>
        <w:tc>
          <w:tcPr>
            <w:tcW w:w="1761" w:type="dxa"/>
            <w:noWrap w:val="0"/>
            <w:vAlign w:val="center"/>
          </w:tcPr>
          <w:p w14:paraId="5EAA46C9">
            <w:pPr>
              <w:pStyle w:val="37"/>
              <w:spacing w:beforeLines="0" w:afterLines="0" w:line="240" w:lineRule="auto"/>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snapToGrid w:val="0"/>
                <w:color w:val="auto"/>
                <w:kern w:val="21"/>
                <w:sz w:val="21"/>
                <w:szCs w:val="21"/>
                <w:highlight w:val="none"/>
              </w:rPr>
              <w:t>/</w:t>
            </w:r>
          </w:p>
        </w:tc>
        <w:tc>
          <w:tcPr>
            <w:tcW w:w="1959" w:type="dxa"/>
            <w:noWrap w:val="0"/>
            <w:vAlign w:val="center"/>
          </w:tcPr>
          <w:p w14:paraId="6380CEE2">
            <w:pPr>
              <w:pStyle w:val="37"/>
              <w:spacing w:beforeLines="0" w:afterLines="0" w:line="240" w:lineRule="auto"/>
              <w:rPr>
                <w:rFonts w:hint="eastAsia"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1t/a</w:t>
            </w:r>
          </w:p>
        </w:tc>
        <w:tc>
          <w:tcPr>
            <w:tcW w:w="1210" w:type="dxa"/>
            <w:noWrap w:val="0"/>
            <w:vAlign w:val="center"/>
          </w:tcPr>
          <w:p w14:paraId="22B9D7AF">
            <w:pPr>
              <w:pStyle w:val="37"/>
              <w:spacing w:beforeLines="0" w:afterLines="0" w:line="240" w:lineRule="auto"/>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1t/a</w:t>
            </w:r>
          </w:p>
        </w:tc>
      </w:tr>
      <w:tr w14:paraId="1A9127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432" w:type="dxa"/>
            <w:vMerge w:val="continue"/>
            <w:noWrap w:val="0"/>
            <w:vAlign w:val="center"/>
          </w:tcPr>
          <w:p w14:paraId="4E6D8411">
            <w:pPr>
              <w:pStyle w:val="37"/>
              <w:spacing w:beforeLines="0" w:afterLines="0" w:line="240" w:lineRule="auto"/>
              <w:rPr>
                <w:rFonts w:hAnsi="宋体" w:cs="宋体"/>
                <w:snapToGrid w:val="0"/>
                <w:color w:val="auto"/>
                <w:kern w:val="21"/>
                <w:szCs w:val="21"/>
                <w:highlight w:val="none"/>
              </w:rPr>
            </w:pPr>
          </w:p>
        </w:tc>
        <w:tc>
          <w:tcPr>
            <w:tcW w:w="1913" w:type="dxa"/>
            <w:noWrap w:val="0"/>
            <w:vAlign w:val="center"/>
          </w:tcPr>
          <w:p w14:paraId="7E2646A2">
            <w:pPr>
              <w:pStyle w:val="37"/>
              <w:spacing w:beforeLines="0" w:afterLines="0" w:line="240" w:lineRule="auto"/>
              <w:rPr>
                <w:rFonts w:hint="eastAsia" w:cs="Times New Roman"/>
                <w:color w:val="auto"/>
                <w:kern w:val="0"/>
                <w:sz w:val="21"/>
                <w:szCs w:val="21"/>
                <w:highlight w:val="none"/>
                <w:lang w:val="en-US" w:eastAsia="zh-CN" w:bidi="ar-SA"/>
              </w:rPr>
            </w:pPr>
            <w:r>
              <w:rPr>
                <w:rFonts w:hint="eastAsia"/>
                <w:color w:val="auto"/>
                <w:sz w:val="21"/>
                <w:szCs w:val="21"/>
                <w:highlight w:val="none"/>
                <w:lang w:val="en-US" w:eastAsia="zh-CN"/>
              </w:rPr>
              <w:t>锅炉炉渣</w:t>
            </w:r>
          </w:p>
        </w:tc>
        <w:tc>
          <w:tcPr>
            <w:tcW w:w="1701" w:type="dxa"/>
            <w:noWrap w:val="0"/>
            <w:vAlign w:val="center"/>
          </w:tcPr>
          <w:p w14:paraId="329335A8">
            <w:pPr>
              <w:widowControl/>
              <w:spacing w:line="240" w:lineRule="auto"/>
              <w:jc w:val="center"/>
              <w:rPr>
                <w:rFonts w:hint="eastAsia" w:ascii="Times New Roman" w:hAnsi="宋体" w:eastAsia="宋体" w:cs="宋体"/>
                <w:snapToGrid w:val="0"/>
                <w:color w:val="auto"/>
                <w:kern w:val="21"/>
                <w:szCs w:val="21"/>
                <w:highlight w:val="none"/>
                <w:lang w:val="en-US" w:eastAsia="zh-CN"/>
              </w:rPr>
            </w:pPr>
            <w:r>
              <w:rPr>
                <w:rFonts w:hint="eastAsia" w:ascii="Times New Roman" w:hAnsi="宋体" w:eastAsia="宋体" w:cs="宋体"/>
                <w:snapToGrid w:val="0"/>
                <w:color w:val="auto"/>
                <w:kern w:val="21"/>
                <w:szCs w:val="21"/>
                <w:highlight w:val="none"/>
                <w:lang w:val="en-US" w:eastAsia="zh-CN"/>
              </w:rPr>
              <w:t>/</w:t>
            </w:r>
          </w:p>
        </w:tc>
        <w:tc>
          <w:tcPr>
            <w:tcW w:w="1276" w:type="dxa"/>
            <w:noWrap w:val="0"/>
            <w:vAlign w:val="center"/>
          </w:tcPr>
          <w:p w14:paraId="0998BB40">
            <w:pPr>
              <w:widowControl/>
              <w:spacing w:line="240" w:lineRule="auto"/>
              <w:jc w:val="center"/>
              <w:rPr>
                <w:rFonts w:hint="eastAsia" w:ascii="Times New Roman" w:hAnsi="宋体" w:eastAsia="宋体" w:cs="宋体"/>
                <w:snapToGrid w:val="0"/>
                <w:color w:val="auto"/>
                <w:kern w:val="21"/>
                <w:szCs w:val="21"/>
                <w:highlight w:val="none"/>
                <w:lang w:val="en-US" w:eastAsia="zh-CN"/>
              </w:rPr>
            </w:pPr>
            <w:r>
              <w:rPr>
                <w:rFonts w:hint="eastAsia" w:ascii="Times New Roman" w:hAnsi="宋体" w:eastAsia="宋体" w:cs="宋体"/>
                <w:snapToGrid w:val="0"/>
                <w:color w:val="auto"/>
                <w:kern w:val="21"/>
                <w:szCs w:val="21"/>
                <w:highlight w:val="none"/>
                <w:lang w:val="en-US" w:eastAsia="zh-CN"/>
              </w:rPr>
              <w:t>/</w:t>
            </w:r>
          </w:p>
        </w:tc>
        <w:tc>
          <w:tcPr>
            <w:tcW w:w="1701" w:type="dxa"/>
            <w:noWrap w:val="0"/>
            <w:vAlign w:val="center"/>
          </w:tcPr>
          <w:p w14:paraId="64E69D81">
            <w:pPr>
              <w:widowControl/>
              <w:spacing w:line="240" w:lineRule="auto"/>
              <w:jc w:val="center"/>
              <w:rPr>
                <w:rFonts w:hint="eastAsia" w:ascii="Times New Roman" w:hAnsi="宋体" w:eastAsia="宋体" w:cs="宋体"/>
                <w:snapToGrid w:val="0"/>
                <w:color w:val="auto"/>
                <w:kern w:val="21"/>
                <w:szCs w:val="21"/>
                <w:highlight w:val="none"/>
                <w:lang w:val="en-US" w:eastAsia="zh-CN"/>
              </w:rPr>
            </w:pPr>
            <w:r>
              <w:rPr>
                <w:rFonts w:hint="eastAsia" w:ascii="Times New Roman" w:hAnsi="宋体" w:eastAsia="宋体" w:cs="宋体"/>
                <w:snapToGrid w:val="0"/>
                <w:color w:val="auto"/>
                <w:kern w:val="21"/>
                <w:szCs w:val="21"/>
                <w:highlight w:val="none"/>
                <w:lang w:val="en-US" w:eastAsia="zh-CN"/>
              </w:rPr>
              <w:t>/</w:t>
            </w:r>
          </w:p>
        </w:tc>
        <w:tc>
          <w:tcPr>
            <w:tcW w:w="1559" w:type="dxa"/>
            <w:noWrap w:val="0"/>
            <w:vAlign w:val="center"/>
          </w:tcPr>
          <w:p w14:paraId="6CE62D33">
            <w:pPr>
              <w:widowControl/>
              <w:spacing w:line="240" w:lineRule="auto"/>
              <w:jc w:val="center"/>
              <w:rPr>
                <w:rFonts w:hAnsi="宋体" w:cs="宋体"/>
                <w:snapToGrid w:val="0"/>
                <w:color w:val="auto"/>
                <w:kern w:val="21"/>
                <w:szCs w:val="21"/>
                <w:highlight w:val="none"/>
              </w:rPr>
            </w:pPr>
            <w:r>
              <w:rPr>
                <w:rFonts w:hint="eastAsia" w:ascii="Times New Roman" w:hAnsi="Times New Roman" w:eastAsia="宋体" w:cs="Times New Roman"/>
                <w:color w:val="auto"/>
                <w:kern w:val="0"/>
                <w:sz w:val="21"/>
                <w:szCs w:val="21"/>
                <w:highlight w:val="none"/>
                <w:lang w:val="en-US" w:eastAsia="zh-CN"/>
              </w:rPr>
              <w:t>474.36</w:t>
            </w:r>
            <w:r>
              <w:rPr>
                <w:rFonts w:hint="eastAsia" w:ascii="Times New Roman" w:hAnsi="Times New Roman" w:eastAsia="宋体" w:cs="Times New Roman"/>
                <w:b w:val="0"/>
                <w:bCs w:val="0"/>
                <w:color w:val="auto"/>
                <w:kern w:val="2"/>
                <w:sz w:val="21"/>
                <w:szCs w:val="21"/>
                <w:highlight w:val="none"/>
                <w:vertAlign w:val="baseline"/>
                <w:lang w:val="en-US" w:eastAsia="zh-CN" w:bidi="ar-SA"/>
              </w:rPr>
              <w:t>t/a</w:t>
            </w:r>
          </w:p>
        </w:tc>
        <w:tc>
          <w:tcPr>
            <w:tcW w:w="1761" w:type="dxa"/>
            <w:noWrap w:val="0"/>
            <w:vAlign w:val="center"/>
          </w:tcPr>
          <w:p w14:paraId="0534F4DF">
            <w:pPr>
              <w:widowControl/>
              <w:spacing w:line="240" w:lineRule="auto"/>
              <w:jc w:val="center"/>
              <w:rPr>
                <w:rFonts w:hint="eastAsia" w:ascii="Times New Roman" w:hAnsi="宋体" w:eastAsia="宋体" w:cs="宋体"/>
                <w:snapToGrid w:val="0"/>
                <w:color w:val="auto"/>
                <w:kern w:val="21"/>
                <w:szCs w:val="21"/>
                <w:highlight w:val="none"/>
                <w:lang w:val="en-US" w:eastAsia="zh-CN"/>
              </w:rPr>
            </w:pPr>
            <w:r>
              <w:rPr>
                <w:rFonts w:hint="eastAsia" w:ascii="Times New Roman" w:hAnsi="宋体" w:eastAsia="宋体" w:cs="宋体"/>
                <w:snapToGrid w:val="0"/>
                <w:color w:val="auto"/>
                <w:kern w:val="21"/>
                <w:szCs w:val="21"/>
                <w:highlight w:val="none"/>
                <w:lang w:val="en-US" w:eastAsia="zh-CN"/>
              </w:rPr>
              <w:t>/</w:t>
            </w:r>
          </w:p>
        </w:tc>
        <w:tc>
          <w:tcPr>
            <w:tcW w:w="1959" w:type="dxa"/>
            <w:noWrap w:val="0"/>
            <w:vAlign w:val="center"/>
          </w:tcPr>
          <w:p w14:paraId="7ADA9A88">
            <w:pPr>
              <w:widowControl/>
              <w:spacing w:line="240" w:lineRule="auto"/>
              <w:jc w:val="center"/>
              <w:rPr>
                <w:rFonts w:hAnsi="宋体" w:cs="宋体"/>
                <w:snapToGrid w:val="0"/>
                <w:color w:val="auto"/>
                <w:kern w:val="21"/>
                <w:szCs w:val="21"/>
                <w:highlight w:val="none"/>
              </w:rPr>
            </w:pPr>
            <w:r>
              <w:rPr>
                <w:rFonts w:hint="eastAsia" w:ascii="Times New Roman" w:hAnsi="Times New Roman" w:eastAsia="宋体" w:cs="Times New Roman"/>
                <w:color w:val="auto"/>
                <w:kern w:val="0"/>
                <w:sz w:val="21"/>
                <w:szCs w:val="21"/>
                <w:highlight w:val="none"/>
                <w:lang w:val="en-US" w:eastAsia="zh-CN"/>
              </w:rPr>
              <w:t>474.36</w:t>
            </w:r>
            <w:r>
              <w:rPr>
                <w:rFonts w:hint="eastAsia" w:ascii="Times New Roman" w:hAnsi="Times New Roman" w:eastAsia="宋体" w:cs="Times New Roman"/>
                <w:b w:val="0"/>
                <w:bCs w:val="0"/>
                <w:color w:val="auto"/>
                <w:kern w:val="2"/>
                <w:sz w:val="21"/>
                <w:szCs w:val="21"/>
                <w:highlight w:val="none"/>
                <w:vertAlign w:val="baseline"/>
                <w:lang w:val="en-US" w:eastAsia="zh-CN" w:bidi="ar-SA"/>
              </w:rPr>
              <w:t>t/a</w:t>
            </w:r>
          </w:p>
        </w:tc>
        <w:tc>
          <w:tcPr>
            <w:tcW w:w="1210" w:type="dxa"/>
            <w:noWrap w:val="0"/>
            <w:vAlign w:val="center"/>
          </w:tcPr>
          <w:p w14:paraId="4AFBB8AB">
            <w:pPr>
              <w:widowControl/>
              <w:spacing w:line="240" w:lineRule="auto"/>
              <w:jc w:val="center"/>
              <w:rPr>
                <w:rFonts w:hint="eastAsia" w:ascii="Times New Roman" w:hAnsi="宋体" w:eastAsia="宋体" w:cs="宋体"/>
                <w:snapToGrid w:val="0"/>
                <w:color w:val="auto"/>
                <w:kern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474.36</w:t>
            </w:r>
            <w:r>
              <w:rPr>
                <w:rFonts w:hint="eastAsia" w:ascii="Times New Roman" w:hAnsi="Times New Roman" w:eastAsia="宋体" w:cs="Times New Roman"/>
                <w:b w:val="0"/>
                <w:bCs w:val="0"/>
                <w:color w:val="auto"/>
                <w:kern w:val="2"/>
                <w:sz w:val="21"/>
                <w:szCs w:val="21"/>
                <w:highlight w:val="none"/>
                <w:vertAlign w:val="baseline"/>
                <w:lang w:val="en-US" w:eastAsia="zh-CN" w:bidi="ar-SA"/>
              </w:rPr>
              <w:t>t/a</w:t>
            </w:r>
          </w:p>
        </w:tc>
      </w:tr>
      <w:tr w14:paraId="1F0758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32" w:type="dxa"/>
            <w:vMerge w:val="continue"/>
            <w:noWrap w:val="0"/>
            <w:vAlign w:val="center"/>
          </w:tcPr>
          <w:p w14:paraId="644D29C9">
            <w:pPr>
              <w:pStyle w:val="37"/>
              <w:spacing w:beforeLines="0" w:afterLines="0" w:line="240" w:lineRule="auto"/>
              <w:rPr>
                <w:rFonts w:hAnsi="宋体" w:cs="宋体"/>
                <w:snapToGrid w:val="0"/>
                <w:color w:val="auto"/>
                <w:kern w:val="21"/>
                <w:szCs w:val="21"/>
                <w:highlight w:val="none"/>
              </w:rPr>
            </w:pPr>
          </w:p>
        </w:tc>
        <w:tc>
          <w:tcPr>
            <w:tcW w:w="1913" w:type="dxa"/>
            <w:noWrap w:val="0"/>
            <w:vAlign w:val="center"/>
          </w:tcPr>
          <w:p w14:paraId="6B7E3BC0">
            <w:pPr>
              <w:pStyle w:val="37"/>
              <w:spacing w:beforeLines="0" w:afterLines="0" w:line="240" w:lineRule="auto"/>
              <w:rPr>
                <w:rFonts w:hint="default" w:cs="Times New Roman"/>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
              </w:rPr>
              <w:t>布袋除尘器收尘</w:t>
            </w:r>
          </w:p>
        </w:tc>
        <w:tc>
          <w:tcPr>
            <w:tcW w:w="1701" w:type="dxa"/>
            <w:noWrap w:val="0"/>
            <w:vAlign w:val="center"/>
          </w:tcPr>
          <w:p w14:paraId="18AF10E5">
            <w:pPr>
              <w:widowControl/>
              <w:spacing w:line="240" w:lineRule="auto"/>
              <w:jc w:val="center"/>
              <w:rPr>
                <w:rFonts w:hint="default" w:ascii="Times New Roman" w:hAnsi="宋体" w:eastAsia="宋体" w:cs="宋体"/>
                <w:snapToGrid w:val="0"/>
                <w:color w:val="auto"/>
                <w:kern w:val="21"/>
                <w:szCs w:val="21"/>
                <w:highlight w:val="none"/>
                <w:lang w:val="en-US" w:eastAsia="zh-CN"/>
              </w:rPr>
            </w:pPr>
            <w:r>
              <w:rPr>
                <w:rFonts w:hint="eastAsia" w:ascii="Times New Roman" w:hAnsi="宋体" w:eastAsia="宋体" w:cs="宋体"/>
                <w:snapToGrid w:val="0"/>
                <w:color w:val="auto"/>
                <w:kern w:val="21"/>
                <w:szCs w:val="21"/>
                <w:highlight w:val="none"/>
                <w:lang w:val="en-US" w:eastAsia="zh-CN"/>
              </w:rPr>
              <w:t>/</w:t>
            </w:r>
          </w:p>
        </w:tc>
        <w:tc>
          <w:tcPr>
            <w:tcW w:w="1276" w:type="dxa"/>
            <w:noWrap w:val="0"/>
            <w:vAlign w:val="center"/>
          </w:tcPr>
          <w:p w14:paraId="5F8636F6">
            <w:pPr>
              <w:widowControl/>
              <w:spacing w:line="240" w:lineRule="auto"/>
              <w:jc w:val="center"/>
              <w:rPr>
                <w:rFonts w:hint="eastAsia" w:ascii="Times New Roman" w:hAnsi="宋体" w:eastAsia="宋体" w:cs="宋体"/>
                <w:snapToGrid w:val="0"/>
                <w:color w:val="auto"/>
                <w:kern w:val="21"/>
                <w:szCs w:val="21"/>
                <w:highlight w:val="none"/>
                <w:lang w:val="en-US" w:eastAsia="zh-CN"/>
              </w:rPr>
            </w:pPr>
            <w:r>
              <w:rPr>
                <w:rFonts w:hint="eastAsia" w:ascii="Times New Roman" w:hAnsi="宋体" w:eastAsia="宋体" w:cs="宋体"/>
                <w:snapToGrid w:val="0"/>
                <w:color w:val="auto"/>
                <w:kern w:val="21"/>
                <w:szCs w:val="21"/>
                <w:highlight w:val="none"/>
                <w:lang w:val="en-US" w:eastAsia="zh-CN"/>
              </w:rPr>
              <w:t>/</w:t>
            </w:r>
          </w:p>
        </w:tc>
        <w:tc>
          <w:tcPr>
            <w:tcW w:w="1701" w:type="dxa"/>
            <w:noWrap w:val="0"/>
            <w:vAlign w:val="center"/>
          </w:tcPr>
          <w:p w14:paraId="55045A15">
            <w:pPr>
              <w:widowControl/>
              <w:spacing w:line="240" w:lineRule="auto"/>
              <w:jc w:val="center"/>
              <w:rPr>
                <w:rFonts w:hint="eastAsia" w:ascii="Times New Roman" w:hAnsi="宋体" w:eastAsia="宋体" w:cs="宋体"/>
                <w:snapToGrid w:val="0"/>
                <w:color w:val="auto"/>
                <w:kern w:val="21"/>
                <w:szCs w:val="21"/>
                <w:highlight w:val="none"/>
                <w:lang w:val="en-US" w:eastAsia="zh-CN"/>
              </w:rPr>
            </w:pPr>
            <w:r>
              <w:rPr>
                <w:rFonts w:hint="eastAsia" w:ascii="Times New Roman" w:hAnsi="宋体" w:eastAsia="宋体" w:cs="宋体"/>
                <w:snapToGrid w:val="0"/>
                <w:color w:val="auto"/>
                <w:kern w:val="21"/>
                <w:szCs w:val="21"/>
                <w:highlight w:val="none"/>
                <w:lang w:val="en-US" w:eastAsia="zh-CN"/>
              </w:rPr>
              <w:t>/</w:t>
            </w:r>
          </w:p>
        </w:tc>
        <w:tc>
          <w:tcPr>
            <w:tcW w:w="1559" w:type="dxa"/>
            <w:noWrap w:val="0"/>
            <w:vAlign w:val="center"/>
          </w:tcPr>
          <w:p w14:paraId="5F51BEE4">
            <w:pPr>
              <w:widowControl/>
              <w:spacing w:line="240" w:lineRule="auto"/>
              <w:jc w:val="center"/>
              <w:rPr>
                <w:rFonts w:hAnsi="宋体" w:cs="宋体"/>
                <w:snapToGrid w:val="0"/>
                <w:color w:val="auto"/>
                <w:kern w:val="21"/>
                <w:szCs w:val="21"/>
                <w:highlight w:val="none"/>
              </w:rPr>
            </w:pPr>
            <w:r>
              <w:rPr>
                <w:rFonts w:hint="eastAsia" w:cs="Times New Roman"/>
                <w:color w:val="auto"/>
                <w:sz w:val="21"/>
                <w:szCs w:val="21"/>
                <w:highlight w:val="none"/>
                <w:lang w:val="en-US" w:eastAsia="zh-CN" w:bidi="ar"/>
              </w:rPr>
              <w:t>299.4</w:t>
            </w:r>
            <w:r>
              <w:rPr>
                <w:rFonts w:hint="eastAsia" w:ascii="Times New Roman" w:hAnsi="Times New Roman" w:eastAsia="宋体" w:cs="Times New Roman"/>
                <w:b w:val="0"/>
                <w:bCs w:val="0"/>
                <w:color w:val="auto"/>
                <w:kern w:val="2"/>
                <w:sz w:val="21"/>
                <w:szCs w:val="21"/>
                <w:highlight w:val="none"/>
                <w:vertAlign w:val="baseline"/>
                <w:lang w:val="en-US" w:eastAsia="zh-CN" w:bidi="ar-SA"/>
              </w:rPr>
              <w:t>t/a</w:t>
            </w:r>
          </w:p>
        </w:tc>
        <w:tc>
          <w:tcPr>
            <w:tcW w:w="1761" w:type="dxa"/>
            <w:noWrap w:val="0"/>
            <w:vAlign w:val="center"/>
          </w:tcPr>
          <w:p w14:paraId="58182D16">
            <w:pPr>
              <w:widowControl/>
              <w:spacing w:line="240" w:lineRule="auto"/>
              <w:jc w:val="center"/>
              <w:rPr>
                <w:rFonts w:hint="eastAsia" w:ascii="Times New Roman" w:hAnsi="宋体" w:eastAsia="宋体" w:cs="宋体"/>
                <w:snapToGrid w:val="0"/>
                <w:color w:val="auto"/>
                <w:kern w:val="21"/>
                <w:szCs w:val="21"/>
                <w:highlight w:val="none"/>
                <w:lang w:val="en-US" w:eastAsia="zh-CN"/>
              </w:rPr>
            </w:pPr>
            <w:r>
              <w:rPr>
                <w:rFonts w:hint="eastAsia" w:ascii="Times New Roman" w:hAnsi="宋体" w:eastAsia="宋体" w:cs="宋体"/>
                <w:snapToGrid w:val="0"/>
                <w:color w:val="auto"/>
                <w:kern w:val="21"/>
                <w:szCs w:val="21"/>
                <w:highlight w:val="none"/>
                <w:lang w:val="en-US" w:eastAsia="zh-CN"/>
              </w:rPr>
              <w:t>/</w:t>
            </w:r>
          </w:p>
        </w:tc>
        <w:tc>
          <w:tcPr>
            <w:tcW w:w="1959" w:type="dxa"/>
            <w:noWrap w:val="0"/>
            <w:vAlign w:val="center"/>
          </w:tcPr>
          <w:p w14:paraId="1D406E4A">
            <w:pPr>
              <w:widowControl/>
              <w:spacing w:line="240" w:lineRule="auto"/>
              <w:jc w:val="center"/>
              <w:rPr>
                <w:rFonts w:hAnsi="宋体" w:cs="宋体"/>
                <w:snapToGrid w:val="0"/>
                <w:color w:val="auto"/>
                <w:kern w:val="21"/>
                <w:szCs w:val="21"/>
                <w:highlight w:val="none"/>
              </w:rPr>
            </w:pPr>
            <w:r>
              <w:rPr>
                <w:rFonts w:hint="eastAsia" w:cs="Times New Roman"/>
                <w:color w:val="auto"/>
                <w:sz w:val="21"/>
                <w:szCs w:val="21"/>
                <w:highlight w:val="none"/>
                <w:lang w:val="en-US" w:eastAsia="zh-CN" w:bidi="ar"/>
              </w:rPr>
              <w:t>299.4</w:t>
            </w:r>
            <w:r>
              <w:rPr>
                <w:rFonts w:hint="eastAsia" w:ascii="Times New Roman" w:hAnsi="Times New Roman" w:eastAsia="宋体" w:cs="Times New Roman"/>
                <w:b w:val="0"/>
                <w:bCs w:val="0"/>
                <w:color w:val="auto"/>
                <w:kern w:val="2"/>
                <w:sz w:val="21"/>
                <w:szCs w:val="21"/>
                <w:highlight w:val="none"/>
                <w:vertAlign w:val="baseline"/>
                <w:lang w:val="en-US" w:eastAsia="zh-CN" w:bidi="ar-SA"/>
              </w:rPr>
              <w:t>t/a</w:t>
            </w:r>
          </w:p>
        </w:tc>
        <w:tc>
          <w:tcPr>
            <w:tcW w:w="1210" w:type="dxa"/>
            <w:noWrap w:val="0"/>
            <w:vAlign w:val="center"/>
          </w:tcPr>
          <w:p w14:paraId="1C8A4E34">
            <w:pPr>
              <w:widowControl/>
              <w:spacing w:line="240" w:lineRule="auto"/>
              <w:jc w:val="center"/>
              <w:rPr>
                <w:rFonts w:hint="eastAsia" w:ascii="Times New Roman" w:hAnsi="宋体" w:eastAsia="宋体" w:cs="宋体"/>
                <w:snapToGrid w:val="0"/>
                <w:color w:val="auto"/>
                <w:kern w:val="21"/>
                <w:szCs w:val="21"/>
                <w:highlight w:val="none"/>
                <w:lang w:val="en-US" w:eastAsia="zh-CN"/>
              </w:rPr>
            </w:pPr>
            <w:r>
              <w:rPr>
                <w:rFonts w:hint="eastAsia" w:cs="Times New Roman"/>
                <w:color w:val="auto"/>
                <w:sz w:val="21"/>
                <w:szCs w:val="21"/>
                <w:highlight w:val="none"/>
                <w:lang w:val="en-US" w:eastAsia="zh-CN" w:bidi="ar"/>
              </w:rPr>
              <w:t>299.4</w:t>
            </w:r>
            <w:r>
              <w:rPr>
                <w:rFonts w:hint="eastAsia" w:ascii="Times New Roman" w:hAnsi="Times New Roman" w:eastAsia="宋体" w:cs="Times New Roman"/>
                <w:b w:val="0"/>
                <w:bCs w:val="0"/>
                <w:color w:val="auto"/>
                <w:kern w:val="2"/>
                <w:sz w:val="21"/>
                <w:szCs w:val="21"/>
                <w:highlight w:val="none"/>
                <w:vertAlign w:val="baseline"/>
                <w:lang w:val="en-US" w:eastAsia="zh-CN" w:bidi="ar-SA"/>
              </w:rPr>
              <w:t>t/a</w:t>
            </w:r>
          </w:p>
        </w:tc>
      </w:tr>
      <w:tr w14:paraId="69D88C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32" w:type="dxa"/>
            <w:vMerge w:val="continue"/>
            <w:noWrap w:val="0"/>
            <w:vAlign w:val="center"/>
          </w:tcPr>
          <w:p w14:paraId="05719109">
            <w:pPr>
              <w:pStyle w:val="37"/>
              <w:spacing w:beforeLines="0" w:afterLines="0" w:line="240" w:lineRule="auto"/>
              <w:rPr>
                <w:rFonts w:hAnsi="宋体" w:cs="宋体"/>
                <w:snapToGrid w:val="0"/>
                <w:color w:val="auto"/>
                <w:kern w:val="21"/>
                <w:szCs w:val="21"/>
                <w:highlight w:val="none"/>
              </w:rPr>
            </w:pPr>
          </w:p>
        </w:tc>
        <w:tc>
          <w:tcPr>
            <w:tcW w:w="1913" w:type="dxa"/>
            <w:noWrap w:val="0"/>
            <w:vAlign w:val="center"/>
          </w:tcPr>
          <w:p w14:paraId="79BC2A9C">
            <w:pPr>
              <w:pStyle w:val="37"/>
              <w:spacing w:beforeLines="0" w:afterLines="0" w:line="240" w:lineRule="auto"/>
              <w:rPr>
                <w:rFonts w:hint="eastAsia" w:cs="Times New Roman"/>
                <w:color w:val="auto"/>
                <w:kern w:val="0"/>
                <w:sz w:val="21"/>
                <w:szCs w:val="21"/>
                <w:highlight w:val="none"/>
                <w:lang w:val="en-US" w:eastAsia="zh-CN" w:bidi="ar-SA"/>
              </w:rPr>
            </w:pPr>
            <w:r>
              <w:rPr>
                <w:rFonts w:hint="eastAsia" w:cs="Times New Roman"/>
                <w:color w:val="auto"/>
                <w:kern w:val="2"/>
                <w:sz w:val="21"/>
                <w:szCs w:val="21"/>
                <w:highlight w:val="none"/>
                <w:lang w:val="en-US" w:eastAsia="zh-CN" w:bidi="ar"/>
              </w:rPr>
              <w:t>废弃离子交换树脂</w:t>
            </w:r>
          </w:p>
        </w:tc>
        <w:tc>
          <w:tcPr>
            <w:tcW w:w="1701" w:type="dxa"/>
            <w:noWrap w:val="0"/>
            <w:vAlign w:val="center"/>
          </w:tcPr>
          <w:p w14:paraId="2A1782D4">
            <w:pPr>
              <w:widowControl/>
              <w:spacing w:line="240" w:lineRule="auto"/>
              <w:jc w:val="center"/>
              <w:rPr>
                <w:rFonts w:hint="eastAsia" w:ascii="Times New Roman" w:hAnsi="宋体" w:eastAsia="宋体" w:cs="宋体"/>
                <w:snapToGrid w:val="0"/>
                <w:color w:val="auto"/>
                <w:kern w:val="21"/>
                <w:szCs w:val="21"/>
                <w:highlight w:val="none"/>
                <w:lang w:val="en-US" w:eastAsia="zh-CN"/>
              </w:rPr>
            </w:pPr>
            <w:r>
              <w:rPr>
                <w:rFonts w:hint="eastAsia" w:ascii="Times New Roman" w:hAnsi="宋体" w:eastAsia="宋体" w:cs="宋体"/>
                <w:snapToGrid w:val="0"/>
                <w:color w:val="auto"/>
                <w:kern w:val="21"/>
                <w:szCs w:val="21"/>
                <w:highlight w:val="none"/>
                <w:lang w:val="en-US" w:eastAsia="zh-CN"/>
              </w:rPr>
              <w:t>/</w:t>
            </w:r>
          </w:p>
        </w:tc>
        <w:tc>
          <w:tcPr>
            <w:tcW w:w="1276" w:type="dxa"/>
            <w:noWrap w:val="0"/>
            <w:vAlign w:val="center"/>
          </w:tcPr>
          <w:p w14:paraId="2BA0B812">
            <w:pPr>
              <w:widowControl/>
              <w:spacing w:line="240" w:lineRule="auto"/>
              <w:jc w:val="center"/>
              <w:rPr>
                <w:rFonts w:hint="eastAsia" w:ascii="Times New Roman" w:hAnsi="宋体" w:eastAsia="宋体" w:cs="宋体"/>
                <w:snapToGrid w:val="0"/>
                <w:color w:val="auto"/>
                <w:kern w:val="21"/>
                <w:szCs w:val="21"/>
                <w:highlight w:val="none"/>
                <w:lang w:val="en-US" w:eastAsia="zh-CN"/>
              </w:rPr>
            </w:pPr>
            <w:r>
              <w:rPr>
                <w:rFonts w:hint="eastAsia" w:ascii="Times New Roman" w:hAnsi="宋体" w:eastAsia="宋体" w:cs="宋体"/>
                <w:snapToGrid w:val="0"/>
                <w:color w:val="auto"/>
                <w:kern w:val="21"/>
                <w:szCs w:val="21"/>
                <w:highlight w:val="none"/>
                <w:lang w:val="en-US" w:eastAsia="zh-CN"/>
              </w:rPr>
              <w:t>/</w:t>
            </w:r>
          </w:p>
        </w:tc>
        <w:tc>
          <w:tcPr>
            <w:tcW w:w="1701" w:type="dxa"/>
            <w:noWrap w:val="0"/>
            <w:vAlign w:val="center"/>
          </w:tcPr>
          <w:p w14:paraId="3A98362C">
            <w:pPr>
              <w:widowControl/>
              <w:spacing w:line="240" w:lineRule="auto"/>
              <w:jc w:val="center"/>
              <w:rPr>
                <w:rFonts w:hint="eastAsia" w:ascii="Times New Roman" w:hAnsi="宋体" w:eastAsia="宋体" w:cs="宋体"/>
                <w:snapToGrid w:val="0"/>
                <w:color w:val="auto"/>
                <w:kern w:val="21"/>
                <w:szCs w:val="21"/>
                <w:highlight w:val="none"/>
                <w:lang w:val="en-US" w:eastAsia="zh-CN"/>
              </w:rPr>
            </w:pPr>
            <w:r>
              <w:rPr>
                <w:rFonts w:hint="eastAsia" w:ascii="Times New Roman" w:hAnsi="宋体" w:eastAsia="宋体" w:cs="宋体"/>
                <w:snapToGrid w:val="0"/>
                <w:color w:val="auto"/>
                <w:kern w:val="21"/>
                <w:szCs w:val="21"/>
                <w:highlight w:val="none"/>
                <w:lang w:val="en-US" w:eastAsia="zh-CN"/>
              </w:rPr>
              <w:t>/</w:t>
            </w:r>
          </w:p>
        </w:tc>
        <w:tc>
          <w:tcPr>
            <w:tcW w:w="1559" w:type="dxa"/>
            <w:noWrap w:val="0"/>
            <w:vAlign w:val="center"/>
          </w:tcPr>
          <w:p w14:paraId="4B3D6F56">
            <w:pPr>
              <w:pStyle w:val="37"/>
              <w:spacing w:beforeLines="0" w:afterLines="0" w:line="240" w:lineRule="auto"/>
              <w:rPr>
                <w:rFonts w:hAnsi="宋体" w:cs="宋体"/>
                <w:snapToGrid w:val="0"/>
                <w:color w:val="auto"/>
                <w:kern w:val="21"/>
                <w:szCs w:val="21"/>
                <w:highlight w:val="none"/>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0.</w:t>
            </w:r>
            <w:r>
              <w:rPr>
                <w:rFonts w:hint="eastAsia" w:ascii="Times New Roman" w:hAnsi="Times New Roman" w:cs="Times New Roman"/>
                <w:b w:val="0"/>
                <w:bCs w:val="0"/>
                <w:color w:val="auto"/>
                <w:kern w:val="2"/>
                <w:sz w:val="21"/>
                <w:szCs w:val="21"/>
                <w:highlight w:val="none"/>
                <w:vertAlign w:val="baseline"/>
                <w:lang w:val="en-US" w:eastAsia="zh-CN" w:bidi="ar-SA"/>
              </w:rPr>
              <w:t>1</w:t>
            </w:r>
            <w:r>
              <w:rPr>
                <w:rFonts w:hint="eastAsia" w:ascii="Times New Roman" w:hAnsi="Times New Roman" w:eastAsia="宋体" w:cs="Times New Roman"/>
                <w:b w:val="0"/>
                <w:bCs w:val="0"/>
                <w:color w:val="auto"/>
                <w:kern w:val="2"/>
                <w:sz w:val="21"/>
                <w:szCs w:val="21"/>
                <w:highlight w:val="none"/>
                <w:vertAlign w:val="baseline"/>
                <w:lang w:val="en-US" w:eastAsia="zh-CN" w:bidi="ar-SA"/>
              </w:rPr>
              <w:t>t/3a</w:t>
            </w:r>
          </w:p>
        </w:tc>
        <w:tc>
          <w:tcPr>
            <w:tcW w:w="1761" w:type="dxa"/>
            <w:noWrap w:val="0"/>
            <w:vAlign w:val="center"/>
          </w:tcPr>
          <w:p w14:paraId="4D805AB8">
            <w:pPr>
              <w:widowControl/>
              <w:spacing w:line="240" w:lineRule="auto"/>
              <w:jc w:val="center"/>
              <w:rPr>
                <w:rFonts w:hint="eastAsia" w:ascii="Times New Roman" w:hAnsi="宋体" w:eastAsia="宋体" w:cs="宋体"/>
                <w:snapToGrid w:val="0"/>
                <w:color w:val="auto"/>
                <w:kern w:val="21"/>
                <w:szCs w:val="21"/>
                <w:highlight w:val="none"/>
                <w:lang w:val="en-US" w:eastAsia="zh-CN"/>
              </w:rPr>
            </w:pPr>
            <w:r>
              <w:rPr>
                <w:rFonts w:hint="eastAsia" w:ascii="Times New Roman" w:hAnsi="宋体" w:eastAsia="宋体" w:cs="宋体"/>
                <w:snapToGrid w:val="0"/>
                <w:color w:val="auto"/>
                <w:kern w:val="21"/>
                <w:szCs w:val="21"/>
                <w:highlight w:val="none"/>
                <w:lang w:val="en-US" w:eastAsia="zh-CN"/>
              </w:rPr>
              <w:t>/</w:t>
            </w:r>
          </w:p>
        </w:tc>
        <w:tc>
          <w:tcPr>
            <w:tcW w:w="1959" w:type="dxa"/>
            <w:noWrap w:val="0"/>
            <w:vAlign w:val="center"/>
          </w:tcPr>
          <w:p w14:paraId="476A3D53">
            <w:pPr>
              <w:pStyle w:val="37"/>
              <w:spacing w:beforeLines="0" w:afterLines="0" w:line="240" w:lineRule="auto"/>
              <w:rPr>
                <w:rFonts w:hAnsi="宋体" w:cs="宋体"/>
                <w:snapToGrid w:val="0"/>
                <w:color w:val="auto"/>
                <w:kern w:val="21"/>
                <w:szCs w:val="21"/>
                <w:highlight w:val="none"/>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0.</w:t>
            </w:r>
            <w:r>
              <w:rPr>
                <w:rFonts w:hint="eastAsia" w:ascii="Times New Roman" w:hAnsi="Times New Roman" w:cs="Times New Roman"/>
                <w:b w:val="0"/>
                <w:bCs w:val="0"/>
                <w:color w:val="auto"/>
                <w:kern w:val="2"/>
                <w:sz w:val="21"/>
                <w:szCs w:val="21"/>
                <w:highlight w:val="none"/>
                <w:vertAlign w:val="baseline"/>
                <w:lang w:val="en-US" w:eastAsia="zh-CN" w:bidi="ar-SA"/>
              </w:rPr>
              <w:t>1</w:t>
            </w:r>
            <w:r>
              <w:rPr>
                <w:rFonts w:hint="eastAsia" w:ascii="Times New Roman" w:hAnsi="Times New Roman" w:eastAsia="宋体" w:cs="Times New Roman"/>
                <w:b w:val="0"/>
                <w:bCs w:val="0"/>
                <w:color w:val="auto"/>
                <w:kern w:val="2"/>
                <w:sz w:val="21"/>
                <w:szCs w:val="21"/>
                <w:highlight w:val="none"/>
                <w:vertAlign w:val="baseline"/>
                <w:lang w:val="en-US" w:eastAsia="zh-CN" w:bidi="ar-SA"/>
              </w:rPr>
              <w:t>t/3a</w:t>
            </w:r>
          </w:p>
        </w:tc>
        <w:tc>
          <w:tcPr>
            <w:tcW w:w="1210" w:type="dxa"/>
            <w:noWrap w:val="0"/>
            <w:vAlign w:val="center"/>
          </w:tcPr>
          <w:p w14:paraId="0888C1BC">
            <w:pPr>
              <w:pStyle w:val="37"/>
              <w:spacing w:beforeLines="0" w:afterLines="0" w:line="240" w:lineRule="auto"/>
              <w:rPr>
                <w:rFonts w:hint="eastAsia" w:ascii="Times New Roman" w:hAnsi="宋体" w:eastAsia="宋体" w:cs="宋体"/>
                <w:snapToGrid w:val="0"/>
                <w:color w:val="auto"/>
                <w:kern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vertAlign w:val="baseline"/>
                <w:lang w:val="en-US" w:eastAsia="zh-CN" w:bidi="ar-SA"/>
              </w:rPr>
              <w:t>0.</w:t>
            </w:r>
            <w:r>
              <w:rPr>
                <w:rFonts w:hint="eastAsia" w:ascii="Times New Roman" w:hAnsi="Times New Roman" w:cs="Times New Roman"/>
                <w:b w:val="0"/>
                <w:bCs w:val="0"/>
                <w:color w:val="auto"/>
                <w:kern w:val="2"/>
                <w:sz w:val="21"/>
                <w:szCs w:val="21"/>
                <w:highlight w:val="none"/>
                <w:vertAlign w:val="baseline"/>
                <w:lang w:val="en-US" w:eastAsia="zh-CN" w:bidi="ar-SA"/>
              </w:rPr>
              <w:t>1</w:t>
            </w:r>
            <w:r>
              <w:rPr>
                <w:rFonts w:hint="eastAsia" w:ascii="Times New Roman" w:hAnsi="Times New Roman" w:eastAsia="宋体" w:cs="Times New Roman"/>
                <w:b w:val="0"/>
                <w:bCs w:val="0"/>
                <w:color w:val="auto"/>
                <w:kern w:val="2"/>
                <w:sz w:val="21"/>
                <w:szCs w:val="21"/>
                <w:highlight w:val="none"/>
                <w:vertAlign w:val="baseline"/>
                <w:lang w:val="en-US" w:eastAsia="zh-CN" w:bidi="ar-SA"/>
              </w:rPr>
              <w:t>t/3a</w:t>
            </w:r>
          </w:p>
        </w:tc>
      </w:tr>
    </w:tbl>
    <w:p w14:paraId="7BC7F844">
      <w:pPr>
        <w:pStyle w:val="37"/>
        <w:spacing w:before="192" w:beforeLines="80" w:after="24"/>
        <w:jc w:val="left"/>
        <w:rPr>
          <w:rFonts w:hint="eastAsia" w:hAnsi="宋体"/>
          <w:snapToGrid w:val="0"/>
          <w:color w:val="auto"/>
          <w:spacing w:val="-6"/>
          <w:kern w:val="21"/>
          <w:szCs w:val="21"/>
          <w:highlight w:val="none"/>
        </w:rPr>
      </w:pPr>
      <w:r>
        <w:rPr>
          <w:rFonts w:hAnsi="宋体"/>
          <w:snapToGrid w:val="0"/>
          <w:color w:val="auto"/>
          <w:kern w:val="21"/>
          <w:szCs w:val="21"/>
          <w:highlight w:val="none"/>
        </w:rPr>
        <w:t>注：</w:t>
      </w:r>
      <w:r>
        <w:rPr>
          <w:rFonts w:hAnsi="宋体"/>
          <w:snapToGrid w:val="0"/>
          <w:color w:val="auto"/>
          <w:spacing w:val="-16"/>
          <w:kern w:val="21"/>
          <w:szCs w:val="21"/>
          <w:highlight w:val="none"/>
        </w:rPr>
        <w:fldChar w:fldCharType="begin"/>
      </w:r>
      <w:r>
        <w:rPr>
          <w:rFonts w:hAnsi="宋体"/>
          <w:snapToGrid w:val="0"/>
          <w:color w:val="auto"/>
          <w:spacing w:val="-16"/>
          <w:kern w:val="21"/>
          <w:szCs w:val="21"/>
          <w:highlight w:val="none"/>
        </w:rPr>
        <w:instrText xml:space="preserve"> = 6 \* GB3 \* MERGEFORMAT </w:instrText>
      </w:r>
      <w:r>
        <w:rPr>
          <w:rFonts w:hAnsi="宋体"/>
          <w:snapToGrid w:val="0"/>
          <w:color w:val="auto"/>
          <w:spacing w:val="-16"/>
          <w:kern w:val="21"/>
          <w:szCs w:val="21"/>
          <w:highlight w:val="none"/>
        </w:rPr>
        <w:fldChar w:fldCharType="separate"/>
      </w:r>
      <w:r>
        <w:rPr>
          <w:rFonts w:hint="eastAsia" w:hAnsi="宋体"/>
          <w:color w:val="auto"/>
          <w:szCs w:val="21"/>
          <w:highlight w:val="none"/>
        </w:rPr>
        <w:t>⑥</w:t>
      </w:r>
      <w:r>
        <w:rPr>
          <w:rFonts w:hAnsi="宋体"/>
          <w:snapToGrid w:val="0"/>
          <w:color w:val="auto"/>
          <w:spacing w:val="-16"/>
          <w:kern w:val="21"/>
          <w:szCs w:val="21"/>
          <w:highlight w:val="none"/>
        </w:rPr>
        <w:fldChar w:fldCharType="end"/>
      </w:r>
      <w:r>
        <w:rPr>
          <w:rFonts w:hAnsi="宋体"/>
          <w:snapToGrid w:val="0"/>
          <w:color w:val="auto"/>
          <w:spacing w:val="-1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1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①</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3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③</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4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④</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16"/>
          <w:kern w:val="21"/>
          <w:szCs w:val="21"/>
          <w:highlight w:val="none"/>
        </w:rPr>
        <w:fldChar w:fldCharType="begin"/>
      </w:r>
      <w:r>
        <w:rPr>
          <w:rFonts w:hAnsi="宋体"/>
          <w:snapToGrid w:val="0"/>
          <w:color w:val="auto"/>
          <w:spacing w:val="-16"/>
          <w:kern w:val="21"/>
          <w:szCs w:val="21"/>
          <w:highlight w:val="none"/>
        </w:rPr>
        <w:instrText xml:space="preserve"> = 5 \* GB3 \* MERGEFORMAT </w:instrText>
      </w:r>
      <w:r>
        <w:rPr>
          <w:rFonts w:hAnsi="宋体"/>
          <w:snapToGrid w:val="0"/>
          <w:color w:val="auto"/>
          <w:spacing w:val="-16"/>
          <w:kern w:val="21"/>
          <w:szCs w:val="21"/>
          <w:highlight w:val="none"/>
        </w:rPr>
        <w:fldChar w:fldCharType="separate"/>
      </w:r>
      <w:r>
        <w:rPr>
          <w:rFonts w:hint="eastAsia" w:hAnsi="宋体"/>
          <w:color w:val="auto"/>
          <w:szCs w:val="21"/>
          <w:highlight w:val="none"/>
        </w:rPr>
        <w:t>⑤</w:t>
      </w:r>
      <w:r>
        <w:rPr>
          <w:rFonts w:hAnsi="宋体"/>
          <w:snapToGrid w:val="0"/>
          <w:color w:val="auto"/>
          <w:spacing w:val="-16"/>
          <w:kern w:val="21"/>
          <w:szCs w:val="21"/>
          <w:highlight w:val="none"/>
        </w:rPr>
        <w:fldChar w:fldCharType="end"/>
      </w:r>
      <w:r>
        <w:rPr>
          <w:rFonts w:hAnsi="宋体"/>
          <w:snapToGrid w:val="0"/>
          <w:color w:val="auto"/>
          <w:spacing w:val="-1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7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⑦</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16"/>
          <w:kern w:val="21"/>
          <w:szCs w:val="21"/>
          <w:highlight w:val="none"/>
        </w:rPr>
        <w:fldChar w:fldCharType="begin"/>
      </w:r>
      <w:r>
        <w:rPr>
          <w:rFonts w:hAnsi="宋体"/>
          <w:snapToGrid w:val="0"/>
          <w:color w:val="auto"/>
          <w:spacing w:val="-16"/>
          <w:kern w:val="21"/>
          <w:szCs w:val="21"/>
          <w:highlight w:val="none"/>
        </w:rPr>
        <w:instrText xml:space="preserve"> = 6 \* GB3 \* MERGEFORMAT </w:instrText>
      </w:r>
      <w:r>
        <w:rPr>
          <w:rFonts w:hAnsi="宋体"/>
          <w:snapToGrid w:val="0"/>
          <w:color w:val="auto"/>
          <w:spacing w:val="-16"/>
          <w:kern w:val="21"/>
          <w:szCs w:val="21"/>
          <w:highlight w:val="none"/>
        </w:rPr>
        <w:fldChar w:fldCharType="separate"/>
      </w:r>
      <w:r>
        <w:rPr>
          <w:rFonts w:hint="eastAsia" w:hAnsi="宋体"/>
          <w:color w:val="auto"/>
          <w:szCs w:val="21"/>
          <w:highlight w:val="none"/>
        </w:rPr>
        <w:t>⑥</w:t>
      </w:r>
      <w:r>
        <w:rPr>
          <w:rFonts w:hAnsi="宋体"/>
          <w:snapToGrid w:val="0"/>
          <w:color w:val="auto"/>
          <w:spacing w:val="-16"/>
          <w:kern w:val="21"/>
          <w:szCs w:val="21"/>
          <w:highlight w:val="none"/>
        </w:rPr>
        <w:fldChar w:fldCharType="end"/>
      </w:r>
      <w:r>
        <w:rPr>
          <w:rFonts w:hAnsi="宋体"/>
          <w:snapToGrid w:val="0"/>
          <w:color w:val="auto"/>
          <w:spacing w:val="-1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1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①</w:t>
      </w:r>
      <w:r>
        <w:rPr>
          <w:rFonts w:hAnsi="宋体"/>
          <w:snapToGrid w:val="0"/>
          <w:color w:val="auto"/>
          <w:spacing w:val="-6"/>
          <w:kern w:val="21"/>
          <w:szCs w:val="21"/>
          <w:highlight w:val="none"/>
        </w:rPr>
        <w:fldChar w:fldCharType="end"/>
      </w:r>
    </w:p>
    <w:p w14:paraId="4598222E">
      <w:pPr>
        <w:rPr>
          <w:rFonts w:hint="eastAsia"/>
          <w:color w:val="auto"/>
          <w:highlight w:val="none"/>
        </w:rPr>
        <w:sectPr>
          <w:footerReference r:id="rId7" w:type="default"/>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26BC83B1">
      <w:pPr>
        <w:pStyle w:val="16"/>
        <w:rPr>
          <w:rFonts w:hint="eastAsia"/>
          <w:color w:val="auto"/>
          <w:highlight w:val="none"/>
        </w:rPr>
      </w:pPr>
    </w:p>
    <w:p w14:paraId="4774C834">
      <w:pPr>
        <w:keepNext w:val="0"/>
        <w:keepLines w:val="0"/>
        <w:pageBreakBefore w:val="0"/>
        <w:widowControl w:val="0"/>
        <w:kinsoku/>
        <w:wordWrap/>
        <w:overflowPunct/>
        <w:topLinePunct w:val="0"/>
        <w:autoSpaceDE/>
        <w:autoSpaceDN/>
        <w:bidi w:val="0"/>
        <w:adjustRightInd/>
        <w:snapToGrid/>
        <w:textAlignment w:val="auto"/>
        <w:outlineLvl w:val="0"/>
        <w:rPr>
          <w:rFonts w:hint="default"/>
          <w:b/>
          <w:bCs/>
          <w:color w:val="auto"/>
          <w:sz w:val="24"/>
          <w:szCs w:val="24"/>
          <w:highlight w:val="none"/>
          <w:vertAlign w:val="baseline"/>
          <w:lang w:val="en-US" w:eastAsia="zh-CN"/>
        </w:rPr>
      </w:pPr>
      <w:bookmarkStart w:id="17" w:name="_Toc2020"/>
      <w:r>
        <w:rPr>
          <w:rFonts w:hint="default" w:ascii="Times New Roman" w:hAnsi="Times New Roman" w:eastAsia="黑体" w:cs="Times New Roman"/>
          <w:b/>
          <w:bCs/>
          <w:color w:val="auto"/>
          <w:sz w:val="24"/>
          <w:szCs w:val="24"/>
          <w:highlight w:val="none"/>
          <w:lang w:val="en-US" w:eastAsia="zh-CN"/>
        </w:rPr>
        <w:t>附图1</w:t>
      </w:r>
      <w:r>
        <w:rPr>
          <w:rFonts w:hint="eastAsia" w:ascii="Times New Roman" w:hAnsi="Times New Roman" w:eastAsia="黑体" w:cs="Times New Roman"/>
          <w:b/>
          <w:bCs/>
          <w:color w:val="auto"/>
          <w:sz w:val="24"/>
          <w:szCs w:val="24"/>
          <w:highlight w:val="none"/>
          <w:lang w:val="en-US" w:eastAsia="zh-CN"/>
        </w:rPr>
        <w:t xml:space="preserve">  </w:t>
      </w:r>
      <w:r>
        <w:rPr>
          <w:rFonts w:hint="default" w:ascii="Times New Roman" w:hAnsi="Times New Roman" w:eastAsia="黑体" w:cs="Times New Roman"/>
          <w:b/>
          <w:bCs/>
          <w:color w:val="auto"/>
          <w:sz w:val="24"/>
          <w:szCs w:val="24"/>
          <w:highlight w:val="none"/>
          <w:lang w:val="en-US" w:eastAsia="zh-CN"/>
        </w:rPr>
        <w:t>项目地理位置图</w:t>
      </w:r>
      <w:bookmarkEnd w:id="17"/>
    </w:p>
    <w:tbl>
      <w:tblPr>
        <w:tblStyle w:val="21"/>
        <w:tblW w:w="14250" w:type="dxa"/>
        <w:tblInd w:w="-34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250"/>
      </w:tblGrid>
      <w:tr w14:paraId="1E178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50" w:type="dxa"/>
            <w:tcBorders>
              <w:tl2br w:val="nil"/>
              <w:tr2bl w:val="nil"/>
            </w:tcBorders>
          </w:tcPr>
          <w:p w14:paraId="5E5BA354">
            <w:pPr>
              <w:jc w:val="center"/>
              <w:rPr>
                <w:rFonts w:hint="default"/>
                <w:color w:val="FF0000"/>
                <w:highlight w:val="none"/>
                <w:vertAlign w:val="baseline"/>
                <w:lang w:val="en-US" w:eastAsia="zh-CN"/>
              </w:rPr>
            </w:pPr>
            <w:r>
              <w:drawing>
                <wp:inline distT="0" distB="0" distL="114300" distR="114300">
                  <wp:extent cx="7467600" cy="5200015"/>
                  <wp:effectExtent l="0" t="0" r="0" b="6985"/>
                  <wp:docPr id="6" name="F35B0BEE-F18A-47BB-8FCB-E00DA2F2635D-4" descr="C:/Users/Administrator/AppData/Local/Temp/wps.qRUAOG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35B0BEE-F18A-47BB-8FCB-E00DA2F2635D-4" descr="C:/Users/Administrator/AppData/Local/Temp/wps.qRUAOGwps"/>
                          <pic:cNvPicPr>
                            <a:picLocks noChangeAspect="1"/>
                          </pic:cNvPicPr>
                        </pic:nvPicPr>
                        <pic:blipFill>
                          <a:blip r:embed="rId117"/>
                          <a:srcRect b="1489"/>
                          <a:stretch>
                            <a:fillRect/>
                          </a:stretch>
                        </pic:blipFill>
                        <pic:spPr>
                          <a:xfrm>
                            <a:off x="0" y="0"/>
                            <a:ext cx="7467600" cy="5200015"/>
                          </a:xfrm>
                          <a:prstGeom prst="rect">
                            <a:avLst/>
                          </a:prstGeom>
                          <a:noFill/>
                          <a:ln>
                            <a:noFill/>
                          </a:ln>
                        </pic:spPr>
                      </pic:pic>
                    </a:graphicData>
                  </a:graphic>
                </wp:inline>
              </w:drawing>
            </w:r>
          </w:p>
        </w:tc>
      </w:tr>
    </w:tbl>
    <w:p w14:paraId="2D23B58C">
      <w:pPr>
        <w:rPr>
          <w:rFonts w:hint="default"/>
          <w:color w:val="FF0000"/>
          <w:highlight w:val="none"/>
          <w:lang w:val="en-US"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0AAB36EF">
      <w:pPr>
        <w:keepNext w:val="0"/>
        <w:keepLines w:val="0"/>
        <w:pageBreakBefore w:val="0"/>
        <w:widowControl w:val="0"/>
        <w:kinsoku/>
        <w:wordWrap/>
        <w:overflowPunct/>
        <w:topLinePunct w:val="0"/>
        <w:autoSpaceDE/>
        <w:autoSpaceDN/>
        <w:bidi w:val="0"/>
        <w:adjustRightInd/>
        <w:snapToGrid/>
        <w:textAlignment w:val="auto"/>
        <w:outlineLvl w:val="0"/>
        <w:rPr>
          <w:rFonts w:hint="default" w:ascii="Times New Roman" w:hAnsi="Times New Roman" w:eastAsia="黑体" w:cs="Times New Roman"/>
          <w:b/>
          <w:bCs/>
          <w:color w:val="000000" w:themeColor="text1"/>
          <w:sz w:val="24"/>
          <w:szCs w:val="24"/>
          <w:highlight w:val="none"/>
          <w:vertAlign w:val="baseline"/>
          <w:lang w:val="en-US" w:eastAsia="zh-CN"/>
          <w14:textFill>
            <w14:solidFill>
              <w14:schemeClr w14:val="tx1"/>
            </w14:solidFill>
          </w14:textFill>
        </w:rPr>
      </w:pPr>
      <w:bookmarkStart w:id="18" w:name="_Toc28923"/>
      <w:r>
        <w:rPr>
          <w:rFonts w:hint="default" w:ascii="Times New Roman" w:hAnsi="Times New Roman" w:eastAsia="黑体" w:cs="Times New Roman"/>
          <w:b/>
          <w:bCs/>
          <w:color w:val="000000" w:themeColor="text1"/>
          <w:sz w:val="24"/>
          <w:szCs w:val="24"/>
          <w:highlight w:val="none"/>
          <w:lang w:val="en-US" w:eastAsia="zh-CN"/>
          <w14:textFill>
            <w14:solidFill>
              <w14:schemeClr w14:val="tx1"/>
            </w14:solidFill>
          </w14:textFill>
        </w:rPr>
        <w:t>附图2</w:t>
      </w:r>
      <w:r>
        <w:rPr>
          <w:rFonts w:hint="eastAsia" w:eastAsia="黑体" w:cs="Times New Roman"/>
          <w:b/>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黑体" w:cs="Times New Roman"/>
          <w:b/>
          <w:bCs/>
          <w:color w:val="000000" w:themeColor="text1"/>
          <w:sz w:val="24"/>
          <w:szCs w:val="24"/>
          <w:highlight w:val="none"/>
          <w:lang w:val="en-US" w:eastAsia="zh-CN"/>
          <w14:textFill>
            <w14:solidFill>
              <w14:schemeClr w14:val="tx1"/>
            </w14:solidFill>
          </w14:textFill>
        </w:rPr>
        <w:t xml:space="preserve">  </w:t>
      </w:r>
      <w:r>
        <w:rPr>
          <w:rFonts w:hint="eastAsia" w:eastAsia="黑体" w:cs="Times New Roman"/>
          <w:b/>
          <w:bCs/>
          <w:color w:val="000000" w:themeColor="text1"/>
          <w:sz w:val="24"/>
          <w:szCs w:val="24"/>
          <w:highlight w:val="none"/>
          <w:lang w:val="en-US" w:eastAsia="zh-CN"/>
          <w14:textFill>
            <w14:solidFill>
              <w14:schemeClr w14:val="tx1"/>
            </w14:solidFill>
          </w14:textFill>
        </w:rPr>
        <w:t>总</w:t>
      </w:r>
      <w:r>
        <w:rPr>
          <w:rFonts w:hint="default" w:ascii="Times New Roman" w:hAnsi="Times New Roman" w:eastAsia="黑体" w:cs="Times New Roman"/>
          <w:b/>
          <w:bCs/>
          <w:color w:val="000000" w:themeColor="text1"/>
          <w:sz w:val="24"/>
          <w:szCs w:val="24"/>
          <w:highlight w:val="none"/>
          <w:lang w:val="en-US" w:eastAsia="zh-CN"/>
          <w14:textFill>
            <w14:solidFill>
              <w14:schemeClr w14:val="tx1"/>
            </w14:solidFill>
          </w14:textFill>
        </w:rPr>
        <w:t>平面布置图</w:t>
      </w:r>
      <w:bookmarkEnd w:id="18"/>
    </w:p>
    <w:tbl>
      <w:tblPr>
        <w:tblStyle w:val="21"/>
        <w:tblW w:w="14177" w:type="dxa"/>
        <w:tblInd w:w="-2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7"/>
      </w:tblGrid>
      <w:tr w14:paraId="28A1A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7" w:type="dxa"/>
            <w:tcBorders>
              <w:tl2br w:val="nil"/>
              <w:tr2bl w:val="nil"/>
            </w:tcBorders>
          </w:tcPr>
          <w:p w14:paraId="60C6735F">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b/>
                <w:bCs/>
                <w:color w:val="FF0000"/>
                <w:sz w:val="24"/>
                <w:szCs w:val="24"/>
                <w:highlight w:val="none"/>
                <w:vertAlign w:val="baseline"/>
                <w:lang w:val="en-US" w:eastAsia="zh-CN"/>
              </w:rPr>
            </w:pPr>
            <w:r>
              <w:drawing>
                <wp:inline distT="0" distB="0" distL="114300" distR="114300">
                  <wp:extent cx="6662420" cy="5387340"/>
                  <wp:effectExtent l="0" t="0" r="5080" b="10160"/>
                  <wp:docPr id="48"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7"/>
                          <pic:cNvPicPr>
                            <a:picLocks noChangeAspect="1"/>
                          </pic:cNvPicPr>
                        </pic:nvPicPr>
                        <pic:blipFill>
                          <a:blip r:embed="rId118"/>
                          <a:stretch>
                            <a:fillRect/>
                          </a:stretch>
                        </pic:blipFill>
                        <pic:spPr>
                          <a:xfrm>
                            <a:off x="0" y="0"/>
                            <a:ext cx="6662420" cy="5387340"/>
                          </a:xfrm>
                          <a:prstGeom prst="rect">
                            <a:avLst/>
                          </a:prstGeom>
                          <a:noFill/>
                          <a:ln>
                            <a:noFill/>
                          </a:ln>
                        </pic:spPr>
                      </pic:pic>
                    </a:graphicData>
                  </a:graphic>
                </wp:inline>
              </w:drawing>
            </w:r>
          </w:p>
        </w:tc>
      </w:tr>
    </w:tbl>
    <w:p w14:paraId="05ACFA27">
      <w:pPr>
        <w:keepNext w:val="0"/>
        <w:keepLines w:val="0"/>
        <w:pageBreakBefore w:val="0"/>
        <w:widowControl w:val="0"/>
        <w:kinsoku/>
        <w:wordWrap/>
        <w:overflowPunct/>
        <w:topLinePunct w:val="0"/>
        <w:autoSpaceDE/>
        <w:autoSpaceDN/>
        <w:bidi w:val="0"/>
        <w:adjustRightInd/>
        <w:snapToGrid/>
        <w:textAlignment w:val="auto"/>
        <w:outlineLvl w:val="0"/>
        <w:rPr>
          <w:rFonts w:hint="eastAsia"/>
          <w:b/>
          <w:bCs/>
          <w:color w:val="FF0000"/>
          <w:sz w:val="24"/>
          <w:szCs w:val="24"/>
          <w:highlight w:val="none"/>
          <w:vertAlign w:val="baseline"/>
          <w:lang w:val="en-US"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2BA9AA34">
      <w:pPr>
        <w:keepNext w:val="0"/>
        <w:keepLines w:val="0"/>
        <w:pageBreakBefore w:val="0"/>
        <w:widowControl w:val="0"/>
        <w:kinsoku/>
        <w:wordWrap/>
        <w:overflowPunct/>
        <w:topLinePunct w:val="0"/>
        <w:autoSpaceDE/>
        <w:autoSpaceDN/>
        <w:bidi w:val="0"/>
        <w:adjustRightInd/>
        <w:snapToGrid/>
        <w:textAlignment w:val="auto"/>
        <w:outlineLvl w:val="0"/>
        <w:rPr>
          <w:rFonts w:hint="default" w:ascii="Times New Roman" w:hAnsi="Times New Roman" w:eastAsia="黑体" w:cs="Times New Roman"/>
          <w:b/>
          <w:bCs/>
          <w:color w:val="000000" w:themeColor="text1"/>
          <w:sz w:val="24"/>
          <w:szCs w:val="24"/>
          <w:highlight w:val="none"/>
          <w:vertAlign w:val="baseline"/>
          <w:lang w:val="en-US" w:eastAsia="zh-CN"/>
          <w14:textFill>
            <w14:solidFill>
              <w14:schemeClr w14:val="tx1"/>
            </w14:solidFill>
          </w14:textFill>
        </w:rPr>
      </w:pPr>
      <w:bookmarkStart w:id="19" w:name="_Toc11553"/>
      <w:r>
        <w:rPr>
          <w:rFonts w:hint="default" w:ascii="Times New Roman" w:hAnsi="Times New Roman" w:eastAsia="黑体" w:cs="Times New Roman"/>
          <w:b/>
          <w:bCs/>
          <w:color w:val="000000" w:themeColor="text1"/>
          <w:sz w:val="24"/>
          <w:szCs w:val="24"/>
          <w:highlight w:val="none"/>
          <w:lang w:val="en-US" w:eastAsia="zh-CN"/>
          <w14:textFill>
            <w14:solidFill>
              <w14:schemeClr w14:val="tx1"/>
            </w14:solidFill>
          </w14:textFill>
        </w:rPr>
        <w:t>附图2</w:t>
      </w:r>
      <w:r>
        <w:rPr>
          <w:rFonts w:hint="eastAsia" w:eastAsia="黑体"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黑体" w:cs="Times New Roman"/>
          <w:b/>
          <w:bCs/>
          <w:color w:val="000000" w:themeColor="text1"/>
          <w:sz w:val="24"/>
          <w:szCs w:val="24"/>
          <w:highlight w:val="none"/>
          <w:lang w:val="en-US" w:eastAsia="zh-CN"/>
          <w14:textFill>
            <w14:solidFill>
              <w14:schemeClr w14:val="tx1"/>
            </w14:solidFill>
          </w14:textFill>
        </w:rPr>
        <w:t xml:space="preserve">  </w:t>
      </w:r>
      <w:r>
        <w:rPr>
          <w:rFonts w:hint="eastAsia" w:eastAsia="黑体" w:cs="Times New Roman"/>
          <w:b/>
          <w:bCs/>
          <w:color w:val="000000" w:themeColor="text1"/>
          <w:sz w:val="24"/>
          <w:szCs w:val="24"/>
          <w:highlight w:val="none"/>
          <w:lang w:val="en-US" w:eastAsia="zh-CN"/>
          <w14:textFill>
            <w14:solidFill>
              <w14:schemeClr w14:val="tx1"/>
            </w14:solidFill>
          </w14:textFill>
        </w:rPr>
        <w:t>锅炉房平面</w:t>
      </w:r>
      <w:r>
        <w:rPr>
          <w:rFonts w:hint="default" w:ascii="Times New Roman" w:hAnsi="Times New Roman" w:eastAsia="黑体" w:cs="Times New Roman"/>
          <w:b/>
          <w:bCs/>
          <w:color w:val="000000" w:themeColor="text1"/>
          <w:sz w:val="24"/>
          <w:szCs w:val="24"/>
          <w:highlight w:val="none"/>
          <w:lang w:val="en-US" w:eastAsia="zh-CN"/>
          <w14:textFill>
            <w14:solidFill>
              <w14:schemeClr w14:val="tx1"/>
            </w14:solidFill>
          </w14:textFill>
        </w:rPr>
        <w:t>布置图</w:t>
      </w:r>
      <w:bookmarkEnd w:id="19"/>
    </w:p>
    <w:tbl>
      <w:tblPr>
        <w:tblStyle w:val="21"/>
        <w:tblW w:w="14177" w:type="dxa"/>
        <w:tblInd w:w="-2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77"/>
      </w:tblGrid>
      <w:tr w14:paraId="26C17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77" w:type="dxa"/>
            <w:tcBorders>
              <w:tl2br w:val="nil"/>
              <w:tr2bl w:val="nil"/>
            </w:tcBorders>
          </w:tcPr>
          <w:p w14:paraId="0DAC48F2">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b/>
                <w:bCs/>
                <w:color w:val="FF0000"/>
                <w:sz w:val="24"/>
                <w:szCs w:val="24"/>
                <w:highlight w:val="none"/>
                <w:vertAlign w:val="baseline"/>
                <w:lang w:val="en-US" w:eastAsia="zh-CN"/>
              </w:rPr>
            </w:pPr>
            <w:r>
              <w:drawing>
                <wp:inline distT="0" distB="0" distL="114300" distR="114300">
                  <wp:extent cx="8158480" cy="5408295"/>
                  <wp:effectExtent l="0" t="0" r="7620" b="1905"/>
                  <wp:docPr id="50" name="F35B0BEE-F18A-47BB-8FCB-E00DA2F2635D-5" descr="C:/Users/Administrator/AppData/Local/Temp/wps.WzIaiE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F35B0BEE-F18A-47BB-8FCB-E00DA2F2635D-5" descr="C:/Users/Administrator/AppData/Local/Temp/wps.WzIaiEwps"/>
                          <pic:cNvPicPr>
                            <a:picLocks noChangeAspect="1"/>
                          </pic:cNvPicPr>
                        </pic:nvPicPr>
                        <pic:blipFill>
                          <a:blip r:embed="rId119"/>
                          <a:stretch>
                            <a:fillRect/>
                          </a:stretch>
                        </pic:blipFill>
                        <pic:spPr>
                          <a:xfrm>
                            <a:off x="0" y="0"/>
                            <a:ext cx="8158480" cy="5408295"/>
                          </a:xfrm>
                          <a:prstGeom prst="rect">
                            <a:avLst/>
                          </a:prstGeom>
                          <a:noFill/>
                          <a:ln>
                            <a:noFill/>
                          </a:ln>
                        </pic:spPr>
                      </pic:pic>
                    </a:graphicData>
                  </a:graphic>
                </wp:inline>
              </w:drawing>
            </w:r>
          </w:p>
        </w:tc>
      </w:tr>
    </w:tbl>
    <w:p w14:paraId="5EA514E8">
      <w:pPr>
        <w:pStyle w:val="16"/>
        <w:rPr>
          <w:rFonts w:hint="eastAsia"/>
          <w:lang w:val="en-US"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62C2E7BC">
      <w:pPr>
        <w:keepNext w:val="0"/>
        <w:keepLines w:val="0"/>
        <w:pageBreakBefore w:val="0"/>
        <w:widowControl w:val="0"/>
        <w:kinsoku/>
        <w:wordWrap/>
        <w:overflowPunct/>
        <w:topLinePunct w:val="0"/>
        <w:autoSpaceDE/>
        <w:autoSpaceDN/>
        <w:bidi w:val="0"/>
        <w:adjustRightInd/>
        <w:snapToGrid/>
        <w:textAlignment w:val="auto"/>
        <w:outlineLvl w:val="0"/>
        <w:rPr>
          <w:rFonts w:hint="default" w:ascii="Times New Roman" w:hAnsi="Times New Roman" w:eastAsia="黑体" w:cs="Times New Roman"/>
          <w:b/>
          <w:bCs/>
          <w:color w:val="auto"/>
          <w:sz w:val="24"/>
          <w:szCs w:val="24"/>
          <w:highlight w:val="none"/>
          <w:lang w:val="en-US" w:eastAsia="zh-CN"/>
        </w:rPr>
      </w:pPr>
      <w:bookmarkStart w:id="20" w:name="_Toc4256"/>
      <w:r>
        <w:rPr>
          <w:rFonts w:hint="eastAsia" w:ascii="Times New Roman" w:hAnsi="Times New Roman" w:eastAsia="黑体" w:cs="Times New Roman"/>
          <w:b/>
          <w:bCs/>
          <w:color w:val="auto"/>
          <w:sz w:val="24"/>
          <w:szCs w:val="24"/>
          <w:highlight w:val="none"/>
          <w:lang w:val="en-US" w:eastAsia="zh-CN"/>
        </w:rPr>
        <w:t xml:space="preserve">附图3  </w:t>
      </w:r>
      <w:r>
        <w:rPr>
          <w:rFonts w:hint="eastAsia" w:eastAsia="黑体" w:cs="Times New Roman"/>
          <w:b/>
          <w:bCs/>
          <w:color w:val="auto"/>
          <w:sz w:val="24"/>
          <w:szCs w:val="24"/>
          <w:highlight w:val="none"/>
          <w:lang w:val="en-US" w:eastAsia="zh-CN"/>
        </w:rPr>
        <w:t>环境保护目标</w:t>
      </w:r>
      <w:r>
        <w:rPr>
          <w:rFonts w:hint="eastAsia" w:ascii="Times New Roman" w:hAnsi="Times New Roman" w:eastAsia="黑体" w:cs="Times New Roman"/>
          <w:b/>
          <w:bCs/>
          <w:color w:val="auto"/>
          <w:sz w:val="24"/>
          <w:szCs w:val="24"/>
          <w:highlight w:val="none"/>
          <w:lang w:val="en-US" w:eastAsia="zh-CN"/>
        </w:rPr>
        <w:t>图</w:t>
      </w:r>
      <w:bookmarkEnd w:id="20"/>
    </w:p>
    <w:tbl>
      <w:tblPr>
        <w:tblStyle w:val="21"/>
        <w:tblW w:w="14283" w:type="dxa"/>
        <w:tblInd w:w="-3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283"/>
      </w:tblGrid>
      <w:tr w14:paraId="384F1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3" w:type="dxa"/>
            <w:tcBorders>
              <w:tl2br w:val="nil"/>
              <w:tr2bl w:val="nil"/>
            </w:tcBorders>
          </w:tcPr>
          <w:p w14:paraId="1AA5CBDF">
            <w:pPr>
              <w:jc w:val="center"/>
              <w:rPr>
                <w:rFonts w:hint="default"/>
                <w:b/>
                <w:bCs/>
                <w:color w:val="FF0000"/>
                <w:sz w:val="24"/>
                <w:szCs w:val="24"/>
                <w:highlight w:val="none"/>
                <w:vertAlign w:val="baseline"/>
                <w:lang w:val="en-US" w:eastAsia="zh-CN"/>
              </w:rPr>
            </w:pPr>
            <w:r>
              <w:drawing>
                <wp:inline distT="0" distB="0" distL="114300" distR="114300">
                  <wp:extent cx="6905625" cy="5391150"/>
                  <wp:effectExtent l="0" t="0" r="3175" b="6350"/>
                  <wp:docPr id="9" name="图片 9" descr="环境保护目标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环境保护目标图"/>
                          <pic:cNvPicPr>
                            <a:picLocks noChangeAspect="1"/>
                          </pic:cNvPicPr>
                        </pic:nvPicPr>
                        <pic:blipFill>
                          <a:blip r:embed="rId120"/>
                          <a:stretch>
                            <a:fillRect/>
                          </a:stretch>
                        </pic:blipFill>
                        <pic:spPr>
                          <a:xfrm>
                            <a:off x="0" y="0"/>
                            <a:ext cx="6905625" cy="5391150"/>
                          </a:xfrm>
                          <a:prstGeom prst="rect">
                            <a:avLst/>
                          </a:prstGeom>
                        </pic:spPr>
                      </pic:pic>
                    </a:graphicData>
                  </a:graphic>
                </wp:inline>
              </w:drawing>
            </w:r>
          </w:p>
        </w:tc>
      </w:tr>
    </w:tbl>
    <w:p w14:paraId="51C8D6D3">
      <w:pPr>
        <w:rPr>
          <w:rFonts w:hint="default"/>
          <w:b/>
          <w:bCs/>
          <w:color w:val="FF0000"/>
          <w:sz w:val="24"/>
          <w:szCs w:val="24"/>
          <w:highlight w:val="none"/>
          <w:vertAlign w:val="baseline"/>
          <w:lang w:val="en-US"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31CC3322">
      <w:pPr>
        <w:keepNext w:val="0"/>
        <w:keepLines w:val="0"/>
        <w:pageBreakBefore w:val="0"/>
        <w:widowControl w:val="0"/>
        <w:kinsoku/>
        <w:wordWrap/>
        <w:overflowPunct/>
        <w:topLinePunct w:val="0"/>
        <w:autoSpaceDE/>
        <w:autoSpaceDN/>
        <w:bidi w:val="0"/>
        <w:adjustRightInd/>
        <w:snapToGrid/>
        <w:textAlignment w:val="auto"/>
        <w:outlineLvl w:val="0"/>
        <w:rPr>
          <w:rFonts w:hint="default" w:ascii="Times New Roman" w:hAnsi="Times New Roman" w:eastAsia="黑体" w:cs="Times New Roman"/>
          <w:b/>
          <w:bCs/>
          <w:color w:val="auto"/>
          <w:sz w:val="24"/>
          <w:szCs w:val="24"/>
          <w:highlight w:val="none"/>
          <w:lang w:val="en-US" w:eastAsia="zh-CN"/>
        </w:rPr>
      </w:pPr>
      <w:bookmarkStart w:id="21" w:name="_Toc25533"/>
      <w:r>
        <w:rPr>
          <w:rFonts w:hint="eastAsia" w:ascii="Times New Roman" w:hAnsi="Times New Roman" w:eastAsia="黑体" w:cs="Times New Roman"/>
          <w:b/>
          <w:bCs/>
          <w:color w:val="auto"/>
          <w:sz w:val="24"/>
          <w:szCs w:val="24"/>
          <w:highlight w:val="none"/>
          <w:lang w:val="en-US" w:eastAsia="zh-CN"/>
        </w:rPr>
        <w:t>附图4  供热管网走向示意图</w:t>
      </w:r>
      <w:bookmarkEnd w:id="21"/>
    </w:p>
    <w:tbl>
      <w:tblPr>
        <w:tblStyle w:val="21"/>
        <w:tblW w:w="9642" w:type="dxa"/>
        <w:tblInd w:w="-31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42"/>
      </w:tblGrid>
      <w:tr w14:paraId="0D7FB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54" w:hRule="atLeast"/>
        </w:trPr>
        <w:tc>
          <w:tcPr>
            <w:tcW w:w="9642" w:type="dxa"/>
            <w:tcBorders>
              <w:tl2br w:val="nil"/>
              <w:tr2bl w:val="nil"/>
            </w:tcBorders>
          </w:tcPr>
          <w:p w14:paraId="65C4BADD">
            <w:pPr>
              <w:jc w:val="center"/>
            </w:pPr>
          </w:p>
          <w:p w14:paraId="3C3B54C9">
            <w:pPr>
              <w:jc w:val="center"/>
              <w:rPr>
                <w:rFonts w:hint="default"/>
                <w:b/>
                <w:bCs/>
                <w:color w:val="FF0000"/>
                <w:sz w:val="24"/>
                <w:szCs w:val="24"/>
                <w:highlight w:val="none"/>
                <w:vertAlign w:val="baseline"/>
                <w:lang w:val="en-US" w:eastAsia="zh-CN"/>
              </w:rPr>
            </w:pPr>
            <w:r>
              <w:rPr>
                <w:rFonts w:hint="default"/>
                <w:b/>
                <w:bCs/>
                <w:color w:val="FF0000"/>
                <w:sz w:val="24"/>
                <w:szCs w:val="24"/>
                <w:highlight w:val="none"/>
                <w:vertAlign w:val="baseline"/>
                <w:lang w:val="en-US" w:eastAsia="zh-CN"/>
              </w:rPr>
              <w:drawing>
                <wp:inline distT="0" distB="0" distL="114300" distR="114300">
                  <wp:extent cx="5908040" cy="6938645"/>
                  <wp:effectExtent l="0" t="0" r="10160" b="8255"/>
                  <wp:docPr id="1" name="图片 1" descr="dd290106bf52f2c0f83c3ed0c1cfd4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d290106bf52f2c0f83c3ed0c1cfd4b0"/>
                          <pic:cNvPicPr>
                            <a:picLocks noChangeAspect="1"/>
                          </pic:cNvPicPr>
                        </pic:nvPicPr>
                        <pic:blipFill>
                          <a:blip r:embed="rId121"/>
                          <a:stretch>
                            <a:fillRect/>
                          </a:stretch>
                        </pic:blipFill>
                        <pic:spPr>
                          <a:xfrm>
                            <a:off x="0" y="0"/>
                            <a:ext cx="5908040" cy="6938645"/>
                          </a:xfrm>
                          <a:prstGeom prst="rect">
                            <a:avLst/>
                          </a:prstGeom>
                        </pic:spPr>
                      </pic:pic>
                    </a:graphicData>
                  </a:graphic>
                </wp:inline>
              </w:drawing>
            </w:r>
          </w:p>
        </w:tc>
      </w:tr>
    </w:tbl>
    <w:p w14:paraId="43DFF54C">
      <w:pPr>
        <w:rPr>
          <w:rFonts w:hint="default"/>
          <w:b/>
          <w:bCs/>
          <w:color w:val="FF0000"/>
          <w:sz w:val="24"/>
          <w:szCs w:val="24"/>
          <w:highlight w:val="none"/>
          <w:vertAlign w:val="baseline"/>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4182B29F">
      <w:pPr>
        <w:keepNext w:val="0"/>
        <w:keepLines w:val="0"/>
        <w:pageBreakBefore w:val="0"/>
        <w:widowControl w:val="0"/>
        <w:kinsoku/>
        <w:wordWrap/>
        <w:overflowPunct/>
        <w:topLinePunct w:val="0"/>
        <w:autoSpaceDE/>
        <w:autoSpaceDN/>
        <w:bidi w:val="0"/>
        <w:adjustRightInd/>
        <w:snapToGrid/>
        <w:spacing w:after="313" w:afterLines="100" w:line="360" w:lineRule="auto"/>
        <w:textAlignment w:val="auto"/>
        <w:outlineLvl w:val="0"/>
        <w:rPr>
          <w:rFonts w:hint="default" w:ascii="Times New Roman" w:hAnsi="Times New Roman" w:eastAsia="黑体" w:cs="Times New Roman"/>
          <w:b/>
          <w:bCs/>
          <w:color w:val="000000" w:themeColor="text1"/>
          <w:sz w:val="24"/>
          <w:szCs w:val="24"/>
          <w:highlight w:val="none"/>
          <w:lang w:val="en-US" w:eastAsia="zh-CN"/>
          <w14:textFill>
            <w14:solidFill>
              <w14:schemeClr w14:val="tx1"/>
            </w14:solidFill>
          </w14:textFill>
        </w:rPr>
      </w:pPr>
      <w:bookmarkStart w:id="22" w:name="_Toc24909"/>
      <w:r>
        <w:rPr>
          <w:rFonts w:hint="eastAsia" w:ascii="Times New Roman" w:hAnsi="Times New Roman" w:eastAsia="黑体" w:cs="Times New Roman"/>
          <w:b/>
          <w:bCs/>
          <w:color w:val="000000" w:themeColor="text1"/>
          <w:sz w:val="24"/>
          <w:szCs w:val="24"/>
          <w:highlight w:val="none"/>
          <w:lang w:val="en-US" w:eastAsia="zh-CN"/>
          <w14:textFill>
            <w14:solidFill>
              <w14:schemeClr w14:val="tx1"/>
            </w14:solidFill>
          </w14:textFill>
        </w:rPr>
        <w:t xml:space="preserve">附图5  </w:t>
      </w:r>
      <w:r>
        <w:rPr>
          <w:rFonts w:hint="eastAsia" w:eastAsia="黑体" w:cs="Times New Roman"/>
          <w:b/>
          <w:bCs/>
          <w:color w:val="000000" w:themeColor="text1"/>
          <w:sz w:val="24"/>
          <w:szCs w:val="24"/>
          <w:highlight w:val="none"/>
          <w:lang w:val="en-US" w:eastAsia="zh-CN"/>
          <w14:textFill>
            <w14:solidFill>
              <w14:schemeClr w14:val="tx1"/>
            </w14:solidFill>
          </w14:textFill>
        </w:rPr>
        <w:t>现有</w:t>
      </w:r>
      <w:r>
        <w:rPr>
          <w:rFonts w:hint="eastAsia" w:ascii="Times New Roman" w:hAnsi="Times New Roman" w:eastAsia="黑体" w:cs="Times New Roman"/>
          <w:b/>
          <w:bCs/>
          <w:color w:val="000000" w:themeColor="text1"/>
          <w:sz w:val="24"/>
          <w:szCs w:val="24"/>
          <w:highlight w:val="none"/>
          <w:lang w:val="en-US" w:eastAsia="zh-CN"/>
          <w14:textFill>
            <w14:solidFill>
              <w14:schemeClr w14:val="tx1"/>
            </w14:solidFill>
          </w14:textFill>
        </w:rPr>
        <w:t>厂区及周边环境图</w:t>
      </w:r>
      <w:bookmarkEnd w:id="22"/>
    </w:p>
    <w:tbl>
      <w:tblPr>
        <w:tblStyle w:val="21"/>
        <w:tblW w:w="9912" w:type="dxa"/>
        <w:tblInd w:w="-35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56"/>
        <w:gridCol w:w="4956"/>
      </w:tblGrid>
      <w:tr w14:paraId="4C3F2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956" w:type="dxa"/>
            <w:tcBorders>
              <w:tl2br w:val="nil"/>
              <w:tr2bl w:val="nil"/>
            </w:tcBorders>
            <w:vAlign w:val="center"/>
          </w:tcPr>
          <w:p w14:paraId="6D3F4129">
            <w:pPr>
              <w:keepNext w:val="0"/>
              <w:keepLines w:val="0"/>
              <w:pageBreakBefore w:val="0"/>
              <w:widowControl w:val="0"/>
              <w:kinsoku/>
              <w:wordWrap/>
              <w:overflowPunct/>
              <w:topLinePunct w:val="0"/>
              <w:autoSpaceDE/>
              <w:autoSpaceDN/>
              <w:bidi w:val="0"/>
              <w:adjustRightInd/>
              <w:snapToGrid/>
              <w:jc w:val="center"/>
              <w:textAlignment w:val="auto"/>
              <w:rPr>
                <w:rFonts w:hint="eastAsia" w:cs="Times New Roman"/>
                <w:b/>
                <w:bCs/>
                <w:i w:val="0"/>
                <w:iCs w:val="0"/>
                <w:color w:val="auto"/>
                <w:sz w:val="21"/>
                <w:szCs w:val="21"/>
                <w:highlight w:val="none"/>
                <w:vertAlign w:val="baseline"/>
                <w:lang w:val="en-US" w:eastAsia="zh-CN"/>
              </w:rPr>
            </w:pPr>
            <w:r>
              <w:rPr>
                <w:rFonts w:hint="eastAsia" w:cs="Times New Roman"/>
                <w:b/>
                <w:bCs/>
                <w:i w:val="0"/>
                <w:iCs w:val="0"/>
                <w:color w:val="auto"/>
                <w:sz w:val="21"/>
                <w:szCs w:val="21"/>
                <w:highlight w:val="none"/>
                <w:vertAlign w:val="baseline"/>
                <w:lang w:val="en-US" w:eastAsia="zh-CN"/>
              </w:rPr>
              <w:drawing>
                <wp:inline distT="0" distB="0" distL="114300" distR="114300">
                  <wp:extent cx="2999105" cy="1687195"/>
                  <wp:effectExtent l="0" t="0" r="10795" b="1905"/>
                  <wp:docPr id="56" name="图片 56" descr="92cea8df2bf7ef02eae6e28c45fe7f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92cea8df2bf7ef02eae6e28c45fe7f89"/>
                          <pic:cNvPicPr>
                            <a:picLocks noChangeAspect="1"/>
                          </pic:cNvPicPr>
                        </pic:nvPicPr>
                        <pic:blipFill>
                          <a:blip r:embed="rId122"/>
                          <a:stretch>
                            <a:fillRect/>
                          </a:stretch>
                        </pic:blipFill>
                        <pic:spPr>
                          <a:xfrm>
                            <a:off x="0" y="0"/>
                            <a:ext cx="2999105" cy="1687195"/>
                          </a:xfrm>
                          <a:prstGeom prst="rect">
                            <a:avLst/>
                          </a:prstGeom>
                        </pic:spPr>
                      </pic:pic>
                    </a:graphicData>
                  </a:graphic>
                </wp:inline>
              </w:drawing>
            </w:r>
          </w:p>
        </w:tc>
        <w:tc>
          <w:tcPr>
            <w:tcW w:w="4956" w:type="dxa"/>
            <w:tcBorders>
              <w:tl2br w:val="nil"/>
              <w:tr2bl w:val="nil"/>
            </w:tcBorders>
            <w:vAlign w:val="center"/>
          </w:tcPr>
          <w:p w14:paraId="0A251128">
            <w:pPr>
              <w:keepNext w:val="0"/>
              <w:keepLines w:val="0"/>
              <w:pageBreakBefore w:val="0"/>
              <w:widowControl w:val="0"/>
              <w:kinsoku/>
              <w:wordWrap/>
              <w:overflowPunct/>
              <w:topLinePunct w:val="0"/>
              <w:autoSpaceDE/>
              <w:autoSpaceDN/>
              <w:bidi w:val="0"/>
              <w:adjustRightInd/>
              <w:snapToGrid/>
              <w:textAlignment w:val="auto"/>
              <w:rPr>
                <w:rFonts w:hint="eastAsia" w:cs="Times New Roman"/>
                <w:b/>
                <w:bCs/>
                <w:i w:val="0"/>
                <w:iCs w:val="0"/>
                <w:color w:val="auto"/>
                <w:sz w:val="21"/>
                <w:szCs w:val="21"/>
                <w:highlight w:val="none"/>
                <w:vertAlign w:val="baseline"/>
                <w:lang w:val="en-US" w:eastAsia="zh-CN"/>
              </w:rPr>
            </w:pPr>
            <w:r>
              <w:rPr>
                <w:rFonts w:hint="eastAsia" w:cs="Times New Roman"/>
                <w:b/>
                <w:bCs/>
                <w:i w:val="0"/>
                <w:iCs w:val="0"/>
                <w:color w:val="auto"/>
                <w:sz w:val="21"/>
                <w:szCs w:val="21"/>
                <w:highlight w:val="none"/>
                <w:vertAlign w:val="baseline"/>
                <w:lang w:val="en-US" w:eastAsia="zh-CN"/>
              </w:rPr>
              <w:drawing>
                <wp:inline distT="0" distB="0" distL="114300" distR="114300">
                  <wp:extent cx="2999105" cy="1687195"/>
                  <wp:effectExtent l="0" t="0" r="10795" b="1905"/>
                  <wp:docPr id="55" name="图片 55" descr="35134352b10e1f94434ee646d45bb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35134352b10e1f94434ee646d45bb823"/>
                          <pic:cNvPicPr>
                            <a:picLocks noChangeAspect="1"/>
                          </pic:cNvPicPr>
                        </pic:nvPicPr>
                        <pic:blipFill>
                          <a:blip r:embed="rId123"/>
                          <a:stretch>
                            <a:fillRect/>
                          </a:stretch>
                        </pic:blipFill>
                        <pic:spPr>
                          <a:xfrm>
                            <a:off x="0" y="0"/>
                            <a:ext cx="2999105" cy="1687195"/>
                          </a:xfrm>
                          <a:prstGeom prst="rect">
                            <a:avLst/>
                          </a:prstGeom>
                        </pic:spPr>
                      </pic:pic>
                    </a:graphicData>
                  </a:graphic>
                </wp:inline>
              </w:drawing>
            </w:r>
          </w:p>
        </w:tc>
      </w:tr>
      <w:tr w14:paraId="15A80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956" w:type="dxa"/>
            <w:tcBorders>
              <w:tl2br w:val="nil"/>
              <w:tr2bl w:val="nil"/>
            </w:tcBorders>
            <w:vAlign w:val="center"/>
          </w:tcPr>
          <w:p w14:paraId="51135C43">
            <w:pPr>
              <w:keepNext w:val="0"/>
              <w:keepLines w:val="0"/>
              <w:pageBreakBefore w:val="0"/>
              <w:widowControl w:val="0"/>
              <w:kinsoku/>
              <w:wordWrap/>
              <w:overflowPunct/>
              <w:topLinePunct w:val="0"/>
              <w:autoSpaceDE/>
              <w:autoSpaceDN/>
              <w:bidi w:val="0"/>
              <w:adjustRightInd/>
              <w:snapToGrid/>
              <w:jc w:val="center"/>
              <w:textAlignment w:val="auto"/>
              <w:rPr>
                <w:rFonts w:hint="default" w:cs="Times New Roman"/>
                <w:b/>
                <w:bCs/>
                <w:i w:val="0"/>
                <w:iCs w:val="0"/>
                <w:color w:val="auto"/>
                <w:sz w:val="21"/>
                <w:szCs w:val="21"/>
                <w:highlight w:val="none"/>
                <w:vertAlign w:val="baseline"/>
                <w:lang w:val="en-US" w:eastAsia="zh-CN"/>
              </w:rPr>
            </w:pPr>
            <w:r>
              <w:rPr>
                <w:rFonts w:hint="eastAsia" w:ascii="Times New Roman" w:hAnsi="Times New Roman" w:cs="Times New Roman"/>
                <w:b/>
                <w:bCs/>
                <w:i w:val="0"/>
                <w:iCs w:val="0"/>
                <w:color w:val="auto"/>
                <w:sz w:val="21"/>
                <w:szCs w:val="21"/>
                <w:highlight w:val="none"/>
                <w:vertAlign w:val="baseline"/>
                <w:lang w:val="en-US" w:eastAsia="zh-CN"/>
              </w:rPr>
              <w:t>厂</w:t>
            </w:r>
            <w:r>
              <w:rPr>
                <w:rFonts w:hint="eastAsia" w:cs="Times New Roman"/>
                <w:b/>
                <w:bCs/>
                <w:i w:val="0"/>
                <w:iCs w:val="0"/>
                <w:color w:val="auto"/>
                <w:sz w:val="21"/>
                <w:szCs w:val="21"/>
                <w:highlight w:val="none"/>
                <w:vertAlign w:val="baseline"/>
                <w:lang w:val="en-US" w:eastAsia="zh-CN"/>
              </w:rPr>
              <w:t>址</w:t>
            </w:r>
            <w:r>
              <w:rPr>
                <w:rFonts w:hint="eastAsia" w:ascii="Times New Roman" w:hAnsi="Times New Roman" w:cs="Times New Roman"/>
                <w:b/>
                <w:bCs/>
                <w:i w:val="0"/>
                <w:iCs w:val="0"/>
                <w:color w:val="auto"/>
                <w:sz w:val="21"/>
                <w:szCs w:val="21"/>
                <w:highlight w:val="none"/>
                <w:vertAlign w:val="baseline"/>
                <w:lang w:val="en-US" w:eastAsia="zh-CN"/>
              </w:rPr>
              <w:t>东侧</w:t>
            </w:r>
            <w:r>
              <w:rPr>
                <w:rFonts w:hint="eastAsia" w:cs="Times New Roman"/>
                <w:b/>
                <w:bCs/>
                <w:i w:val="0"/>
                <w:iCs w:val="0"/>
                <w:color w:val="auto"/>
                <w:sz w:val="21"/>
                <w:szCs w:val="21"/>
                <w:highlight w:val="none"/>
                <w:vertAlign w:val="baseline"/>
                <w:lang w:val="en-US" w:eastAsia="zh-CN"/>
              </w:rPr>
              <w:t>绥远路</w:t>
            </w:r>
          </w:p>
        </w:tc>
        <w:tc>
          <w:tcPr>
            <w:tcW w:w="4956" w:type="dxa"/>
            <w:tcBorders>
              <w:tl2br w:val="nil"/>
              <w:tr2bl w:val="nil"/>
            </w:tcBorders>
            <w:vAlign w:val="center"/>
          </w:tcPr>
          <w:p w14:paraId="2FD3AFE8">
            <w:pPr>
              <w:keepNext w:val="0"/>
              <w:keepLines w:val="0"/>
              <w:pageBreakBefore w:val="0"/>
              <w:widowControl w:val="0"/>
              <w:kinsoku/>
              <w:wordWrap/>
              <w:overflowPunct/>
              <w:topLinePunct w:val="0"/>
              <w:autoSpaceDE/>
              <w:autoSpaceDN/>
              <w:bidi w:val="0"/>
              <w:adjustRightInd/>
              <w:snapToGrid/>
              <w:jc w:val="center"/>
              <w:textAlignment w:val="auto"/>
              <w:rPr>
                <w:rFonts w:hint="eastAsia" w:cs="Times New Roman"/>
                <w:b/>
                <w:bCs/>
                <w:i w:val="0"/>
                <w:iCs w:val="0"/>
                <w:color w:val="auto"/>
                <w:sz w:val="21"/>
                <w:szCs w:val="21"/>
                <w:highlight w:val="none"/>
                <w:vertAlign w:val="baseline"/>
                <w:lang w:val="en-US" w:eastAsia="zh-CN"/>
              </w:rPr>
            </w:pPr>
            <w:r>
              <w:rPr>
                <w:rFonts w:hint="eastAsia" w:ascii="Times New Roman" w:hAnsi="Times New Roman" w:cs="Times New Roman"/>
                <w:b/>
                <w:bCs/>
                <w:i w:val="0"/>
                <w:iCs w:val="0"/>
                <w:color w:val="auto"/>
                <w:sz w:val="21"/>
                <w:szCs w:val="21"/>
                <w:highlight w:val="none"/>
                <w:vertAlign w:val="baseline"/>
                <w:lang w:val="en-US" w:eastAsia="zh-CN"/>
              </w:rPr>
              <w:t>厂区东侧</w:t>
            </w:r>
            <w:r>
              <w:rPr>
                <w:rFonts w:hint="eastAsia" w:cs="Times New Roman"/>
                <w:b/>
                <w:bCs/>
                <w:i w:val="0"/>
                <w:iCs w:val="0"/>
                <w:color w:val="auto"/>
                <w:sz w:val="21"/>
                <w:szCs w:val="21"/>
                <w:highlight w:val="none"/>
                <w:vertAlign w:val="baseline"/>
                <w:lang w:val="en-US" w:eastAsia="zh-CN"/>
              </w:rPr>
              <w:t>隔绥远路平房居民区</w:t>
            </w:r>
          </w:p>
        </w:tc>
      </w:tr>
      <w:tr w14:paraId="684F5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956" w:type="dxa"/>
            <w:tcBorders>
              <w:tl2br w:val="nil"/>
              <w:tr2bl w:val="nil"/>
            </w:tcBorders>
            <w:vAlign w:val="center"/>
          </w:tcPr>
          <w:p w14:paraId="7D32ED8C">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b/>
                <w:bCs/>
                <w:color w:val="auto"/>
                <w:sz w:val="21"/>
                <w:szCs w:val="21"/>
                <w:highlight w:val="none"/>
                <w:vertAlign w:val="baseline"/>
                <w:lang w:val="en-US" w:eastAsia="zh-CN"/>
              </w:rPr>
            </w:pPr>
            <w:r>
              <w:rPr>
                <w:rFonts w:hint="eastAsia" w:eastAsia="宋体"/>
                <w:b/>
                <w:bCs/>
                <w:color w:val="auto"/>
                <w:sz w:val="21"/>
                <w:szCs w:val="21"/>
                <w:highlight w:val="none"/>
                <w:vertAlign w:val="baseline"/>
                <w:lang w:val="en-US" w:eastAsia="zh-CN"/>
              </w:rPr>
              <w:drawing>
                <wp:inline distT="0" distB="0" distL="114300" distR="114300">
                  <wp:extent cx="2997200" cy="2247900"/>
                  <wp:effectExtent l="0" t="0" r="0" b="0"/>
                  <wp:docPr id="28" name="图片 28" descr="微信图片_20260821204246_3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微信图片_20260821204246_34_2"/>
                          <pic:cNvPicPr>
                            <a:picLocks noChangeAspect="1"/>
                          </pic:cNvPicPr>
                        </pic:nvPicPr>
                        <pic:blipFill>
                          <a:blip r:embed="rId124"/>
                          <a:stretch>
                            <a:fillRect/>
                          </a:stretch>
                        </pic:blipFill>
                        <pic:spPr>
                          <a:xfrm>
                            <a:off x="0" y="0"/>
                            <a:ext cx="2997200" cy="2247900"/>
                          </a:xfrm>
                          <a:prstGeom prst="rect">
                            <a:avLst/>
                          </a:prstGeom>
                        </pic:spPr>
                      </pic:pic>
                    </a:graphicData>
                  </a:graphic>
                </wp:inline>
              </w:drawing>
            </w:r>
          </w:p>
        </w:tc>
        <w:tc>
          <w:tcPr>
            <w:tcW w:w="4956" w:type="dxa"/>
            <w:tcBorders>
              <w:tl2br w:val="nil"/>
              <w:tr2bl w:val="nil"/>
            </w:tcBorders>
            <w:vAlign w:val="center"/>
          </w:tcPr>
          <w:p w14:paraId="3F18189E">
            <w:pPr>
              <w:keepNext w:val="0"/>
              <w:keepLines w:val="0"/>
              <w:pageBreakBefore w:val="0"/>
              <w:widowControl w:val="0"/>
              <w:kinsoku/>
              <w:wordWrap/>
              <w:overflowPunct/>
              <w:topLinePunct w:val="0"/>
              <w:autoSpaceDE/>
              <w:autoSpaceDN/>
              <w:bidi w:val="0"/>
              <w:adjustRightInd/>
              <w:snapToGrid/>
              <w:textAlignment w:val="auto"/>
              <w:rPr>
                <w:rFonts w:hint="default"/>
                <w:b/>
                <w:bCs/>
                <w:color w:val="auto"/>
                <w:sz w:val="21"/>
                <w:szCs w:val="21"/>
                <w:highlight w:val="none"/>
                <w:vertAlign w:val="baseline"/>
                <w:lang w:val="en-US" w:eastAsia="zh-CN"/>
              </w:rPr>
            </w:pPr>
            <w:r>
              <w:rPr>
                <w:rFonts w:hint="default"/>
                <w:b/>
                <w:bCs/>
                <w:color w:val="auto"/>
                <w:sz w:val="21"/>
                <w:szCs w:val="21"/>
                <w:highlight w:val="none"/>
                <w:vertAlign w:val="baseline"/>
                <w:lang w:val="en-US" w:eastAsia="zh-CN"/>
              </w:rPr>
              <w:drawing>
                <wp:inline distT="0" distB="0" distL="114300" distR="114300">
                  <wp:extent cx="2997200" cy="2247900"/>
                  <wp:effectExtent l="0" t="0" r="0" b="0"/>
                  <wp:docPr id="24" name="图片 24" descr="厂址西侧沟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厂址西侧沟塘"/>
                          <pic:cNvPicPr>
                            <a:picLocks noChangeAspect="1"/>
                          </pic:cNvPicPr>
                        </pic:nvPicPr>
                        <pic:blipFill>
                          <a:blip r:embed="rId125"/>
                          <a:stretch>
                            <a:fillRect/>
                          </a:stretch>
                        </pic:blipFill>
                        <pic:spPr>
                          <a:xfrm>
                            <a:off x="0" y="0"/>
                            <a:ext cx="2997200" cy="2247900"/>
                          </a:xfrm>
                          <a:prstGeom prst="rect">
                            <a:avLst/>
                          </a:prstGeom>
                        </pic:spPr>
                      </pic:pic>
                    </a:graphicData>
                  </a:graphic>
                </wp:inline>
              </w:drawing>
            </w:r>
          </w:p>
        </w:tc>
      </w:tr>
      <w:tr w14:paraId="3B21A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956" w:type="dxa"/>
            <w:tcBorders>
              <w:tl2br w:val="nil"/>
              <w:tr2bl w:val="nil"/>
            </w:tcBorders>
            <w:vAlign w:val="center"/>
          </w:tcPr>
          <w:p w14:paraId="52EDED01">
            <w:pPr>
              <w:keepNext w:val="0"/>
              <w:keepLines w:val="0"/>
              <w:pageBreakBefore w:val="0"/>
              <w:widowControl w:val="0"/>
              <w:kinsoku/>
              <w:wordWrap/>
              <w:overflowPunct/>
              <w:topLinePunct w:val="0"/>
              <w:autoSpaceDE/>
              <w:autoSpaceDN/>
              <w:bidi w:val="0"/>
              <w:adjustRightInd/>
              <w:snapToGrid/>
              <w:jc w:val="center"/>
              <w:textAlignment w:val="auto"/>
              <w:rPr>
                <w:rFonts w:hint="default"/>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厂址南侧农业机械停放场</w:t>
            </w:r>
          </w:p>
        </w:tc>
        <w:tc>
          <w:tcPr>
            <w:tcW w:w="4956" w:type="dxa"/>
            <w:tcBorders>
              <w:tl2br w:val="nil"/>
              <w:tr2bl w:val="nil"/>
            </w:tcBorders>
            <w:vAlign w:val="center"/>
          </w:tcPr>
          <w:p w14:paraId="3472C01F">
            <w:pPr>
              <w:keepNext w:val="0"/>
              <w:keepLines w:val="0"/>
              <w:pageBreakBefore w:val="0"/>
              <w:widowControl w:val="0"/>
              <w:kinsoku/>
              <w:wordWrap/>
              <w:overflowPunct/>
              <w:topLinePunct w:val="0"/>
              <w:autoSpaceDE/>
              <w:autoSpaceDN/>
              <w:bidi w:val="0"/>
              <w:adjustRightInd/>
              <w:snapToGrid/>
              <w:jc w:val="center"/>
              <w:textAlignment w:val="auto"/>
              <w:rPr>
                <w:rFonts w:hint="default"/>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厂址西侧沟塘</w:t>
            </w:r>
          </w:p>
        </w:tc>
      </w:tr>
      <w:tr w14:paraId="453BB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956" w:type="dxa"/>
            <w:tcBorders>
              <w:tl2br w:val="nil"/>
              <w:tr2bl w:val="nil"/>
            </w:tcBorders>
            <w:vAlign w:val="center"/>
          </w:tcPr>
          <w:p w14:paraId="13C4178C">
            <w:pPr>
              <w:keepNext w:val="0"/>
              <w:keepLines w:val="0"/>
              <w:pageBreakBefore w:val="0"/>
              <w:widowControl w:val="0"/>
              <w:kinsoku/>
              <w:wordWrap/>
              <w:overflowPunct/>
              <w:topLinePunct w:val="0"/>
              <w:autoSpaceDE/>
              <w:autoSpaceDN/>
              <w:bidi w:val="0"/>
              <w:adjustRightInd/>
              <w:snapToGrid/>
              <w:jc w:val="center"/>
              <w:textAlignment w:val="auto"/>
              <w:rPr>
                <w:rFonts w:hint="default"/>
                <w:b/>
                <w:bCs/>
                <w:color w:val="auto"/>
                <w:sz w:val="21"/>
                <w:szCs w:val="21"/>
                <w:highlight w:val="none"/>
                <w:vertAlign w:val="baseline"/>
                <w:lang w:val="en-US" w:eastAsia="zh-CN"/>
              </w:rPr>
            </w:pPr>
          </w:p>
        </w:tc>
        <w:tc>
          <w:tcPr>
            <w:tcW w:w="4956" w:type="dxa"/>
            <w:tcBorders>
              <w:tl2br w:val="nil"/>
              <w:tr2bl w:val="nil"/>
            </w:tcBorders>
            <w:vAlign w:val="center"/>
          </w:tcPr>
          <w:p w14:paraId="14624431">
            <w:pPr>
              <w:keepNext w:val="0"/>
              <w:keepLines w:val="0"/>
              <w:pageBreakBefore w:val="0"/>
              <w:widowControl w:val="0"/>
              <w:kinsoku/>
              <w:wordWrap/>
              <w:overflowPunct/>
              <w:topLinePunct w:val="0"/>
              <w:autoSpaceDE/>
              <w:autoSpaceDN/>
              <w:bidi w:val="0"/>
              <w:adjustRightInd/>
              <w:snapToGrid/>
              <w:jc w:val="center"/>
              <w:textAlignment w:val="auto"/>
              <w:rPr>
                <w:rFonts w:hint="default"/>
                <w:b/>
                <w:bCs/>
                <w:color w:val="auto"/>
                <w:sz w:val="21"/>
                <w:szCs w:val="21"/>
                <w:highlight w:val="none"/>
                <w:vertAlign w:val="baseline"/>
                <w:lang w:val="en-US" w:eastAsia="zh-CN"/>
              </w:rPr>
            </w:pPr>
          </w:p>
        </w:tc>
      </w:tr>
      <w:tr w14:paraId="0F178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956" w:type="dxa"/>
            <w:tcBorders>
              <w:tl2br w:val="nil"/>
              <w:tr2bl w:val="nil"/>
            </w:tcBorders>
            <w:vAlign w:val="center"/>
          </w:tcPr>
          <w:p w14:paraId="41276DE7">
            <w:pPr>
              <w:keepNext w:val="0"/>
              <w:keepLines w:val="0"/>
              <w:pageBreakBefore w:val="0"/>
              <w:widowControl w:val="0"/>
              <w:kinsoku/>
              <w:wordWrap/>
              <w:overflowPunct/>
              <w:topLinePunct w:val="0"/>
              <w:autoSpaceDE/>
              <w:autoSpaceDN/>
              <w:bidi w:val="0"/>
              <w:adjustRightInd/>
              <w:snapToGrid/>
              <w:jc w:val="center"/>
              <w:textAlignment w:val="auto"/>
              <w:rPr>
                <w:rFonts w:hint="default"/>
                <w:b/>
                <w:bCs/>
                <w:color w:val="auto"/>
                <w:sz w:val="21"/>
                <w:szCs w:val="21"/>
                <w:highlight w:val="none"/>
                <w:vertAlign w:val="baseline"/>
                <w:lang w:val="en-US" w:eastAsia="zh-CN"/>
              </w:rPr>
            </w:pPr>
            <w:r>
              <w:rPr>
                <w:rFonts w:hint="default"/>
                <w:b/>
                <w:bCs/>
                <w:color w:val="auto"/>
                <w:sz w:val="21"/>
                <w:szCs w:val="21"/>
                <w:highlight w:val="none"/>
                <w:vertAlign w:val="baseline"/>
                <w:lang w:val="en-US" w:eastAsia="zh-CN"/>
              </w:rPr>
              <w:drawing>
                <wp:inline distT="0" distB="0" distL="114300" distR="114300">
                  <wp:extent cx="2997200" cy="2247900"/>
                  <wp:effectExtent l="0" t="0" r="0" b="0"/>
                  <wp:docPr id="23" name="图片 23" descr="厂址北侧-沟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厂址北侧-沟塘"/>
                          <pic:cNvPicPr>
                            <a:picLocks noChangeAspect="1"/>
                          </pic:cNvPicPr>
                        </pic:nvPicPr>
                        <pic:blipFill>
                          <a:blip r:embed="rId126"/>
                          <a:stretch>
                            <a:fillRect/>
                          </a:stretch>
                        </pic:blipFill>
                        <pic:spPr>
                          <a:xfrm>
                            <a:off x="0" y="0"/>
                            <a:ext cx="2997200" cy="2247900"/>
                          </a:xfrm>
                          <a:prstGeom prst="rect">
                            <a:avLst/>
                          </a:prstGeom>
                        </pic:spPr>
                      </pic:pic>
                    </a:graphicData>
                  </a:graphic>
                </wp:inline>
              </w:drawing>
            </w:r>
          </w:p>
        </w:tc>
        <w:tc>
          <w:tcPr>
            <w:tcW w:w="4956" w:type="dxa"/>
            <w:tcBorders>
              <w:tl2br w:val="nil"/>
              <w:tr2bl w:val="nil"/>
            </w:tcBorders>
            <w:vAlign w:val="center"/>
          </w:tcPr>
          <w:p w14:paraId="7FB86A4B">
            <w:pPr>
              <w:keepNext w:val="0"/>
              <w:keepLines w:val="0"/>
              <w:pageBreakBefore w:val="0"/>
              <w:widowControl w:val="0"/>
              <w:kinsoku/>
              <w:wordWrap/>
              <w:overflowPunct/>
              <w:topLinePunct w:val="0"/>
              <w:autoSpaceDE/>
              <w:autoSpaceDN/>
              <w:bidi w:val="0"/>
              <w:adjustRightInd/>
              <w:snapToGrid/>
              <w:jc w:val="center"/>
              <w:textAlignment w:val="auto"/>
              <w:rPr>
                <w:rFonts w:hint="default"/>
                <w:b/>
                <w:bCs/>
                <w:color w:val="auto"/>
                <w:sz w:val="21"/>
                <w:szCs w:val="21"/>
                <w:highlight w:val="none"/>
                <w:vertAlign w:val="baseline"/>
                <w:lang w:val="en-US" w:eastAsia="zh-CN"/>
              </w:rPr>
            </w:pPr>
            <w:r>
              <w:rPr>
                <w:rFonts w:hint="default"/>
                <w:b/>
                <w:bCs/>
                <w:color w:val="auto"/>
                <w:sz w:val="21"/>
                <w:szCs w:val="21"/>
                <w:highlight w:val="none"/>
                <w:vertAlign w:val="baseline"/>
                <w:lang w:val="en-US" w:eastAsia="zh-CN"/>
              </w:rPr>
              <w:drawing>
                <wp:inline distT="0" distB="0" distL="114300" distR="114300">
                  <wp:extent cx="2997200" cy="2247900"/>
                  <wp:effectExtent l="0" t="0" r="0" b="0"/>
                  <wp:docPr id="26" name="图片 26" descr="拟建厂址现有建筑（拆除）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拟建厂址现有建筑（拆除）1"/>
                          <pic:cNvPicPr>
                            <a:picLocks noChangeAspect="1"/>
                          </pic:cNvPicPr>
                        </pic:nvPicPr>
                        <pic:blipFill>
                          <a:blip r:embed="rId127"/>
                          <a:stretch>
                            <a:fillRect/>
                          </a:stretch>
                        </pic:blipFill>
                        <pic:spPr>
                          <a:xfrm>
                            <a:off x="0" y="0"/>
                            <a:ext cx="2997200" cy="2247900"/>
                          </a:xfrm>
                          <a:prstGeom prst="rect">
                            <a:avLst/>
                          </a:prstGeom>
                        </pic:spPr>
                      </pic:pic>
                    </a:graphicData>
                  </a:graphic>
                </wp:inline>
              </w:drawing>
            </w:r>
          </w:p>
        </w:tc>
      </w:tr>
      <w:tr w14:paraId="2E548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956" w:type="dxa"/>
            <w:tcBorders>
              <w:tl2br w:val="nil"/>
              <w:tr2bl w:val="nil"/>
            </w:tcBorders>
            <w:vAlign w:val="center"/>
          </w:tcPr>
          <w:p w14:paraId="1AAD4765">
            <w:pPr>
              <w:keepNext w:val="0"/>
              <w:keepLines w:val="0"/>
              <w:pageBreakBefore w:val="0"/>
              <w:widowControl w:val="0"/>
              <w:kinsoku/>
              <w:wordWrap/>
              <w:overflowPunct/>
              <w:topLinePunct w:val="0"/>
              <w:autoSpaceDE/>
              <w:autoSpaceDN/>
              <w:bidi w:val="0"/>
              <w:adjustRightInd/>
              <w:snapToGrid/>
              <w:jc w:val="center"/>
              <w:textAlignment w:val="auto"/>
              <w:rPr>
                <w:rFonts w:hint="default"/>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厂址北侧空地及沟塘</w:t>
            </w:r>
          </w:p>
        </w:tc>
        <w:tc>
          <w:tcPr>
            <w:tcW w:w="4956" w:type="dxa"/>
            <w:tcBorders>
              <w:tl2br w:val="nil"/>
              <w:tr2bl w:val="nil"/>
            </w:tcBorders>
            <w:vAlign w:val="center"/>
          </w:tcPr>
          <w:p w14:paraId="108B76D0">
            <w:pPr>
              <w:keepNext w:val="0"/>
              <w:keepLines w:val="0"/>
              <w:pageBreakBefore w:val="0"/>
              <w:widowControl w:val="0"/>
              <w:kinsoku/>
              <w:wordWrap/>
              <w:overflowPunct/>
              <w:topLinePunct w:val="0"/>
              <w:autoSpaceDE/>
              <w:autoSpaceDN/>
              <w:bidi w:val="0"/>
              <w:adjustRightInd/>
              <w:snapToGrid/>
              <w:jc w:val="center"/>
              <w:textAlignment w:val="auto"/>
              <w:rPr>
                <w:rFonts w:hint="default"/>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厂区内现有建筑物（待拆除）</w:t>
            </w:r>
          </w:p>
        </w:tc>
      </w:tr>
      <w:tr w14:paraId="02BF2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956" w:type="dxa"/>
            <w:tcBorders>
              <w:tl2br w:val="nil"/>
              <w:tr2bl w:val="nil"/>
            </w:tcBorders>
            <w:vAlign w:val="center"/>
          </w:tcPr>
          <w:p w14:paraId="25DF413A">
            <w:pPr>
              <w:keepNext w:val="0"/>
              <w:keepLines w:val="0"/>
              <w:pageBreakBefore w:val="0"/>
              <w:widowControl w:val="0"/>
              <w:kinsoku/>
              <w:wordWrap/>
              <w:overflowPunct/>
              <w:topLinePunct w:val="0"/>
              <w:autoSpaceDE/>
              <w:autoSpaceDN/>
              <w:bidi w:val="0"/>
              <w:adjustRightInd/>
              <w:snapToGrid/>
              <w:jc w:val="center"/>
              <w:textAlignment w:val="auto"/>
              <w:rPr>
                <w:rFonts w:hint="eastAsia"/>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drawing>
                <wp:inline distT="0" distB="0" distL="114300" distR="114300">
                  <wp:extent cx="2997200" cy="2247900"/>
                  <wp:effectExtent l="0" t="0" r="0" b="0"/>
                  <wp:docPr id="31" name="图片 31" descr="拟建厂址现有大棚（拆除）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拟建厂址现有大棚（拆除）1"/>
                          <pic:cNvPicPr>
                            <a:picLocks noChangeAspect="1"/>
                          </pic:cNvPicPr>
                        </pic:nvPicPr>
                        <pic:blipFill>
                          <a:blip r:embed="rId128"/>
                          <a:stretch>
                            <a:fillRect/>
                          </a:stretch>
                        </pic:blipFill>
                        <pic:spPr>
                          <a:xfrm>
                            <a:off x="0" y="0"/>
                            <a:ext cx="2997200" cy="2247900"/>
                          </a:xfrm>
                          <a:prstGeom prst="rect">
                            <a:avLst/>
                          </a:prstGeom>
                        </pic:spPr>
                      </pic:pic>
                    </a:graphicData>
                  </a:graphic>
                </wp:inline>
              </w:drawing>
            </w:r>
          </w:p>
        </w:tc>
        <w:tc>
          <w:tcPr>
            <w:tcW w:w="4956" w:type="dxa"/>
            <w:tcBorders>
              <w:tl2br w:val="nil"/>
              <w:tr2bl w:val="nil"/>
            </w:tcBorders>
            <w:vAlign w:val="center"/>
          </w:tcPr>
          <w:p w14:paraId="7EAA9957">
            <w:pPr>
              <w:keepNext w:val="0"/>
              <w:keepLines w:val="0"/>
              <w:pageBreakBefore w:val="0"/>
              <w:widowControl w:val="0"/>
              <w:kinsoku/>
              <w:wordWrap/>
              <w:overflowPunct/>
              <w:topLinePunct w:val="0"/>
              <w:autoSpaceDE/>
              <w:autoSpaceDN/>
              <w:bidi w:val="0"/>
              <w:adjustRightInd/>
              <w:snapToGrid/>
              <w:jc w:val="center"/>
              <w:textAlignment w:val="auto"/>
              <w:rPr>
                <w:rFonts w:hint="eastAsia"/>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drawing>
                <wp:inline distT="0" distB="0" distL="114300" distR="114300">
                  <wp:extent cx="2997200" cy="2247900"/>
                  <wp:effectExtent l="0" t="0" r="0" b="0"/>
                  <wp:docPr id="41" name="图片 41" descr="拟建厂址现有建筑（拆除）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拟建厂址现有建筑（拆除）2"/>
                          <pic:cNvPicPr>
                            <a:picLocks noChangeAspect="1"/>
                          </pic:cNvPicPr>
                        </pic:nvPicPr>
                        <pic:blipFill>
                          <a:blip r:embed="rId129"/>
                          <a:stretch>
                            <a:fillRect/>
                          </a:stretch>
                        </pic:blipFill>
                        <pic:spPr>
                          <a:xfrm>
                            <a:off x="0" y="0"/>
                            <a:ext cx="2997200" cy="2247900"/>
                          </a:xfrm>
                          <a:prstGeom prst="rect">
                            <a:avLst/>
                          </a:prstGeom>
                        </pic:spPr>
                      </pic:pic>
                    </a:graphicData>
                  </a:graphic>
                </wp:inline>
              </w:drawing>
            </w:r>
          </w:p>
        </w:tc>
      </w:tr>
      <w:tr w14:paraId="7B65E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956" w:type="dxa"/>
            <w:tcBorders>
              <w:tl2br w:val="nil"/>
              <w:tr2bl w:val="nil"/>
            </w:tcBorders>
            <w:vAlign w:val="center"/>
          </w:tcPr>
          <w:p w14:paraId="740A4FE2">
            <w:pPr>
              <w:keepNext w:val="0"/>
              <w:keepLines w:val="0"/>
              <w:pageBreakBefore w:val="0"/>
              <w:widowControl w:val="0"/>
              <w:kinsoku/>
              <w:wordWrap/>
              <w:overflowPunct/>
              <w:topLinePunct w:val="0"/>
              <w:autoSpaceDE/>
              <w:autoSpaceDN/>
              <w:bidi w:val="0"/>
              <w:adjustRightInd/>
              <w:snapToGrid/>
              <w:jc w:val="center"/>
              <w:textAlignment w:val="auto"/>
              <w:rPr>
                <w:rFonts w:hint="default"/>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厂区内现有大棚构筑物（待拆除）</w:t>
            </w:r>
          </w:p>
        </w:tc>
        <w:tc>
          <w:tcPr>
            <w:tcW w:w="4956" w:type="dxa"/>
            <w:tcBorders>
              <w:tl2br w:val="nil"/>
              <w:tr2bl w:val="nil"/>
            </w:tcBorders>
            <w:vAlign w:val="center"/>
          </w:tcPr>
          <w:p w14:paraId="45D8832C">
            <w:pPr>
              <w:keepNext w:val="0"/>
              <w:keepLines w:val="0"/>
              <w:pageBreakBefore w:val="0"/>
              <w:widowControl w:val="0"/>
              <w:kinsoku/>
              <w:wordWrap/>
              <w:overflowPunct/>
              <w:topLinePunct w:val="0"/>
              <w:autoSpaceDE/>
              <w:autoSpaceDN/>
              <w:bidi w:val="0"/>
              <w:adjustRightInd/>
              <w:snapToGrid/>
              <w:jc w:val="center"/>
              <w:textAlignment w:val="auto"/>
              <w:rPr>
                <w:rFonts w:hint="default"/>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厂区内现有建筑物（待拆除）</w:t>
            </w:r>
          </w:p>
        </w:tc>
      </w:tr>
      <w:tr w14:paraId="0A4D1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956" w:type="dxa"/>
            <w:tcBorders>
              <w:tl2br w:val="nil"/>
              <w:tr2bl w:val="nil"/>
            </w:tcBorders>
            <w:vAlign w:val="center"/>
          </w:tcPr>
          <w:p w14:paraId="1E727D30">
            <w:pPr>
              <w:keepNext w:val="0"/>
              <w:keepLines w:val="0"/>
              <w:pageBreakBefore w:val="0"/>
              <w:widowControl w:val="0"/>
              <w:kinsoku/>
              <w:wordWrap/>
              <w:overflowPunct/>
              <w:topLinePunct w:val="0"/>
              <w:autoSpaceDE/>
              <w:autoSpaceDN/>
              <w:bidi w:val="0"/>
              <w:adjustRightInd/>
              <w:snapToGrid/>
              <w:jc w:val="center"/>
              <w:textAlignment w:val="auto"/>
              <w:rPr>
                <w:rFonts w:hint="eastAsia"/>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drawing>
                <wp:inline distT="0" distB="0" distL="114300" distR="114300">
                  <wp:extent cx="2997200" cy="2247900"/>
                  <wp:effectExtent l="0" t="0" r="0" b="0"/>
                  <wp:docPr id="43" name="图片 43" descr="微信图片_20260821204108_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微信图片_20260821204108_1_2"/>
                          <pic:cNvPicPr>
                            <a:picLocks noChangeAspect="1"/>
                          </pic:cNvPicPr>
                        </pic:nvPicPr>
                        <pic:blipFill>
                          <a:blip r:embed="rId130"/>
                          <a:stretch>
                            <a:fillRect/>
                          </a:stretch>
                        </pic:blipFill>
                        <pic:spPr>
                          <a:xfrm>
                            <a:off x="0" y="0"/>
                            <a:ext cx="2997200" cy="2247900"/>
                          </a:xfrm>
                          <a:prstGeom prst="rect">
                            <a:avLst/>
                          </a:prstGeom>
                        </pic:spPr>
                      </pic:pic>
                    </a:graphicData>
                  </a:graphic>
                </wp:inline>
              </w:drawing>
            </w:r>
          </w:p>
        </w:tc>
        <w:tc>
          <w:tcPr>
            <w:tcW w:w="4956" w:type="dxa"/>
            <w:tcBorders>
              <w:tl2br w:val="nil"/>
              <w:tr2bl w:val="nil"/>
            </w:tcBorders>
            <w:vAlign w:val="center"/>
          </w:tcPr>
          <w:p w14:paraId="7CD1BB10">
            <w:pPr>
              <w:keepNext w:val="0"/>
              <w:keepLines w:val="0"/>
              <w:pageBreakBefore w:val="0"/>
              <w:widowControl w:val="0"/>
              <w:kinsoku/>
              <w:wordWrap/>
              <w:overflowPunct/>
              <w:topLinePunct w:val="0"/>
              <w:autoSpaceDE/>
              <w:autoSpaceDN/>
              <w:bidi w:val="0"/>
              <w:adjustRightInd/>
              <w:snapToGrid/>
              <w:jc w:val="center"/>
              <w:textAlignment w:val="auto"/>
              <w:rPr>
                <w:rFonts w:hint="eastAsia"/>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drawing>
                <wp:inline distT="0" distB="0" distL="114300" distR="114300">
                  <wp:extent cx="2997200" cy="2247900"/>
                  <wp:effectExtent l="0" t="0" r="0" b="0"/>
                  <wp:docPr id="32" name="图片 32" descr="拟建厂址现有建筑（保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拟建厂址现有建筑（保留）"/>
                          <pic:cNvPicPr>
                            <a:picLocks noChangeAspect="1"/>
                          </pic:cNvPicPr>
                        </pic:nvPicPr>
                        <pic:blipFill>
                          <a:blip r:embed="rId131"/>
                          <a:stretch>
                            <a:fillRect/>
                          </a:stretch>
                        </pic:blipFill>
                        <pic:spPr>
                          <a:xfrm>
                            <a:off x="0" y="0"/>
                            <a:ext cx="2997200" cy="2247900"/>
                          </a:xfrm>
                          <a:prstGeom prst="rect">
                            <a:avLst/>
                          </a:prstGeom>
                        </pic:spPr>
                      </pic:pic>
                    </a:graphicData>
                  </a:graphic>
                </wp:inline>
              </w:drawing>
            </w:r>
          </w:p>
        </w:tc>
      </w:tr>
      <w:tr w14:paraId="332AD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956" w:type="dxa"/>
            <w:tcBorders>
              <w:tl2br w:val="nil"/>
              <w:tr2bl w:val="nil"/>
            </w:tcBorders>
            <w:vAlign w:val="center"/>
          </w:tcPr>
          <w:p w14:paraId="12155F32">
            <w:pPr>
              <w:keepNext w:val="0"/>
              <w:keepLines w:val="0"/>
              <w:pageBreakBefore w:val="0"/>
              <w:widowControl w:val="0"/>
              <w:kinsoku/>
              <w:wordWrap/>
              <w:overflowPunct/>
              <w:topLinePunct w:val="0"/>
              <w:autoSpaceDE/>
              <w:autoSpaceDN/>
              <w:bidi w:val="0"/>
              <w:adjustRightInd/>
              <w:snapToGrid/>
              <w:jc w:val="center"/>
              <w:textAlignment w:val="auto"/>
              <w:rPr>
                <w:rFonts w:hint="default"/>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拟供热小区</w:t>
            </w:r>
          </w:p>
        </w:tc>
        <w:tc>
          <w:tcPr>
            <w:tcW w:w="4956" w:type="dxa"/>
            <w:tcBorders>
              <w:tl2br w:val="nil"/>
              <w:tr2bl w:val="nil"/>
            </w:tcBorders>
            <w:vAlign w:val="center"/>
          </w:tcPr>
          <w:p w14:paraId="3BF17FC4">
            <w:pPr>
              <w:keepNext w:val="0"/>
              <w:keepLines w:val="0"/>
              <w:pageBreakBefore w:val="0"/>
              <w:widowControl w:val="0"/>
              <w:kinsoku/>
              <w:wordWrap/>
              <w:overflowPunct/>
              <w:topLinePunct w:val="0"/>
              <w:autoSpaceDE/>
              <w:autoSpaceDN/>
              <w:bidi w:val="0"/>
              <w:adjustRightInd/>
              <w:snapToGrid/>
              <w:jc w:val="center"/>
              <w:textAlignment w:val="auto"/>
              <w:rPr>
                <w:rFonts w:hint="eastAsia"/>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厂区内现有建筑物（保留）</w:t>
            </w:r>
          </w:p>
        </w:tc>
      </w:tr>
    </w:tbl>
    <w:p w14:paraId="5692F1FC">
      <w:pPr>
        <w:rPr>
          <w:rFonts w:hint="default"/>
          <w:b/>
          <w:bCs/>
          <w:color w:val="FF0000"/>
          <w:sz w:val="24"/>
          <w:szCs w:val="24"/>
          <w:highlight w:val="none"/>
          <w:vertAlign w:val="baseline"/>
          <w:lang w:val="en-US" w:eastAsia="zh-CN"/>
        </w:rPr>
      </w:pPr>
    </w:p>
    <w:p w14:paraId="3EAAE41E">
      <w:pPr>
        <w:pStyle w:val="16"/>
        <w:rPr>
          <w:rFonts w:hint="eastAsia" w:eastAsia="宋体"/>
          <w:color w:val="FF0000"/>
          <w:highlight w:val="none"/>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31CA2B68">
      <w:pPr>
        <w:keepNext w:val="0"/>
        <w:keepLines w:val="0"/>
        <w:pageBreakBefore w:val="0"/>
        <w:widowControl w:val="0"/>
        <w:kinsoku/>
        <w:wordWrap/>
        <w:overflowPunct/>
        <w:topLinePunct w:val="0"/>
        <w:autoSpaceDE/>
        <w:autoSpaceDN/>
        <w:bidi w:val="0"/>
        <w:adjustRightInd/>
        <w:snapToGrid/>
        <w:textAlignment w:val="auto"/>
        <w:outlineLvl w:val="0"/>
        <w:rPr>
          <w:rFonts w:hint="default" w:ascii="Times New Roman" w:hAnsi="Times New Roman" w:eastAsia="黑体" w:cs="Times New Roman"/>
          <w:b/>
          <w:bCs/>
          <w:color w:val="000000" w:themeColor="text1"/>
          <w:sz w:val="24"/>
          <w:szCs w:val="24"/>
          <w:highlight w:val="none"/>
          <w:lang w:val="en-US" w:eastAsia="zh-CN"/>
          <w14:textFill>
            <w14:solidFill>
              <w14:schemeClr w14:val="tx1"/>
            </w14:solidFill>
          </w14:textFill>
        </w:rPr>
      </w:pPr>
      <w:bookmarkStart w:id="23" w:name="_Toc29911"/>
      <w:r>
        <w:rPr>
          <w:rFonts w:hint="eastAsia" w:ascii="Times New Roman" w:hAnsi="Times New Roman" w:eastAsia="黑体" w:cs="Times New Roman"/>
          <w:b/>
          <w:bCs/>
          <w:color w:val="000000" w:themeColor="text1"/>
          <w:sz w:val="24"/>
          <w:szCs w:val="24"/>
          <w:highlight w:val="none"/>
          <w:lang w:val="en-US" w:eastAsia="zh-CN"/>
          <w14:textFill>
            <w14:solidFill>
              <w14:schemeClr w14:val="tx1"/>
            </w14:solidFill>
          </w14:textFill>
        </w:rPr>
        <w:t xml:space="preserve">附件1  </w:t>
      </w:r>
      <w:r>
        <w:rPr>
          <w:rFonts w:hint="eastAsia" w:eastAsia="黑体" w:cs="Times New Roman"/>
          <w:b/>
          <w:bCs/>
          <w:color w:val="000000" w:themeColor="text1"/>
          <w:sz w:val="24"/>
          <w:szCs w:val="24"/>
          <w:highlight w:val="none"/>
          <w:lang w:val="en-US" w:eastAsia="zh-CN"/>
          <w14:textFill>
            <w14:solidFill>
              <w14:schemeClr w14:val="tx1"/>
            </w14:solidFill>
          </w14:textFill>
        </w:rPr>
        <w:t>统一社会信用代码证书</w:t>
      </w:r>
      <w:bookmarkEnd w:id="23"/>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652"/>
      </w:tblGrid>
      <w:tr w14:paraId="783C7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52" w:type="dxa"/>
            <w:tcBorders>
              <w:tl2br w:val="nil"/>
              <w:tr2bl w:val="nil"/>
            </w:tcBorders>
          </w:tcPr>
          <w:p w14:paraId="5D357360">
            <w:pPr>
              <w:jc w:val="center"/>
              <w:rPr>
                <w:rFonts w:hint="default"/>
                <w:b/>
                <w:bCs/>
                <w:color w:val="FF0000"/>
                <w:sz w:val="24"/>
                <w:szCs w:val="24"/>
                <w:highlight w:val="none"/>
                <w:vertAlign w:val="baseline"/>
                <w:lang w:val="en-US" w:eastAsia="zh-CN"/>
              </w:rPr>
            </w:pPr>
            <w:r>
              <w:rPr>
                <w:rFonts w:hint="default"/>
                <w:b/>
                <w:bCs/>
                <w:color w:val="FF0000"/>
                <w:sz w:val="24"/>
                <w:szCs w:val="24"/>
                <w:highlight w:val="none"/>
                <w:vertAlign w:val="baseline"/>
                <w:lang w:val="en-US" w:eastAsia="zh-CN"/>
              </w:rPr>
              <w:drawing>
                <wp:inline distT="0" distB="0" distL="114300" distR="114300">
                  <wp:extent cx="7388860" cy="5295900"/>
                  <wp:effectExtent l="0" t="0" r="2540" b="0"/>
                  <wp:docPr id="46" name="图片 46" descr="建设规划许可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建设规划许可证"/>
                          <pic:cNvPicPr>
                            <a:picLocks noChangeAspect="1"/>
                          </pic:cNvPicPr>
                        </pic:nvPicPr>
                        <pic:blipFill>
                          <a:blip r:embed="rId132"/>
                          <a:stretch>
                            <a:fillRect/>
                          </a:stretch>
                        </pic:blipFill>
                        <pic:spPr>
                          <a:xfrm>
                            <a:off x="0" y="0"/>
                            <a:ext cx="7388860" cy="5295900"/>
                          </a:xfrm>
                          <a:prstGeom prst="rect">
                            <a:avLst/>
                          </a:prstGeom>
                        </pic:spPr>
                      </pic:pic>
                    </a:graphicData>
                  </a:graphic>
                </wp:inline>
              </w:drawing>
            </w:r>
          </w:p>
        </w:tc>
      </w:tr>
    </w:tbl>
    <w:p w14:paraId="10A14E32">
      <w:pPr>
        <w:rPr>
          <w:rFonts w:hint="default"/>
          <w:b/>
          <w:bCs/>
          <w:color w:val="FF0000"/>
          <w:sz w:val="24"/>
          <w:szCs w:val="24"/>
          <w:highlight w:val="none"/>
          <w:vertAlign w:val="baseline"/>
          <w:lang w:val="en-US"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5E5DEDFC">
      <w:pPr>
        <w:keepNext w:val="0"/>
        <w:keepLines w:val="0"/>
        <w:pageBreakBefore w:val="0"/>
        <w:widowControl w:val="0"/>
        <w:kinsoku/>
        <w:wordWrap/>
        <w:overflowPunct/>
        <w:topLinePunct w:val="0"/>
        <w:autoSpaceDE/>
        <w:autoSpaceDN/>
        <w:bidi w:val="0"/>
        <w:adjustRightInd/>
        <w:snapToGrid/>
        <w:textAlignment w:val="auto"/>
        <w:outlineLvl w:val="0"/>
        <w:rPr>
          <w:rFonts w:hint="default" w:ascii="Times New Roman" w:hAnsi="Times New Roman" w:eastAsia="黑体" w:cs="Times New Roman"/>
          <w:b/>
          <w:bCs/>
          <w:color w:val="000000" w:themeColor="text1"/>
          <w:sz w:val="24"/>
          <w:szCs w:val="24"/>
          <w:highlight w:val="none"/>
          <w:lang w:val="en-US" w:eastAsia="zh-CN"/>
          <w14:textFill>
            <w14:solidFill>
              <w14:schemeClr w14:val="tx1"/>
            </w14:solidFill>
          </w14:textFill>
        </w:rPr>
      </w:pPr>
      <w:bookmarkStart w:id="24" w:name="_Toc700"/>
      <w:r>
        <w:rPr>
          <w:rFonts w:hint="eastAsia" w:ascii="Times New Roman" w:hAnsi="Times New Roman" w:eastAsia="黑体" w:cs="Times New Roman"/>
          <w:b/>
          <w:bCs/>
          <w:color w:val="000000" w:themeColor="text1"/>
          <w:sz w:val="24"/>
          <w:szCs w:val="24"/>
          <w:highlight w:val="none"/>
          <w:lang w:val="en-US" w:eastAsia="zh-CN"/>
          <w14:textFill>
            <w14:solidFill>
              <w14:schemeClr w14:val="tx1"/>
            </w14:solidFill>
          </w14:textFill>
        </w:rPr>
        <w:t xml:space="preserve">附件2  </w:t>
      </w:r>
      <w:r>
        <w:rPr>
          <w:rFonts w:hint="eastAsia" w:eastAsia="黑体" w:cs="Times New Roman"/>
          <w:b/>
          <w:bCs/>
          <w:color w:val="000000" w:themeColor="text1"/>
          <w:sz w:val="24"/>
          <w:szCs w:val="24"/>
          <w:highlight w:val="none"/>
          <w:lang w:val="en-US" w:eastAsia="zh-CN"/>
          <w14:textFill>
            <w14:solidFill>
              <w14:schemeClr w14:val="tx1"/>
            </w14:solidFill>
          </w14:textFill>
        </w:rPr>
        <w:t>土地证明</w:t>
      </w:r>
      <w:bookmarkEnd w:id="24"/>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652"/>
      </w:tblGrid>
      <w:tr w14:paraId="4B298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52" w:type="dxa"/>
            <w:tcBorders>
              <w:tl2br w:val="nil"/>
              <w:tr2bl w:val="nil"/>
            </w:tcBorders>
          </w:tcPr>
          <w:p w14:paraId="169C7759">
            <w:pPr>
              <w:jc w:val="center"/>
              <w:rPr>
                <w:rFonts w:hint="default"/>
                <w:b/>
                <w:bCs/>
                <w:color w:val="FF0000"/>
                <w:sz w:val="24"/>
                <w:szCs w:val="24"/>
                <w:highlight w:val="none"/>
                <w:vertAlign w:val="baseline"/>
                <w:lang w:val="en-US" w:eastAsia="zh-CN"/>
              </w:rPr>
            </w:pPr>
            <w:r>
              <w:rPr>
                <w:rFonts w:hint="default"/>
                <w:b/>
                <w:bCs/>
                <w:color w:val="FF0000"/>
                <w:sz w:val="24"/>
                <w:szCs w:val="24"/>
                <w:highlight w:val="none"/>
                <w:vertAlign w:val="baseline"/>
                <w:lang w:val="en-US" w:eastAsia="zh-CN"/>
              </w:rPr>
              <w:drawing>
                <wp:inline distT="0" distB="0" distL="114300" distR="114300">
                  <wp:extent cx="7825105" cy="5404485"/>
                  <wp:effectExtent l="0" t="0" r="10795" b="5715"/>
                  <wp:docPr id="8" name="图片 8" descr="e7037973-9131-4e65-b6f5-4b64a8c49d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7037973-9131-4e65-b6f5-4b64a8c49d46"/>
                          <pic:cNvPicPr>
                            <a:picLocks noChangeAspect="1"/>
                          </pic:cNvPicPr>
                        </pic:nvPicPr>
                        <pic:blipFill>
                          <a:blip r:embed="rId133"/>
                          <a:stretch>
                            <a:fillRect/>
                          </a:stretch>
                        </pic:blipFill>
                        <pic:spPr>
                          <a:xfrm>
                            <a:off x="0" y="0"/>
                            <a:ext cx="7825105" cy="5404485"/>
                          </a:xfrm>
                          <a:prstGeom prst="rect">
                            <a:avLst/>
                          </a:prstGeom>
                        </pic:spPr>
                      </pic:pic>
                    </a:graphicData>
                  </a:graphic>
                </wp:inline>
              </w:drawing>
            </w:r>
          </w:p>
        </w:tc>
      </w:tr>
    </w:tbl>
    <w:p w14:paraId="3B522DC6">
      <w:pPr>
        <w:rPr>
          <w:rFonts w:hint="default"/>
          <w:b/>
          <w:bCs/>
          <w:color w:val="FF0000"/>
          <w:sz w:val="24"/>
          <w:szCs w:val="24"/>
          <w:highlight w:val="none"/>
          <w:vertAlign w:val="baseline"/>
          <w:lang w:val="en-US"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78F307B9">
      <w:pPr>
        <w:keepNext w:val="0"/>
        <w:keepLines w:val="0"/>
        <w:pageBreakBefore w:val="0"/>
        <w:widowControl w:val="0"/>
        <w:kinsoku/>
        <w:wordWrap/>
        <w:overflowPunct/>
        <w:topLinePunct w:val="0"/>
        <w:autoSpaceDE/>
        <w:autoSpaceDN/>
        <w:bidi w:val="0"/>
        <w:adjustRightInd/>
        <w:snapToGrid/>
        <w:textAlignment w:val="auto"/>
        <w:outlineLvl w:val="0"/>
        <w:rPr>
          <w:rFonts w:hint="default" w:ascii="Times New Roman" w:hAnsi="Times New Roman" w:eastAsia="黑体" w:cs="Times New Roman"/>
          <w:b/>
          <w:bCs/>
          <w:color w:val="000000" w:themeColor="text1"/>
          <w:sz w:val="24"/>
          <w:szCs w:val="24"/>
          <w:highlight w:val="none"/>
          <w:lang w:val="en-US" w:eastAsia="zh-CN"/>
          <w14:textFill>
            <w14:solidFill>
              <w14:schemeClr w14:val="tx1"/>
            </w14:solidFill>
          </w14:textFill>
        </w:rPr>
      </w:pPr>
      <w:bookmarkStart w:id="25" w:name="_Toc30707"/>
      <w:r>
        <w:rPr>
          <w:rFonts w:hint="eastAsia" w:ascii="Times New Roman" w:hAnsi="Times New Roman" w:eastAsia="黑体" w:cs="Times New Roman"/>
          <w:b/>
          <w:bCs/>
          <w:color w:val="000000" w:themeColor="text1"/>
          <w:sz w:val="24"/>
          <w:szCs w:val="24"/>
          <w:highlight w:val="none"/>
          <w:lang w:val="en-US" w:eastAsia="zh-CN"/>
          <w14:textFill>
            <w14:solidFill>
              <w14:schemeClr w14:val="tx1"/>
            </w14:solidFill>
          </w14:textFill>
        </w:rPr>
        <w:t>附件3  生物质成型燃料成分分析检测报告</w:t>
      </w:r>
      <w:bookmarkEnd w:id="25"/>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60"/>
      </w:tblGrid>
      <w:tr w14:paraId="1E8FC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0" w:type="dxa"/>
            <w:tcBorders>
              <w:tl2br w:val="nil"/>
              <w:tr2bl w:val="nil"/>
            </w:tcBorders>
          </w:tcPr>
          <w:p w14:paraId="2BACA0B0">
            <w:pPr>
              <w:rPr>
                <w:rFonts w:hint="default"/>
                <w:b/>
                <w:bCs/>
                <w:color w:val="FF0000"/>
                <w:sz w:val="24"/>
                <w:szCs w:val="24"/>
                <w:highlight w:val="none"/>
                <w:vertAlign w:val="baseline"/>
                <w:lang w:val="en-US" w:eastAsia="zh-CN"/>
              </w:rPr>
            </w:pPr>
            <w:bookmarkStart w:id="26" w:name="_Toc21683"/>
            <w:bookmarkStart w:id="27" w:name="_Toc5648"/>
            <w:bookmarkStart w:id="28" w:name="_Toc10363"/>
            <w:bookmarkStart w:id="29" w:name="_Toc427"/>
            <w:r>
              <w:rPr>
                <w:rFonts w:hint="eastAsia" w:ascii="Times New Roman" w:hAnsi="Times New Roman" w:eastAsia="黑体" w:cs="Times New Roman"/>
                <w:snapToGrid w:val="0"/>
                <w:color w:val="FF0000"/>
                <w:sz w:val="28"/>
                <w:szCs w:val="28"/>
                <w:highlight w:val="none"/>
                <w:vertAlign w:val="baseline"/>
                <w:lang w:val="en-US" w:eastAsia="zh-CN"/>
              </w:rPr>
              <w:drawing>
                <wp:inline distT="0" distB="0" distL="114300" distR="114300">
                  <wp:extent cx="5674995" cy="7797165"/>
                  <wp:effectExtent l="0" t="0" r="1905" b="13335"/>
                  <wp:docPr id="34" name="图片 34" descr="（类比）生物质组分分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类比）生物质组分分析"/>
                          <pic:cNvPicPr>
                            <a:picLocks noChangeAspect="1"/>
                          </pic:cNvPicPr>
                        </pic:nvPicPr>
                        <pic:blipFill>
                          <a:blip r:embed="rId134"/>
                          <a:stretch>
                            <a:fillRect/>
                          </a:stretch>
                        </pic:blipFill>
                        <pic:spPr>
                          <a:xfrm>
                            <a:off x="0" y="0"/>
                            <a:ext cx="5674995" cy="7797165"/>
                          </a:xfrm>
                          <a:prstGeom prst="rect">
                            <a:avLst/>
                          </a:prstGeom>
                        </pic:spPr>
                      </pic:pic>
                    </a:graphicData>
                  </a:graphic>
                </wp:inline>
              </w:drawing>
            </w:r>
            <w:bookmarkEnd w:id="26"/>
            <w:bookmarkEnd w:id="27"/>
            <w:bookmarkEnd w:id="28"/>
            <w:bookmarkEnd w:id="29"/>
          </w:p>
        </w:tc>
      </w:tr>
    </w:tbl>
    <w:p w14:paraId="3123A0BF">
      <w:pPr>
        <w:rPr>
          <w:rFonts w:hint="default"/>
          <w:b/>
          <w:bCs/>
          <w:color w:val="FF0000"/>
          <w:sz w:val="24"/>
          <w:szCs w:val="24"/>
          <w:highlight w:val="none"/>
          <w:vertAlign w:val="baseline"/>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14A51465">
      <w:pPr>
        <w:keepNext w:val="0"/>
        <w:keepLines w:val="0"/>
        <w:pageBreakBefore w:val="0"/>
        <w:widowControl w:val="0"/>
        <w:kinsoku/>
        <w:wordWrap/>
        <w:overflowPunct/>
        <w:topLinePunct w:val="0"/>
        <w:autoSpaceDE/>
        <w:autoSpaceDN/>
        <w:bidi w:val="0"/>
        <w:adjustRightInd/>
        <w:snapToGrid/>
        <w:textAlignment w:val="auto"/>
        <w:outlineLvl w:val="0"/>
        <w:rPr>
          <w:rFonts w:hint="default" w:ascii="Times New Roman" w:hAnsi="Times New Roman" w:eastAsia="黑体" w:cs="Times New Roman"/>
          <w:b/>
          <w:bCs/>
          <w:color w:val="000000" w:themeColor="text1"/>
          <w:sz w:val="24"/>
          <w:szCs w:val="24"/>
          <w:highlight w:val="none"/>
          <w:lang w:val="en-US" w:eastAsia="zh-CN"/>
          <w14:textFill>
            <w14:solidFill>
              <w14:schemeClr w14:val="tx1"/>
            </w14:solidFill>
          </w14:textFill>
        </w:rPr>
      </w:pPr>
      <w:bookmarkStart w:id="30" w:name="_Toc4683"/>
      <w:r>
        <w:rPr>
          <w:rFonts w:hint="eastAsia" w:ascii="Times New Roman" w:hAnsi="Times New Roman" w:eastAsia="黑体" w:cs="Times New Roman"/>
          <w:b/>
          <w:bCs/>
          <w:color w:val="000000" w:themeColor="text1"/>
          <w:sz w:val="24"/>
          <w:szCs w:val="24"/>
          <w:highlight w:val="none"/>
          <w:lang w:val="en-US" w:eastAsia="zh-CN"/>
          <w14:textFill>
            <w14:solidFill>
              <w14:schemeClr w14:val="tx1"/>
            </w14:solidFill>
          </w14:textFill>
        </w:rPr>
        <w:t>附件4  生态环境分区管控分析报告</w:t>
      </w:r>
      <w:bookmarkEnd w:id="30"/>
    </w:p>
    <w:tbl>
      <w:tblPr>
        <w:tblStyle w:val="2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652"/>
      </w:tblGrid>
      <w:tr w14:paraId="576BE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652" w:type="dxa"/>
            <w:tcBorders>
              <w:tl2br w:val="nil"/>
              <w:tr2bl w:val="nil"/>
            </w:tcBorders>
          </w:tcPr>
          <w:p w14:paraId="307C0B61">
            <w:pPr>
              <w:jc w:val="center"/>
              <w:rPr>
                <w:rFonts w:hint="default"/>
                <w:b/>
                <w:bCs/>
                <w:color w:val="FF0000"/>
                <w:sz w:val="24"/>
                <w:szCs w:val="24"/>
                <w:highlight w:val="none"/>
                <w:vertAlign w:val="baseline"/>
                <w:lang w:val="en-US" w:eastAsia="zh-CN"/>
              </w:rPr>
            </w:pPr>
            <w:r>
              <w:rPr>
                <w:rFonts w:hint="default"/>
                <w:b/>
                <w:bCs/>
                <w:color w:val="FF0000"/>
                <w:sz w:val="24"/>
                <w:szCs w:val="24"/>
                <w:highlight w:val="none"/>
                <w:vertAlign w:val="baseline"/>
                <w:lang w:val="en-US" w:eastAsia="zh-CN"/>
              </w:rPr>
              <w:drawing>
                <wp:inline distT="0" distB="0" distL="114300" distR="114300">
                  <wp:extent cx="7551420" cy="5340350"/>
                  <wp:effectExtent l="0" t="0" r="5080" b="6350"/>
                  <wp:docPr id="40" name="图片 40" descr="饶河县农村综合改革试点试验（二期）项目-四排村供热保障提升_2026年09月01日163421_分析报告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饶河县农村综合改革试点试验（二期）项目-四排村供热保障提升_2026年09月01日163421_分析报告_01"/>
                          <pic:cNvPicPr>
                            <a:picLocks noChangeAspect="1"/>
                          </pic:cNvPicPr>
                        </pic:nvPicPr>
                        <pic:blipFill>
                          <a:blip r:embed="rId135"/>
                          <a:stretch>
                            <a:fillRect/>
                          </a:stretch>
                        </pic:blipFill>
                        <pic:spPr>
                          <a:xfrm>
                            <a:off x="0" y="0"/>
                            <a:ext cx="7551420" cy="5340350"/>
                          </a:xfrm>
                          <a:prstGeom prst="rect">
                            <a:avLst/>
                          </a:prstGeom>
                        </pic:spPr>
                      </pic:pic>
                    </a:graphicData>
                  </a:graphic>
                </wp:inline>
              </w:drawing>
            </w:r>
            <w:r>
              <w:rPr>
                <w:rFonts w:hint="default"/>
                <w:b/>
                <w:bCs/>
                <w:color w:val="FF0000"/>
                <w:sz w:val="24"/>
                <w:szCs w:val="24"/>
                <w:highlight w:val="none"/>
                <w:vertAlign w:val="baseline"/>
                <w:lang w:val="en-US" w:eastAsia="zh-CN"/>
              </w:rPr>
              <w:drawing>
                <wp:inline distT="0" distB="0" distL="114300" distR="114300">
                  <wp:extent cx="7938135" cy="5614035"/>
                  <wp:effectExtent l="0" t="0" r="12065" b="12065"/>
                  <wp:docPr id="39" name="图片 39" descr="饶河县农村综合改革试点试验（二期）项目-四排村供热保障提升_2026年09月01日163421_分析报告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饶河县农村综合改革试点试验（二期）项目-四排村供热保障提升_2026年09月01日163421_分析报告_02"/>
                          <pic:cNvPicPr>
                            <a:picLocks noChangeAspect="1"/>
                          </pic:cNvPicPr>
                        </pic:nvPicPr>
                        <pic:blipFill>
                          <a:blip r:embed="rId136"/>
                          <a:stretch>
                            <a:fillRect/>
                          </a:stretch>
                        </pic:blipFill>
                        <pic:spPr>
                          <a:xfrm>
                            <a:off x="0" y="0"/>
                            <a:ext cx="7938135" cy="5614035"/>
                          </a:xfrm>
                          <a:prstGeom prst="rect">
                            <a:avLst/>
                          </a:prstGeom>
                        </pic:spPr>
                      </pic:pic>
                    </a:graphicData>
                  </a:graphic>
                </wp:inline>
              </w:drawing>
            </w:r>
            <w:r>
              <w:rPr>
                <w:rFonts w:hint="default"/>
                <w:b/>
                <w:bCs/>
                <w:color w:val="FF0000"/>
                <w:sz w:val="24"/>
                <w:szCs w:val="24"/>
                <w:highlight w:val="none"/>
                <w:vertAlign w:val="baseline"/>
                <w:lang w:val="en-US" w:eastAsia="zh-CN"/>
              </w:rPr>
              <w:drawing>
                <wp:inline distT="0" distB="0" distL="114300" distR="114300">
                  <wp:extent cx="7938135" cy="5614035"/>
                  <wp:effectExtent l="0" t="0" r="12065" b="12065"/>
                  <wp:docPr id="38" name="图片 38" descr="饶河县农村综合改革试点试验（二期）项目-四排村供热保障提升_2026年09月01日163421_分析报告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饶河县农村综合改革试点试验（二期）项目-四排村供热保障提升_2026年09月01日163421_分析报告_03"/>
                          <pic:cNvPicPr>
                            <a:picLocks noChangeAspect="1"/>
                          </pic:cNvPicPr>
                        </pic:nvPicPr>
                        <pic:blipFill>
                          <a:blip r:embed="rId137"/>
                          <a:stretch>
                            <a:fillRect/>
                          </a:stretch>
                        </pic:blipFill>
                        <pic:spPr>
                          <a:xfrm>
                            <a:off x="0" y="0"/>
                            <a:ext cx="7938135" cy="5614035"/>
                          </a:xfrm>
                          <a:prstGeom prst="rect">
                            <a:avLst/>
                          </a:prstGeom>
                        </pic:spPr>
                      </pic:pic>
                    </a:graphicData>
                  </a:graphic>
                </wp:inline>
              </w:drawing>
            </w:r>
            <w:r>
              <w:rPr>
                <w:rFonts w:hint="default"/>
                <w:b/>
                <w:bCs/>
                <w:color w:val="FF0000"/>
                <w:sz w:val="24"/>
                <w:szCs w:val="24"/>
                <w:highlight w:val="none"/>
                <w:vertAlign w:val="baseline"/>
                <w:lang w:val="en-US" w:eastAsia="zh-CN"/>
              </w:rPr>
              <w:drawing>
                <wp:inline distT="0" distB="0" distL="114300" distR="114300">
                  <wp:extent cx="7938135" cy="5614035"/>
                  <wp:effectExtent l="0" t="0" r="12065" b="12065"/>
                  <wp:docPr id="37" name="图片 37" descr="饶河县农村综合改革试点试验（二期）项目-四排村供热保障提升_2026年09月01日163421_分析报告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饶河县农村综合改革试点试验（二期）项目-四排村供热保障提升_2026年09月01日163421_分析报告_04"/>
                          <pic:cNvPicPr>
                            <a:picLocks noChangeAspect="1"/>
                          </pic:cNvPicPr>
                        </pic:nvPicPr>
                        <pic:blipFill>
                          <a:blip r:embed="rId138"/>
                          <a:stretch>
                            <a:fillRect/>
                          </a:stretch>
                        </pic:blipFill>
                        <pic:spPr>
                          <a:xfrm>
                            <a:off x="0" y="0"/>
                            <a:ext cx="7938135" cy="5614035"/>
                          </a:xfrm>
                          <a:prstGeom prst="rect">
                            <a:avLst/>
                          </a:prstGeom>
                        </pic:spPr>
                      </pic:pic>
                    </a:graphicData>
                  </a:graphic>
                </wp:inline>
              </w:drawing>
            </w:r>
            <w:r>
              <w:rPr>
                <w:rFonts w:hint="default"/>
                <w:b/>
                <w:bCs/>
                <w:color w:val="FF0000"/>
                <w:sz w:val="24"/>
                <w:szCs w:val="24"/>
                <w:highlight w:val="none"/>
                <w:vertAlign w:val="baseline"/>
                <w:lang w:val="en-US" w:eastAsia="zh-CN"/>
              </w:rPr>
              <w:drawing>
                <wp:inline distT="0" distB="0" distL="114300" distR="114300">
                  <wp:extent cx="7938135" cy="5614035"/>
                  <wp:effectExtent l="0" t="0" r="12065" b="12065"/>
                  <wp:docPr id="36" name="图片 36" descr="饶河县农村综合改革试点试验（二期）项目-四排村供热保障提升_2026年09月01日163421_分析报告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饶河县农村综合改革试点试验（二期）项目-四排村供热保障提升_2026年09月01日163421_分析报告_05"/>
                          <pic:cNvPicPr>
                            <a:picLocks noChangeAspect="1"/>
                          </pic:cNvPicPr>
                        </pic:nvPicPr>
                        <pic:blipFill>
                          <a:blip r:embed="rId139"/>
                          <a:stretch>
                            <a:fillRect/>
                          </a:stretch>
                        </pic:blipFill>
                        <pic:spPr>
                          <a:xfrm>
                            <a:off x="0" y="0"/>
                            <a:ext cx="7938135" cy="5614035"/>
                          </a:xfrm>
                          <a:prstGeom prst="rect">
                            <a:avLst/>
                          </a:prstGeom>
                        </pic:spPr>
                      </pic:pic>
                    </a:graphicData>
                  </a:graphic>
                </wp:inline>
              </w:drawing>
            </w:r>
            <w:r>
              <w:rPr>
                <w:rFonts w:hint="default"/>
                <w:b/>
                <w:bCs/>
                <w:color w:val="FF0000"/>
                <w:sz w:val="24"/>
                <w:szCs w:val="24"/>
                <w:highlight w:val="none"/>
                <w:vertAlign w:val="baseline"/>
                <w:lang w:val="en-US" w:eastAsia="zh-CN"/>
              </w:rPr>
              <w:drawing>
                <wp:inline distT="0" distB="0" distL="114300" distR="114300">
                  <wp:extent cx="7938135" cy="5614035"/>
                  <wp:effectExtent l="0" t="0" r="12065" b="12065"/>
                  <wp:docPr id="35" name="图片 35" descr="饶河县农村综合改革试点试验（二期）项目-四排村供热保障提升_2026年09月01日163421_分析报告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饶河县农村综合改革试点试验（二期）项目-四排村供热保障提升_2026年09月01日163421_分析报告_06"/>
                          <pic:cNvPicPr>
                            <a:picLocks noChangeAspect="1"/>
                          </pic:cNvPicPr>
                        </pic:nvPicPr>
                        <pic:blipFill>
                          <a:blip r:embed="rId140"/>
                          <a:stretch>
                            <a:fillRect/>
                          </a:stretch>
                        </pic:blipFill>
                        <pic:spPr>
                          <a:xfrm>
                            <a:off x="0" y="0"/>
                            <a:ext cx="7938135" cy="5614035"/>
                          </a:xfrm>
                          <a:prstGeom prst="rect">
                            <a:avLst/>
                          </a:prstGeom>
                        </pic:spPr>
                      </pic:pic>
                    </a:graphicData>
                  </a:graphic>
                </wp:inline>
              </w:drawing>
            </w:r>
            <w:r>
              <w:rPr>
                <w:rFonts w:hint="default"/>
                <w:b/>
                <w:bCs/>
                <w:color w:val="FF0000"/>
                <w:sz w:val="24"/>
                <w:szCs w:val="24"/>
                <w:highlight w:val="none"/>
                <w:vertAlign w:val="baseline"/>
                <w:lang w:val="en-US" w:eastAsia="zh-CN"/>
              </w:rPr>
              <w:drawing>
                <wp:inline distT="0" distB="0" distL="114300" distR="114300">
                  <wp:extent cx="7938135" cy="5614035"/>
                  <wp:effectExtent l="0" t="0" r="12065" b="12065"/>
                  <wp:docPr id="33" name="图片 33" descr="饶河县农村综合改革试点试验（二期）项目-四排村供热保障提升_2026年09月01日163421_分析报告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饶河县农村综合改革试点试验（二期）项目-四排村供热保障提升_2026年09月01日163421_分析报告_07"/>
                          <pic:cNvPicPr>
                            <a:picLocks noChangeAspect="1"/>
                          </pic:cNvPicPr>
                        </pic:nvPicPr>
                        <pic:blipFill>
                          <a:blip r:embed="rId141"/>
                          <a:stretch>
                            <a:fillRect/>
                          </a:stretch>
                        </pic:blipFill>
                        <pic:spPr>
                          <a:xfrm>
                            <a:off x="0" y="0"/>
                            <a:ext cx="7938135" cy="5614035"/>
                          </a:xfrm>
                          <a:prstGeom prst="rect">
                            <a:avLst/>
                          </a:prstGeom>
                        </pic:spPr>
                      </pic:pic>
                    </a:graphicData>
                  </a:graphic>
                </wp:inline>
              </w:drawing>
            </w:r>
            <w:r>
              <w:rPr>
                <w:rFonts w:hint="default"/>
                <w:b/>
                <w:bCs/>
                <w:color w:val="FF0000"/>
                <w:sz w:val="24"/>
                <w:szCs w:val="24"/>
                <w:highlight w:val="none"/>
                <w:vertAlign w:val="baseline"/>
                <w:lang w:val="en-US" w:eastAsia="zh-CN"/>
              </w:rPr>
              <w:drawing>
                <wp:inline distT="0" distB="0" distL="114300" distR="114300">
                  <wp:extent cx="7938135" cy="5614035"/>
                  <wp:effectExtent l="0" t="0" r="12065" b="12065"/>
                  <wp:docPr id="21" name="图片 21" descr="饶河县农村综合改革试点试验（二期）项目-四排村供热保障提升_2026年09月01日163421_分析报告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饶河县农村综合改革试点试验（二期）项目-四排村供热保障提升_2026年09月01日163421_分析报告_08"/>
                          <pic:cNvPicPr>
                            <a:picLocks noChangeAspect="1"/>
                          </pic:cNvPicPr>
                        </pic:nvPicPr>
                        <pic:blipFill>
                          <a:blip r:embed="rId142"/>
                          <a:stretch>
                            <a:fillRect/>
                          </a:stretch>
                        </pic:blipFill>
                        <pic:spPr>
                          <a:xfrm>
                            <a:off x="0" y="0"/>
                            <a:ext cx="7938135" cy="5614035"/>
                          </a:xfrm>
                          <a:prstGeom prst="rect">
                            <a:avLst/>
                          </a:prstGeom>
                        </pic:spPr>
                      </pic:pic>
                    </a:graphicData>
                  </a:graphic>
                </wp:inline>
              </w:drawing>
            </w:r>
            <w:r>
              <w:rPr>
                <w:rFonts w:hint="default"/>
                <w:b/>
                <w:bCs/>
                <w:color w:val="FF0000"/>
                <w:sz w:val="24"/>
                <w:szCs w:val="24"/>
                <w:highlight w:val="none"/>
                <w:vertAlign w:val="baseline"/>
                <w:lang w:val="en-US" w:eastAsia="zh-CN"/>
              </w:rPr>
              <w:drawing>
                <wp:inline distT="0" distB="0" distL="114300" distR="114300">
                  <wp:extent cx="7938135" cy="5614035"/>
                  <wp:effectExtent l="0" t="0" r="12065" b="12065"/>
                  <wp:docPr id="16" name="图片 16" descr="饶河县农村综合改革试点试验（二期）项目-四排村供热保障提升_2026年09月01日163421_分析报告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饶河县农村综合改革试点试验（二期）项目-四排村供热保障提升_2026年09月01日163421_分析报告_09"/>
                          <pic:cNvPicPr>
                            <a:picLocks noChangeAspect="1"/>
                          </pic:cNvPicPr>
                        </pic:nvPicPr>
                        <pic:blipFill>
                          <a:blip r:embed="rId143"/>
                          <a:stretch>
                            <a:fillRect/>
                          </a:stretch>
                        </pic:blipFill>
                        <pic:spPr>
                          <a:xfrm>
                            <a:off x="0" y="0"/>
                            <a:ext cx="7938135" cy="5614035"/>
                          </a:xfrm>
                          <a:prstGeom prst="rect">
                            <a:avLst/>
                          </a:prstGeom>
                        </pic:spPr>
                      </pic:pic>
                    </a:graphicData>
                  </a:graphic>
                </wp:inline>
              </w:drawing>
            </w:r>
            <w:r>
              <w:rPr>
                <w:rFonts w:hint="default"/>
                <w:b/>
                <w:bCs/>
                <w:color w:val="FF0000"/>
                <w:sz w:val="24"/>
                <w:szCs w:val="24"/>
                <w:highlight w:val="none"/>
                <w:vertAlign w:val="baseline"/>
                <w:lang w:val="en-US" w:eastAsia="zh-CN"/>
              </w:rPr>
              <w:drawing>
                <wp:inline distT="0" distB="0" distL="114300" distR="114300">
                  <wp:extent cx="7938135" cy="5614035"/>
                  <wp:effectExtent l="0" t="0" r="12065" b="12065"/>
                  <wp:docPr id="13" name="图片 13" descr="饶河县农村综合改革试点试验（二期）项目-四排村供热保障提升_2026年09月01日163421_分析报告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饶河县农村综合改革试点试验（二期）项目-四排村供热保障提升_2026年09月01日163421_分析报告_10"/>
                          <pic:cNvPicPr>
                            <a:picLocks noChangeAspect="1"/>
                          </pic:cNvPicPr>
                        </pic:nvPicPr>
                        <pic:blipFill>
                          <a:blip r:embed="rId144"/>
                          <a:stretch>
                            <a:fillRect/>
                          </a:stretch>
                        </pic:blipFill>
                        <pic:spPr>
                          <a:xfrm>
                            <a:off x="0" y="0"/>
                            <a:ext cx="7938135" cy="5614035"/>
                          </a:xfrm>
                          <a:prstGeom prst="rect">
                            <a:avLst/>
                          </a:prstGeom>
                        </pic:spPr>
                      </pic:pic>
                    </a:graphicData>
                  </a:graphic>
                </wp:inline>
              </w:drawing>
            </w:r>
            <w:r>
              <w:rPr>
                <w:rFonts w:hint="default"/>
                <w:b/>
                <w:bCs/>
                <w:color w:val="FF0000"/>
                <w:sz w:val="24"/>
                <w:szCs w:val="24"/>
                <w:highlight w:val="none"/>
                <w:vertAlign w:val="baseline"/>
                <w:lang w:val="en-US" w:eastAsia="zh-CN"/>
              </w:rPr>
              <w:drawing>
                <wp:inline distT="0" distB="0" distL="114300" distR="114300">
                  <wp:extent cx="7938135" cy="5614035"/>
                  <wp:effectExtent l="0" t="0" r="12065" b="12065"/>
                  <wp:docPr id="10" name="图片 10" descr="饶河县农村综合改革试点试验（二期）项目-四排村供热保障提升_2026年09月01日163421_分析报告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饶河县农村综合改革试点试验（二期）项目-四排村供热保障提升_2026年09月01日163421_分析报告_11"/>
                          <pic:cNvPicPr>
                            <a:picLocks noChangeAspect="1"/>
                          </pic:cNvPicPr>
                        </pic:nvPicPr>
                        <pic:blipFill>
                          <a:blip r:embed="rId145"/>
                          <a:stretch>
                            <a:fillRect/>
                          </a:stretch>
                        </pic:blipFill>
                        <pic:spPr>
                          <a:xfrm>
                            <a:off x="0" y="0"/>
                            <a:ext cx="7938135" cy="5614035"/>
                          </a:xfrm>
                          <a:prstGeom prst="rect">
                            <a:avLst/>
                          </a:prstGeom>
                        </pic:spPr>
                      </pic:pic>
                    </a:graphicData>
                  </a:graphic>
                </wp:inline>
              </w:drawing>
            </w:r>
          </w:p>
        </w:tc>
      </w:tr>
    </w:tbl>
    <w:p w14:paraId="3F1CA2AF">
      <w:pPr>
        <w:rPr>
          <w:rFonts w:hint="eastAsia"/>
          <w:color w:val="FF0000"/>
          <w:highlight w:val="none"/>
          <w:lang w:val="en-US"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7801643D">
      <w:pPr>
        <w:keepNext w:val="0"/>
        <w:keepLines w:val="0"/>
        <w:pageBreakBefore w:val="0"/>
        <w:widowControl w:val="0"/>
        <w:kinsoku/>
        <w:wordWrap/>
        <w:overflowPunct/>
        <w:topLinePunct w:val="0"/>
        <w:autoSpaceDE/>
        <w:autoSpaceDN/>
        <w:bidi w:val="0"/>
        <w:adjustRightInd/>
        <w:snapToGrid/>
        <w:textAlignment w:val="auto"/>
        <w:outlineLvl w:val="0"/>
        <w:rPr>
          <w:rFonts w:hint="default" w:ascii="Times New Roman" w:hAnsi="Times New Roman" w:eastAsia="黑体" w:cs="Times New Roman"/>
          <w:b/>
          <w:bCs/>
          <w:color w:val="000000" w:themeColor="text1"/>
          <w:sz w:val="24"/>
          <w:szCs w:val="24"/>
          <w:highlight w:val="none"/>
          <w:lang w:val="en-US" w:eastAsia="zh-CN"/>
          <w14:textFill>
            <w14:solidFill>
              <w14:schemeClr w14:val="tx1"/>
            </w14:solidFill>
          </w14:textFill>
        </w:rPr>
      </w:pPr>
      <w:bookmarkStart w:id="31" w:name="_Toc4410"/>
      <w:r>
        <w:rPr>
          <w:rFonts w:hint="eastAsia" w:ascii="Times New Roman" w:hAnsi="Times New Roman" w:eastAsia="黑体" w:cs="Times New Roman"/>
          <w:b/>
          <w:bCs/>
          <w:color w:val="000000" w:themeColor="text1"/>
          <w:sz w:val="24"/>
          <w:szCs w:val="24"/>
          <w:highlight w:val="none"/>
          <w:lang w:val="en-US" w:eastAsia="zh-CN"/>
          <w14:textFill>
            <w14:solidFill>
              <w14:schemeClr w14:val="tx1"/>
            </w14:solidFill>
          </w14:textFill>
        </w:rPr>
        <w:t xml:space="preserve">附件5  </w:t>
      </w:r>
      <w:r>
        <w:rPr>
          <w:rFonts w:hint="eastAsia" w:eastAsia="黑体" w:cs="Times New Roman"/>
          <w:b/>
          <w:bCs/>
          <w:color w:val="000000" w:themeColor="text1"/>
          <w:sz w:val="24"/>
          <w:szCs w:val="24"/>
          <w:highlight w:val="none"/>
          <w:lang w:val="en-US" w:eastAsia="zh-CN"/>
          <w14:textFill>
            <w14:solidFill>
              <w14:schemeClr w14:val="tx1"/>
            </w14:solidFill>
          </w14:textFill>
        </w:rPr>
        <w:t>环境现状</w:t>
      </w:r>
      <w:r>
        <w:rPr>
          <w:rFonts w:hint="eastAsia" w:ascii="Times New Roman" w:hAnsi="Times New Roman" w:eastAsia="黑体" w:cs="Times New Roman"/>
          <w:b/>
          <w:bCs/>
          <w:color w:val="000000" w:themeColor="text1"/>
          <w:sz w:val="24"/>
          <w:szCs w:val="24"/>
          <w:highlight w:val="none"/>
          <w:lang w:val="en-US" w:eastAsia="zh-CN"/>
          <w14:textFill>
            <w14:solidFill>
              <w14:schemeClr w14:val="tx1"/>
            </w14:solidFill>
          </w14:textFill>
        </w:rPr>
        <w:t>监测报告</w:t>
      </w:r>
      <w:bookmarkEnd w:id="31"/>
    </w:p>
    <w:tbl>
      <w:tblPr>
        <w:tblStyle w:val="21"/>
        <w:tblW w:w="9615" w:type="dxa"/>
        <w:tblInd w:w="-27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716"/>
      </w:tblGrid>
      <w:tr w14:paraId="5F6E4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615" w:type="dxa"/>
            <w:tcBorders>
              <w:tl2br w:val="nil"/>
              <w:tr2bl w:val="nil"/>
            </w:tcBorders>
          </w:tcPr>
          <w:p w14:paraId="1FFBACA7">
            <w:pPr>
              <w:jc w:val="center"/>
              <w:rPr>
                <w:rFonts w:hint="default"/>
                <w:color w:val="FF0000"/>
                <w:highlight w:val="none"/>
                <w:vertAlign w:val="baseline"/>
                <w:lang w:val="en-US" w:eastAsia="zh-CN"/>
              </w:rPr>
            </w:pPr>
            <w:r>
              <w:drawing>
                <wp:inline distT="0" distB="0" distL="114300" distR="114300">
                  <wp:extent cx="5828665" cy="8245475"/>
                  <wp:effectExtent l="0" t="0" r="635" b="9525"/>
                  <wp:docPr id="11"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4"/>
                          <pic:cNvPicPr>
                            <a:picLocks noChangeAspect="1"/>
                          </pic:cNvPicPr>
                        </pic:nvPicPr>
                        <pic:blipFill>
                          <a:blip r:embed="rId146"/>
                          <a:stretch>
                            <a:fillRect/>
                          </a:stretch>
                        </pic:blipFill>
                        <pic:spPr>
                          <a:xfrm>
                            <a:off x="0" y="0"/>
                            <a:ext cx="5828665" cy="8245475"/>
                          </a:xfrm>
                          <a:prstGeom prst="rect">
                            <a:avLst/>
                          </a:prstGeom>
                          <a:noFill/>
                          <a:ln>
                            <a:noFill/>
                          </a:ln>
                        </pic:spPr>
                      </pic:pic>
                    </a:graphicData>
                  </a:graphic>
                </wp:inline>
              </w:drawing>
            </w:r>
            <w:r>
              <w:drawing>
                <wp:inline distT="0" distB="0" distL="114300" distR="114300">
                  <wp:extent cx="6031230" cy="8531860"/>
                  <wp:effectExtent l="0" t="0" r="1270" b="2540"/>
                  <wp:docPr id="12"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5"/>
                          <pic:cNvPicPr>
                            <a:picLocks noChangeAspect="1"/>
                          </pic:cNvPicPr>
                        </pic:nvPicPr>
                        <pic:blipFill>
                          <a:blip r:embed="rId147"/>
                          <a:stretch>
                            <a:fillRect/>
                          </a:stretch>
                        </pic:blipFill>
                        <pic:spPr>
                          <a:xfrm>
                            <a:off x="0" y="0"/>
                            <a:ext cx="6031230" cy="8531860"/>
                          </a:xfrm>
                          <a:prstGeom prst="rect">
                            <a:avLst/>
                          </a:prstGeom>
                          <a:noFill/>
                          <a:ln>
                            <a:noFill/>
                          </a:ln>
                        </pic:spPr>
                      </pic:pic>
                    </a:graphicData>
                  </a:graphic>
                </wp:inline>
              </w:drawing>
            </w:r>
            <w:r>
              <w:drawing>
                <wp:inline distT="0" distB="0" distL="114300" distR="114300">
                  <wp:extent cx="6031230" cy="8531860"/>
                  <wp:effectExtent l="0" t="0" r="1270" b="2540"/>
                  <wp:docPr id="14"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6"/>
                          <pic:cNvPicPr>
                            <a:picLocks noChangeAspect="1"/>
                          </pic:cNvPicPr>
                        </pic:nvPicPr>
                        <pic:blipFill>
                          <a:blip r:embed="rId148"/>
                          <a:stretch>
                            <a:fillRect/>
                          </a:stretch>
                        </pic:blipFill>
                        <pic:spPr>
                          <a:xfrm>
                            <a:off x="0" y="0"/>
                            <a:ext cx="6031230" cy="8531860"/>
                          </a:xfrm>
                          <a:prstGeom prst="rect">
                            <a:avLst/>
                          </a:prstGeom>
                          <a:noFill/>
                          <a:ln>
                            <a:noFill/>
                          </a:ln>
                        </pic:spPr>
                      </pic:pic>
                    </a:graphicData>
                  </a:graphic>
                </wp:inline>
              </w:drawing>
            </w:r>
            <w:r>
              <w:drawing>
                <wp:inline distT="0" distB="0" distL="114300" distR="114300">
                  <wp:extent cx="6031230" cy="8531860"/>
                  <wp:effectExtent l="0" t="0" r="1270" b="2540"/>
                  <wp:docPr id="15"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7"/>
                          <pic:cNvPicPr>
                            <a:picLocks noChangeAspect="1"/>
                          </pic:cNvPicPr>
                        </pic:nvPicPr>
                        <pic:blipFill>
                          <a:blip r:embed="rId149"/>
                          <a:stretch>
                            <a:fillRect/>
                          </a:stretch>
                        </pic:blipFill>
                        <pic:spPr>
                          <a:xfrm>
                            <a:off x="0" y="0"/>
                            <a:ext cx="6031230" cy="8531860"/>
                          </a:xfrm>
                          <a:prstGeom prst="rect">
                            <a:avLst/>
                          </a:prstGeom>
                          <a:noFill/>
                          <a:ln>
                            <a:noFill/>
                          </a:ln>
                        </pic:spPr>
                      </pic:pic>
                    </a:graphicData>
                  </a:graphic>
                </wp:inline>
              </w:drawing>
            </w:r>
            <w:r>
              <w:drawing>
                <wp:inline distT="0" distB="0" distL="114300" distR="114300">
                  <wp:extent cx="6031230" cy="8531860"/>
                  <wp:effectExtent l="0" t="0" r="1270" b="2540"/>
                  <wp:docPr id="17"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8"/>
                          <pic:cNvPicPr>
                            <a:picLocks noChangeAspect="1"/>
                          </pic:cNvPicPr>
                        </pic:nvPicPr>
                        <pic:blipFill>
                          <a:blip r:embed="rId150"/>
                          <a:stretch>
                            <a:fillRect/>
                          </a:stretch>
                        </pic:blipFill>
                        <pic:spPr>
                          <a:xfrm>
                            <a:off x="0" y="0"/>
                            <a:ext cx="6031230" cy="8531860"/>
                          </a:xfrm>
                          <a:prstGeom prst="rect">
                            <a:avLst/>
                          </a:prstGeom>
                          <a:noFill/>
                          <a:ln>
                            <a:noFill/>
                          </a:ln>
                        </pic:spPr>
                      </pic:pic>
                    </a:graphicData>
                  </a:graphic>
                </wp:inline>
              </w:drawing>
            </w:r>
          </w:p>
        </w:tc>
      </w:tr>
    </w:tbl>
    <w:p w14:paraId="71A9AA73">
      <w:pPr>
        <w:rPr>
          <w:rFonts w:hint="default"/>
          <w:color w:val="FF0000"/>
          <w:highlight w:val="none"/>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41A5D1DD">
      <w:pPr>
        <w:keepNext w:val="0"/>
        <w:keepLines w:val="0"/>
        <w:pageBreakBefore w:val="0"/>
        <w:widowControl w:val="0"/>
        <w:kinsoku/>
        <w:wordWrap/>
        <w:overflowPunct/>
        <w:topLinePunct w:val="0"/>
        <w:autoSpaceDE/>
        <w:autoSpaceDN/>
        <w:bidi w:val="0"/>
        <w:adjustRightInd/>
        <w:snapToGrid/>
        <w:textAlignment w:val="auto"/>
        <w:outlineLvl w:val="0"/>
        <w:rPr>
          <w:rFonts w:hint="default" w:ascii="Times New Roman" w:hAnsi="Times New Roman" w:eastAsia="黑体" w:cs="Times New Roman"/>
          <w:b/>
          <w:bCs/>
          <w:color w:val="000000" w:themeColor="text1"/>
          <w:sz w:val="24"/>
          <w:szCs w:val="24"/>
          <w:highlight w:val="none"/>
          <w:lang w:val="en-US" w:eastAsia="zh-CN"/>
          <w14:textFill>
            <w14:solidFill>
              <w14:schemeClr w14:val="tx1"/>
            </w14:solidFill>
          </w14:textFill>
        </w:rPr>
      </w:pPr>
      <w:bookmarkStart w:id="32" w:name="_Toc14013"/>
      <w:r>
        <w:rPr>
          <w:rFonts w:hint="eastAsia" w:ascii="Times New Roman" w:hAnsi="Times New Roman" w:eastAsia="黑体" w:cs="Times New Roman"/>
          <w:b/>
          <w:bCs/>
          <w:color w:val="000000" w:themeColor="text1"/>
          <w:sz w:val="24"/>
          <w:szCs w:val="24"/>
          <w:highlight w:val="none"/>
          <w:lang w:val="en-US" w:eastAsia="zh-CN"/>
          <w14:textFill>
            <w14:solidFill>
              <w14:schemeClr w14:val="tx1"/>
            </w14:solidFill>
          </w14:textFill>
        </w:rPr>
        <w:t>附件</w:t>
      </w:r>
      <w:r>
        <w:rPr>
          <w:rFonts w:hint="eastAsia" w:eastAsia="黑体" w:cs="Times New Roman"/>
          <w:b/>
          <w:bCs/>
          <w:color w:val="000000" w:themeColor="text1"/>
          <w:sz w:val="24"/>
          <w:szCs w:val="24"/>
          <w:highlight w:val="none"/>
          <w:lang w:val="en-US" w:eastAsia="zh-CN"/>
          <w14:textFill>
            <w14:solidFill>
              <w14:schemeClr w14:val="tx1"/>
            </w14:solidFill>
          </w14:textFill>
        </w:rPr>
        <w:t>6</w:t>
      </w:r>
      <w:r>
        <w:rPr>
          <w:rFonts w:hint="eastAsia" w:ascii="Times New Roman" w:hAnsi="Times New Roman" w:eastAsia="黑体" w:cs="Times New Roman"/>
          <w:b/>
          <w:bCs/>
          <w:color w:val="000000" w:themeColor="text1"/>
          <w:sz w:val="24"/>
          <w:szCs w:val="24"/>
          <w:highlight w:val="none"/>
          <w:lang w:val="en-US" w:eastAsia="zh-CN"/>
          <w14:textFill>
            <w14:solidFill>
              <w14:schemeClr w14:val="tx1"/>
            </w14:solidFill>
          </w14:textFill>
        </w:rPr>
        <w:t xml:space="preserve">  核定总量计算说明</w:t>
      </w:r>
      <w:bookmarkEnd w:id="32"/>
    </w:p>
    <w:p w14:paraId="11EC2AD4">
      <w:pPr>
        <w:keepNext w:val="0"/>
        <w:keepLines w:val="0"/>
        <w:pageBreakBefore w:val="0"/>
        <w:widowControl w:val="0"/>
        <w:kinsoku/>
        <w:wordWrap/>
        <w:overflowPunct/>
        <w:topLinePunct w:val="0"/>
        <w:autoSpaceDE/>
        <w:autoSpaceDN/>
        <w:bidi w:val="0"/>
        <w:adjustRightInd/>
        <w:snapToGrid/>
        <w:spacing w:before="469" w:beforeLines="150"/>
        <w:jc w:val="center"/>
        <w:textAlignment w:val="auto"/>
        <w:rPr>
          <w:rFonts w:hint="eastAsia" w:ascii="宋体" w:hAnsi="宋体" w:eastAsia="宋体" w:cs="宋体"/>
          <w:b/>
          <w:bCs/>
          <w:color w:val="000000" w:themeColor="text1"/>
          <w:kern w:val="44"/>
          <w:sz w:val="28"/>
          <w:szCs w:val="28"/>
          <w:highlight w:val="none"/>
          <w:lang w:val="en-US" w:eastAsia="zh-CN" w:bidi="ar-SA"/>
          <w14:textFill>
            <w14:solidFill>
              <w14:schemeClr w14:val="tx1"/>
            </w14:solidFill>
          </w14:textFill>
        </w:rPr>
      </w:pPr>
      <w:r>
        <w:rPr>
          <w:rFonts w:hint="eastAsia" w:ascii="宋体" w:hAnsi="宋体" w:eastAsia="宋体" w:cs="宋体"/>
          <w:b/>
          <w:bCs/>
          <w:color w:val="000000" w:themeColor="text1"/>
          <w:kern w:val="44"/>
          <w:sz w:val="28"/>
          <w:szCs w:val="28"/>
          <w:highlight w:val="none"/>
          <w:lang w:val="en-US" w:eastAsia="zh-CN" w:bidi="ar-SA"/>
          <w14:textFill>
            <w14:solidFill>
              <w14:schemeClr w14:val="tx1"/>
            </w14:solidFill>
          </w14:textFill>
        </w:rPr>
        <w:t>核定排放总量计算说明</w:t>
      </w:r>
    </w:p>
    <w:p w14:paraId="6B7E41E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b/>
          <w:bCs/>
          <w:color w:val="000000" w:themeColor="text1"/>
          <w:sz w:val="24"/>
          <w:szCs w:val="32"/>
          <w:highlight w:val="none"/>
          <w:lang w:val="en-US" w:eastAsia="zh-CN"/>
          <w14:textFill>
            <w14:solidFill>
              <w14:schemeClr w14:val="tx1"/>
            </w14:solidFill>
          </w14:textFill>
        </w:rPr>
      </w:pPr>
      <w:r>
        <w:rPr>
          <w:rFonts w:hint="eastAsia"/>
          <w:b/>
          <w:bCs/>
          <w:color w:val="000000" w:themeColor="text1"/>
          <w:sz w:val="24"/>
          <w:szCs w:val="32"/>
          <w:highlight w:val="none"/>
          <w:lang w:val="en-US" w:eastAsia="zh-CN"/>
          <w14:textFill>
            <w14:solidFill>
              <w14:schemeClr w14:val="tx1"/>
            </w14:solidFill>
          </w14:textFill>
        </w:rPr>
        <w:t>1.废气排放总量</w:t>
      </w:r>
    </w:p>
    <w:p w14:paraId="44EC3A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锅炉烟气</w:t>
      </w:r>
    </w:p>
    <w:p w14:paraId="1A9B88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根据《排污许可证申请与核发技术规范 锅炉》（HJ953-2019），废气许可排放量计算方法如下：</w:t>
      </w:r>
    </w:p>
    <w:p w14:paraId="5D3D2206">
      <w:pPr>
        <w:spacing w:line="36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position w:val="-28"/>
          <w:sz w:val="24"/>
          <w:szCs w:val="24"/>
          <w:highlight w:val="none"/>
          <w14:textFill>
            <w14:solidFill>
              <w14:schemeClr w14:val="tx1"/>
            </w14:solidFill>
          </w14:textFill>
        </w:rPr>
        <w:object>
          <v:shape id="_x0000_i1074" o:spt="75" type="#_x0000_t75" style="height:34pt;width:157pt;" o:ole="t" filled="f" o:preferrelative="t" stroked="f" coordsize="21600,21600">
            <v:path/>
            <v:fill on="f" focussize="0,0"/>
            <v:stroke on="f"/>
            <v:imagedata r:id="rId152" o:title=""/>
            <o:lock v:ext="edit" aspectratio="t"/>
            <w10:wrap type="none"/>
            <w10:anchorlock/>
          </v:shape>
          <o:OLEObject Type="Embed" ProgID="Equation.KSEE3" ShapeID="_x0000_i1074" DrawAspect="Content" ObjectID="_1468075774" r:id="rId151">
            <o:LockedField>false</o:LockedField>
          </o:OLEObject>
        </w:object>
      </w:r>
    </w:p>
    <w:p w14:paraId="0A481CA2">
      <w:pPr>
        <w:spacing w:line="360" w:lineRule="auto"/>
        <w:ind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式中：E</w:t>
      </w:r>
      <w:r>
        <w:rPr>
          <w:rFonts w:hint="default" w:ascii="Times New Roman" w:hAnsi="Times New Roman" w:cs="Times New Roman"/>
          <w:color w:val="000000" w:themeColor="text1"/>
          <w:sz w:val="24"/>
          <w:szCs w:val="24"/>
          <w:highlight w:val="none"/>
          <w:vertAlign w:val="subscript"/>
          <w14:textFill>
            <w14:solidFill>
              <w14:schemeClr w14:val="tx1"/>
            </w14:solidFill>
          </w14:textFill>
        </w:rPr>
        <w:t>年许可</w:t>
      </w:r>
      <w:r>
        <w:rPr>
          <w:rFonts w:hint="default" w:ascii="Times New Roman" w:hAnsi="Times New Roman" w:cs="Times New Roman"/>
          <w:color w:val="000000" w:themeColor="text1"/>
          <w:sz w:val="24"/>
          <w:szCs w:val="24"/>
          <w:highlight w:val="none"/>
          <w14:textFill>
            <w14:solidFill>
              <w14:schemeClr w14:val="tx1"/>
            </w14:solidFill>
          </w14:textFill>
        </w:rPr>
        <w:t>——锅炉排污单位污染物年许可排放量，t；</w:t>
      </w:r>
    </w:p>
    <w:p w14:paraId="314825A3">
      <w:pPr>
        <w:spacing w:line="360" w:lineRule="auto"/>
        <w:ind w:firstLine="1200" w:firstLineChars="5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Ci——第i个主要排放口污染物排放标准浓度限值，mg/m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w:t>
      </w:r>
    </w:p>
    <w:p w14:paraId="17B00F2E">
      <w:pPr>
        <w:spacing w:line="360" w:lineRule="auto"/>
        <w:ind w:firstLine="1200" w:firstLineChars="5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Vi——第i个主要排放口基准烟气量，Nm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/kg；</w:t>
      </w:r>
    </w:p>
    <w:p w14:paraId="64A09F00">
      <w:pPr>
        <w:spacing w:line="360" w:lineRule="auto"/>
        <w:ind w:firstLine="1200" w:firstLineChars="5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Ri——第i个主要排放口所的锅炉前三年年平均燃料使用量，t；</w:t>
      </w:r>
    </w:p>
    <w:p w14:paraId="1E9518F1">
      <w:pPr>
        <w:spacing w:line="360" w:lineRule="auto"/>
        <w:ind w:firstLine="1200" w:firstLineChars="5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δi——第i个主要排放口所对应的大气污染物许可排放量调整系数，SO</w:t>
      </w:r>
      <w:r>
        <w:rPr>
          <w:rFonts w:hint="default" w:ascii="Times New Roman" w:hAnsi="Times New Roman" w:cs="Times New Roman"/>
          <w:color w:val="000000" w:themeColor="text1"/>
          <w:sz w:val="24"/>
          <w:szCs w:val="24"/>
          <w:highlight w:val="none"/>
          <w:vertAlign w:val="subscript"/>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 xml:space="preserve"> 取0.8，氮氧化物和颗粒物取1。</w:t>
      </w:r>
    </w:p>
    <w:p w14:paraId="5C75A5F5">
      <w:pPr>
        <w:pStyle w:val="55"/>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cs="Times New Roman"/>
          <w:color w:val="000000" w:themeColor="text1"/>
          <w:sz w:val="24"/>
          <w:szCs w:val="24"/>
          <w:highlight w:val="none"/>
          <w:lang w:eastAsia="zh-CN"/>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理论空气量（</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V</w:t>
      </w:r>
      <w:r>
        <w:rPr>
          <w:rFonts w:hint="eastAsia" w:ascii="Times New Roman" w:hAnsi="Times New Roman" w:cs="Times New Roman"/>
          <w:color w:val="000000" w:themeColor="text1"/>
          <w:sz w:val="24"/>
          <w:szCs w:val="24"/>
          <w:highlight w:val="none"/>
          <w:vertAlign w:val="subscript"/>
          <w:lang w:val="en-US" w:eastAsia="zh-CN"/>
          <w14:textFill>
            <w14:solidFill>
              <w14:schemeClr w14:val="tx1"/>
            </w14:solidFill>
          </w14:textFill>
        </w:rPr>
        <w:t>0</w:t>
      </w:r>
      <w:r>
        <w:rPr>
          <w:rFonts w:hint="eastAsia" w:ascii="Times New Roman" w:hAnsi="Times New Roman" w:cs="Times New Roman"/>
          <w:color w:val="000000" w:themeColor="text1"/>
          <w:sz w:val="24"/>
          <w:szCs w:val="24"/>
          <w:highlight w:val="none"/>
          <w:lang w:eastAsia="zh-CN"/>
          <w14:textFill>
            <w14:solidFill>
              <w14:schemeClr w14:val="tx1"/>
            </w14:solidFill>
          </w14:textFill>
        </w:rPr>
        <w:t>）及基准烟气量（</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V</w:t>
      </w:r>
      <w:r>
        <w:rPr>
          <w:rFonts w:hint="eastAsia" w:ascii="Times New Roman" w:hAnsi="Times New Roman" w:cs="Times New Roman"/>
          <w:color w:val="000000" w:themeColor="text1"/>
          <w:sz w:val="24"/>
          <w:szCs w:val="24"/>
          <w:highlight w:val="none"/>
          <w:vertAlign w:val="subscript"/>
          <w:lang w:val="en-US" w:eastAsia="zh-CN"/>
          <w14:textFill>
            <w14:solidFill>
              <w14:schemeClr w14:val="tx1"/>
            </w14:solidFill>
          </w14:textFill>
        </w:rPr>
        <w:t>gy</w:t>
      </w:r>
      <w:r>
        <w:rPr>
          <w:rFonts w:hint="eastAsia" w:ascii="Times New Roman" w:hAnsi="Times New Roman" w:cs="Times New Roman"/>
          <w:color w:val="000000" w:themeColor="text1"/>
          <w:sz w:val="24"/>
          <w:szCs w:val="24"/>
          <w:highlight w:val="none"/>
          <w:lang w:eastAsia="zh-CN"/>
          <w14:textFill>
            <w14:solidFill>
              <w14:schemeClr w14:val="tx1"/>
            </w14:solidFill>
          </w14:textFill>
        </w:rPr>
        <w:t>）用下式计算：</w:t>
      </w:r>
    </w:p>
    <w:p w14:paraId="5ED43379">
      <w:pPr>
        <w:keepNext w:val="0"/>
        <w:keepLines w:val="0"/>
        <w:pageBreakBefore w:val="0"/>
        <w:widowControl w:val="0"/>
        <w:kinsoku/>
        <w:wordWrap/>
        <w:overflowPunct/>
        <w:topLinePunct w:val="0"/>
        <w:autoSpaceDE/>
        <w:autoSpaceDN/>
        <w:bidi w:val="0"/>
        <w:adjustRightInd/>
        <w:snapToGrid/>
        <w:spacing w:line="360" w:lineRule="auto"/>
        <w:ind w:firstLine="1200" w:firstLineChars="500"/>
        <w:jc w:val="both"/>
        <w:textAlignment w:val="auto"/>
        <w:rPr>
          <w:rFonts w:hint="default" w:ascii="Times New Roman" w:hAnsi="Times New Roman" w:eastAsia="宋体" w:cs="Times New Roman"/>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color w:val="000000" w:themeColor="text1"/>
          <w:position w:val="-10"/>
          <w:sz w:val="24"/>
          <w:szCs w:val="24"/>
          <w:highlight w:val="none"/>
          <w14:textFill>
            <w14:solidFill>
              <w14:schemeClr w14:val="tx1"/>
            </w14:solidFill>
          </w14:textFill>
        </w:rPr>
        <w:object>
          <v:shape id="_x0000_i1075" o:spt="75" type="#_x0000_t75" style="height:16pt;width:246pt;" o:ole="t" filled="f" o:preferrelative="t" stroked="f" coordsize="21600,21600">
            <v:path/>
            <v:fill on="f" focussize="0,0"/>
            <v:stroke on="f"/>
            <v:imagedata r:id="rId22" o:title=""/>
            <o:lock v:ext="edit" aspectratio="t"/>
            <w10:wrap type="none"/>
            <w10:anchorlock/>
          </v:shape>
          <o:OLEObject Type="Embed" ProgID="Equation.KSEE3" ShapeID="_x0000_i1075" DrawAspect="Content" ObjectID="_1468075775" r:id="rId153">
            <o:LockedField>false</o:LockedField>
          </o:OLEObject>
        </w:object>
      </w:r>
    </w:p>
    <w:p w14:paraId="0244A7AD">
      <w:pPr>
        <w:spacing w:line="360" w:lineRule="auto"/>
        <w:ind w:firstLine="1200" w:firstLineChars="500"/>
        <w:jc w:val="both"/>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position w:val="-24"/>
          <w:sz w:val="24"/>
          <w:szCs w:val="24"/>
          <w:highlight w:val="none"/>
          <w14:textFill>
            <w14:solidFill>
              <w14:schemeClr w14:val="tx1"/>
            </w14:solidFill>
          </w14:textFill>
        </w:rPr>
        <w:object>
          <v:shape id="_x0000_i1076" o:spt="75" type="#_x0000_t75" style="height:31pt;width:282pt;" o:ole="t" filled="f" o:preferrelative="t" stroked="f" coordsize="21600,21600">
            <v:path/>
            <v:fill on="f" focussize="0,0"/>
            <v:stroke on="f"/>
            <v:imagedata r:id="rId155" o:title=""/>
            <o:lock v:ext="edit" aspectratio="t"/>
            <w10:wrap type="none"/>
            <w10:anchorlock/>
          </v:shape>
          <o:OLEObject Type="Embed" ProgID="Equation.KSEE3" ShapeID="_x0000_i1076" DrawAspect="Content" ObjectID="_1468075776" r:id="rId154">
            <o:LockedField>false</o:LockedField>
          </o:OLEObject>
        </w:object>
      </w:r>
    </w:p>
    <w:p w14:paraId="5E8331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式中：V</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gy</w:t>
      </w:r>
      <w:r>
        <w:rPr>
          <w:rFonts w:hint="default" w:ascii="Times New Roman" w:hAnsi="Times New Roman" w:eastAsia="宋体" w:cs="Times New Roman"/>
          <w:color w:val="000000" w:themeColor="text1"/>
          <w:sz w:val="24"/>
          <w:szCs w:val="24"/>
          <w:highlight w:val="none"/>
          <w14:textFill>
            <w14:solidFill>
              <w14:schemeClr w14:val="tx1"/>
            </w14:solidFill>
          </w14:textFill>
        </w:rPr>
        <w:t>——基准烟气量，Nm</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/kg；</w:t>
      </w:r>
    </w:p>
    <w:p w14:paraId="472D17AD">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C</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ar</w:t>
      </w:r>
      <w:r>
        <w:rPr>
          <w:rFonts w:hint="default" w:ascii="Times New Roman" w:hAnsi="Times New Roman" w:eastAsia="宋体" w:cs="Times New Roman"/>
          <w:color w:val="000000" w:themeColor="text1"/>
          <w:sz w:val="24"/>
          <w:szCs w:val="24"/>
          <w:highlight w:val="none"/>
          <w14:textFill>
            <w14:solidFill>
              <w14:schemeClr w14:val="tx1"/>
            </w14:solidFill>
          </w14:textFill>
        </w:rPr>
        <w:t>——收到基碳含量，</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42.28</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46CF0A8F">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S</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ar</w:t>
      </w:r>
      <w:r>
        <w:rPr>
          <w:rFonts w:hint="default" w:ascii="Times New Roman" w:hAnsi="Times New Roman" w:eastAsia="宋体" w:cs="Times New Roman"/>
          <w:color w:val="000000" w:themeColor="text1"/>
          <w:sz w:val="24"/>
          <w:szCs w:val="24"/>
          <w:highlight w:val="none"/>
          <w14:textFill>
            <w14:solidFill>
              <w14:schemeClr w14:val="tx1"/>
            </w14:solidFill>
          </w14:textFill>
        </w:rPr>
        <w:t>——收到基硫含量，</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0.0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28A5A86C">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N</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ar</w:t>
      </w:r>
      <w:r>
        <w:rPr>
          <w:rFonts w:hint="default" w:ascii="Times New Roman" w:hAnsi="Times New Roman" w:eastAsia="宋体" w:cs="Times New Roman"/>
          <w:color w:val="000000" w:themeColor="text1"/>
          <w:sz w:val="24"/>
          <w:szCs w:val="24"/>
          <w:highlight w:val="none"/>
          <w14:textFill>
            <w14:solidFill>
              <w14:schemeClr w14:val="tx1"/>
            </w14:solidFill>
          </w14:textFill>
        </w:rPr>
        <w:t>——收到基氮含量，0.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28</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5ACAE48A">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H</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ar</w:t>
      </w:r>
      <w:r>
        <w:rPr>
          <w:rFonts w:hint="default" w:ascii="Times New Roman" w:hAnsi="Times New Roman" w:eastAsia="宋体" w:cs="Times New Roman"/>
          <w:color w:val="000000" w:themeColor="text1"/>
          <w:sz w:val="24"/>
          <w:szCs w:val="24"/>
          <w:highlight w:val="none"/>
          <w14:textFill>
            <w14:solidFill>
              <w14:schemeClr w14:val="tx1"/>
            </w14:solidFill>
          </w14:textFill>
        </w:rPr>
        <w:t>——收到基氢含量，</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49</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21E1F7AD">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O</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ar</w:t>
      </w:r>
      <w:r>
        <w:rPr>
          <w:rFonts w:hint="default" w:ascii="Times New Roman" w:hAnsi="Times New Roman" w:eastAsia="宋体" w:cs="Times New Roman"/>
          <w:color w:val="000000" w:themeColor="text1"/>
          <w:sz w:val="24"/>
          <w:szCs w:val="24"/>
          <w:highlight w:val="none"/>
          <w14:textFill>
            <w14:solidFill>
              <w14:schemeClr w14:val="tx1"/>
            </w14:solidFill>
          </w14:textFill>
        </w:rPr>
        <w:t>——收到基氧含量，</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4.93</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68897B20">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α——过量空气系数，取1.75；</w:t>
      </w:r>
    </w:p>
    <w:p w14:paraId="611A9AF9">
      <w:pPr>
        <w:pStyle w:val="55"/>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经计算，理论空气量（</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V</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0</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=3.79</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/kg</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eastAsia="zh-CN"/>
          <w14:textFill>
            <w14:solidFill>
              <w14:schemeClr w14:val="tx1"/>
            </w14:solidFill>
          </w14:textFill>
        </w:rPr>
        <w:t>基准烟气量（</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V</w:t>
      </w:r>
      <w:r>
        <w:rPr>
          <w:rFonts w:hint="default" w:ascii="Times New Roman" w:hAnsi="Times New Roman" w:cs="Times New Roman"/>
          <w:color w:val="000000" w:themeColor="text1"/>
          <w:sz w:val="24"/>
          <w:szCs w:val="24"/>
          <w:highlight w:val="none"/>
          <w:vertAlign w:val="subscript"/>
          <w:lang w:val="en-US" w:eastAsia="zh-CN"/>
          <w14:textFill>
            <w14:solidFill>
              <w14:schemeClr w14:val="tx1"/>
            </w14:solidFill>
          </w14:textFill>
        </w:rPr>
        <w:t>gy</w:t>
      </w:r>
      <w:r>
        <w:rPr>
          <w:rFonts w:hint="default" w:ascii="Times New Roman" w:hAnsi="Times New Roman" w:cs="Times New Roman"/>
          <w:color w:val="000000" w:themeColor="text1"/>
          <w:sz w:val="24"/>
          <w:szCs w:val="24"/>
          <w:highlight w:val="none"/>
          <w:lang w:eastAsia="zh-CN"/>
          <w14:textFill>
            <w14:solidFill>
              <w14:schemeClr w14:val="tx1"/>
            </w14:solidFill>
          </w14:textFill>
        </w:rPr>
        <w:t>）等于</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6.6</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/kg</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769CB8D0">
      <w:pPr>
        <w:spacing w:line="360" w:lineRule="auto"/>
        <w:ind w:firstLine="1200" w:firstLineChars="5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E</w:t>
      </w:r>
      <w:r>
        <w:rPr>
          <w:rFonts w:hint="eastAsia" w:ascii="Times New Roman" w:hAnsi="Times New Roman" w:cs="Times New Roman"/>
          <w:color w:val="000000" w:themeColor="text1"/>
          <w:sz w:val="24"/>
          <w:szCs w:val="24"/>
          <w:highlight w:val="none"/>
          <w:vertAlign w:val="subscript"/>
          <w:lang w:val="en-US" w:eastAsia="zh-CN"/>
          <w14:textFill>
            <w14:solidFill>
              <w14:schemeClr w14:val="tx1"/>
            </w14:solidFill>
          </w14:textFill>
        </w:rPr>
        <w:t>核定排放量</w:t>
      </w:r>
      <w:r>
        <w:rPr>
          <w:rFonts w:hint="default" w:ascii="Times New Roman" w:hAnsi="Times New Roman" w:cs="Times New Roman"/>
          <w:color w:val="000000" w:themeColor="text1"/>
          <w:sz w:val="24"/>
          <w:szCs w:val="24"/>
          <w:highlight w:val="none"/>
          <w:vertAlign w:val="subscript"/>
          <w14:textFill>
            <w14:solidFill>
              <w14:schemeClr w14:val="tx1"/>
            </w14:solidFill>
          </w14:textFill>
        </w:rPr>
        <w:t>（颗粒物）</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0mg/m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6.6</w:t>
      </w:r>
      <w:r>
        <w:rPr>
          <w:rFonts w:hint="eastAsia"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/kg</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cs="Times New Roman"/>
          <w:bCs/>
          <w:color w:val="000000" w:themeColor="text1"/>
          <w:kern w:val="0"/>
          <w:sz w:val="24"/>
          <w:szCs w:val="24"/>
          <w:highlight w:val="none"/>
          <w:lang w:val="en-US" w:eastAsia="zh-CN"/>
          <w14:textFill>
            <w14:solidFill>
              <w14:schemeClr w14:val="tx1"/>
            </w14:solidFill>
          </w14:textFill>
        </w:rPr>
        <w:t>6219t</w:t>
      </w:r>
      <w:r>
        <w:rPr>
          <w:rFonts w:hint="default" w:ascii="Times New Roman" w:hAnsi="Times New Roman" w:cs="Times New Roman"/>
          <w:color w:val="000000" w:themeColor="text1"/>
          <w:sz w:val="24"/>
          <w:szCs w:val="24"/>
          <w:highlight w:val="none"/>
          <w14:textFill>
            <w14:solidFill>
              <w14:schemeClr w14:val="tx1"/>
            </w14:solidFill>
          </w14:textFill>
        </w:rPr>
        <w:t>/a</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×10</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w:t>
      </w:r>
      <w:r>
        <w:rPr>
          <w:rFonts w:hint="eastAsia" w:cs="Times New Roman"/>
          <w:color w:val="000000" w:themeColor="text1"/>
          <w:sz w:val="24"/>
          <w:szCs w:val="24"/>
          <w:highlight w:val="none"/>
          <w:vertAlign w:val="superscript"/>
          <w:lang w:val="en-US" w:eastAsia="zh-CN"/>
          <w14:textFill>
            <w14:solidFill>
              <w14:schemeClr w14:val="tx1"/>
            </w14:solidFill>
          </w14:textFill>
        </w:rPr>
        <w:t>6</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1.24</w:t>
      </w:r>
      <w:r>
        <w:rPr>
          <w:rFonts w:hint="default" w:ascii="Times New Roman" w:hAnsi="Times New Roman" w:cs="Times New Roman"/>
          <w:color w:val="000000" w:themeColor="text1"/>
          <w:sz w:val="24"/>
          <w:szCs w:val="24"/>
          <w:highlight w:val="none"/>
          <w14:textFill>
            <w14:solidFill>
              <w14:schemeClr w14:val="tx1"/>
            </w14:solidFill>
          </w14:textFill>
        </w:rPr>
        <w:t>t/a；</w:t>
      </w:r>
    </w:p>
    <w:p w14:paraId="752AA1AC">
      <w:pPr>
        <w:spacing w:line="360" w:lineRule="auto"/>
        <w:ind w:firstLine="1200" w:firstLineChars="50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E</w:t>
      </w:r>
      <w:r>
        <w:rPr>
          <w:rFonts w:hint="eastAsia" w:ascii="Times New Roman" w:hAnsi="Times New Roman" w:cs="Times New Roman"/>
          <w:color w:val="000000" w:themeColor="text1"/>
          <w:sz w:val="24"/>
          <w:szCs w:val="24"/>
          <w:highlight w:val="none"/>
          <w:vertAlign w:val="subscript"/>
          <w:lang w:val="en-US" w:eastAsia="zh-CN"/>
          <w14:textFill>
            <w14:solidFill>
              <w14:schemeClr w14:val="tx1"/>
            </w14:solidFill>
          </w14:textFill>
        </w:rPr>
        <w:t>核定排放量</w:t>
      </w:r>
      <w:r>
        <w:rPr>
          <w:rFonts w:hint="default" w:ascii="Times New Roman" w:hAnsi="Times New Roman" w:cs="Times New Roman"/>
          <w:color w:val="000000" w:themeColor="text1"/>
          <w:sz w:val="24"/>
          <w:szCs w:val="24"/>
          <w:highlight w:val="none"/>
          <w:vertAlign w:val="subscript"/>
          <w14:textFill>
            <w14:solidFill>
              <w14:schemeClr w14:val="tx1"/>
            </w14:solidFill>
          </w14:textFill>
        </w:rPr>
        <w:t>（SO2）</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00mg/m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6.6</w:t>
      </w:r>
      <w:r>
        <w:rPr>
          <w:rFonts w:hint="eastAsia"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/kg</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cs="Times New Roman"/>
          <w:bCs/>
          <w:color w:val="000000" w:themeColor="text1"/>
          <w:kern w:val="0"/>
          <w:sz w:val="24"/>
          <w:szCs w:val="24"/>
          <w:highlight w:val="none"/>
          <w:lang w:val="en-US" w:eastAsia="zh-CN"/>
          <w14:textFill>
            <w14:solidFill>
              <w14:schemeClr w14:val="tx1"/>
            </w14:solidFill>
          </w14:textFill>
        </w:rPr>
        <w:t>6219t</w:t>
      </w:r>
      <w:r>
        <w:rPr>
          <w:rFonts w:hint="default" w:ascii="Times New Roman" w:hAnsi="Times New Roman" w:cs="Times New Roman"/>
          <w:color w:val="000000" w:themeColor="text1"/>
          <w:sz w:val="24"/>
          <w:szCs w:val="24"/>
          <w:highlight w:val="none"/>
          <w14:textFill>
            <w14:solidFill>
              <w14:schemeClr w14:val="tx1"/>
            </w14:solidFill>
          </w14:textFill>
        </w:rPr>
        <w:t>/a</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×0.8×10</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w:t>
      </w:r>
      <w:r>
        <w:rPr>
          <w:rFonts w:hint="eastAsia" w:cs="Times New Roman"/>
          <w:color w:val="000000" w:themeColor="text1"/>
          <w:sz w:val="24"/>
          <w:szCs w:val="24"/>
          <w:highlight w:val="none"/>
          <w:vertAlign w:val="superscript"/>
          <w:lang w:val="en-US" w:eastAsia="zh-CN"/>
          <w14:textFill>
            <w14:solidFill>
              <w14:schemeClr w14:val="tx1"/>
            </w14:solidFill>
          </w14:textFill>
        </w:rPr>
        <w:t>6</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6.59</w:t>
      </w:r>
      <w:r>
        <w:rPr>
          <w:rFonts w:hint="default" w:ascii="Times New Roman" w:hAnsi="Times New Roman" w:cs="Times New Roman"/>
          <w:color w:val="000000" w:themeColor="text1"/>
          <w:sz w:val="24"/>
          <w:szCs w:val="24"/>
          <w:highlight w:val="none"/>
          <w14:textFill>
            <w14:solidFill>
              <w14:schemeClr w14:val="tx1"/>
            </w14:solidFill>
          </w14:textFill>
        </w:rPr>
        <w:t>t/a；</w:t>
      </w:r>
    </w:p>
    <w:p w14:paraId="6E4C2658">
      <w:pPr>
        <w:ind w:firstLine="1200" w:firstLineChars="5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E</w:t>
      </w:r>
      <w:r>
        <w:rPr>
          <w:rFonts w:hint="eastAsia" w:ascii="Times New Roman" w:hAnsi="Times New Roman" w:cs="Times New Roman"/>
          <w:color w:val="000000" w:themeColor="text1"/>
          <w:sz w:val="24"/>
          <w:szCs w:val="24"/>
          <w:highlight w:val="none"/>
          <w:vertAlign w:val="subscript"/>
          <w:lang w:val="en-US" w:eastAsia="zh-CN"/>
          <w14:textFill>
            <w14:solidFill>
              <w14:schemeClr w14:val="tx1"/>
            </w14:solidFill>
          </w14:textFill>
        </w:rPr>
        <w:t>核定排放量</w:t>
      </w:r>
      <w:r>
        <w:rPr>
          <w:rFonts w:hint="default" w:ascii="Times New Roman" w:hAnsi="Times New Roman" w:cs="Times New Roman"/>
          <w:color w:val="000000" w:themeColor="text1"/>
          <w:sz w:val="24"/>
          <w:szCs w:val="24"/>
          <w:highlight w:val="none"/>
          <w:vertAlign w:val="subscript"/>
          <w14:textFill>
            <w14:solidFill>
              <w14:schemeClr w14:val="tx1"/>
            </w14:solidFill>
          </w14:textFill>
        </w:rPr>
        <w:t>（NOx）</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00mg/m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6.6</w:t>
      </w:r>
      <w:r>
        <w:rPr>
          <w:rFonts w:hint="eastAsia"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/kg</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cs="Times New Roman"/>
          <w:bCs/>
          <w:color w:val="000000" w:themeColor="text1"/>
          <w:kern w:val="0"/>
          <w:sz w:val="24"/>
          <w:szCs w:val="24"/>
          <w:highlight w:val="none"/>
          <w:lang w:val="en-US" w:eastAsia="zh-CN"/>
          <w14:textFill>
            <w14:solidFill>
              <w14:schemeClr w14:val="tx1"/>
            </w14:solidFill>
          </w14:textFill>
        </w:rPr>
        <w:t>6219t</w:t>
      </w:r>
      <w:r>
        <w:rPr>
          <w:rFonts w:hint="default" w:ascii="Times New Roman" w:hAnsi="Times New Roman" w:cs="Times New Roman"/>
          <w:color w:val="000000" w:themeColor="text1"/>
          <w:sz w:val="24"/>
          <w:szCs w:val="24"/>
          <w:highlight w:val="none"/>
          <w14:textFill>
            <w14:solidFill>
              <w14:schemeClr w14:val="tx1"/>
            </w14:solidFill>
          </w14:textFill>
        </w:rPr>
        <w:t>/a</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×10</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w:t>
      </w:r>
      <w:r>
        <w:rPr>
          <w:rFonts w:hint="eastAsia" w:cs="Times New Roman"/>
          <w:color w:val="000000" w:themeColor="text1"/>
          <w:sz w:val="24"/>
          <w:szCs w:val="24"/>
          <w:highlight w:val="none"/>
          <w:vertAlign w:val="superscript"/>
          <w:lang w:val="en-US" w:eastAsia="zh-CN"/>
          <w14:textFill>
            <w14:solidFill>
              <w14:schemeClr w14:val="tx1"/>
            </w14:solidFill>
          </w14:textFill>
        </w:rPr>
        <w:t>6</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8.23</w:t>
      </w:r>
      <w:r>
        <w:rPr>
          <w:rFonts w:hint="default" w:ascii="Times New Roman" w:hAnsi="Times New Roman" w:cs="Times New Roman"/>
          <w:color w:val="000000" w:themeColor="text1"/>
          <w:sz w:val="24"/>
          <w:szCs w:val="24"/>
          <w:highlight w:val="none"/>
          <w14:textFill>
            <w14:solidFill>
              <w14:schemeClr w14:val="tx1"/>
            </w14:solidFill>
          </w14:textFill>
        </w:rPr>
        <w:t>t/a；</w:t>
      </w:r>
    </w:p>
    <w:p w14:paraId="28601DA6">
      <w:pPr>
        <w:pStyle w:val="55"/>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eastAsia" w:ascii="Times New Roman" w:hAnsi="Times New Roman" w:cs="Times New Roman"/>
          <w:color w:val="000000" w:themeColor="text1"/>
          <w:sz w:val="24"/>
          <w:szCs w:val="24"/>
          <w:highlight w:val="none"/>
          <w:lang w:eastAsia="zh-CN"/>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w:t>
      </w:r>
      <w:r>
        <w:rPr>
          <w:rFonts w:hint="eastAsia" w:ascii="Times New Roman" w:hAnsi="Times New Roman" w:cs="Times New Roman"/>
          <w:color w:val="000000" w:themeColor="text1"/>
          <w:sz w:val="24"/>
          <w:szCs w:val="24"/>
          <w:highlight w:val="none"/>
          <w:lang w:eastAsia="zh-CN"/>
          <w14:textFill>
            <w14:solidFill>
              <w14:schemeClr w14:val="tx1"/>
            </w14:solidFill>
          </w14:textFill>
        </w:rPr>
        <w:t>）灰渣暂存间无组织颗粒物排放量</w:t>
      </w:r>
    </w:p>
    <w:p w14:paraId="33E91A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灰渣暂存间运输、储存灰渣期间无组织颗粒物排放量为0.01t/a。因此，本项目无组织颗粒物核定排放量为0.01t/a。</w:t>
      </w:r>
    </w:p>
    <w:p w14:paraId="33A9632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b/>
          <w:bCs/>
          <w:color w:val="000000" w:themeColor="text1"/>
          <w:sz w:val="24"/>
          <w:szCs w:val="32"/>
          <w:highlight w:val="none"/>
          <w:lang w:val="en-US" w:eastAsia="zh-CN"/>
          <w14:textFill>
            <w14:solidFill>
              <w14:schemeClr w14:val="tx1"/>
            </w14:solidFill>
          </w14:textFill>
        </w:rPr>
      </w:pPr>
      <w:r>
        <w:rPr>
          <w:rFonts w:hint="eastAsia"/>
          <w:b/>
          <w:bCs/>
          <w:color w:val="000000" w:themeColor="text1"/>
          <w:sz w:val="24"/>
          <w:szCs w:val="32"/>
          <w:highlight w:val="none"/>
          <w:lang w:val="en-US" w:eastAsia="zh-CN"/>
          <w14:textFill>
            <w14:solidFill>
              <w14:schemeClr w14:val="tx1"/>
            </w14:solidFill>
          </w14:textFill>
        </w:rPr>
        <w:t>2.废水排放总量</w:t>
      </w:r>
    </w:p>
    <w:p w14:paraId="181C75B1">
      <w:pPr>
        <w:pStyle w:val="16"/>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cs="Times New Roman"/>
          <w:sz w:val="24"/>
          <w:szCs w:val="24"/>
        </w:rPr>
      </w:pPr>
      <w:r>
        <w:rPr>
          <w:rFonts w:ascii="Times New Roman" w:hAnsi="Times New Roman" w:cs="Times New Roman"/>
          <w:sz w:val="24"/>
          <w:szCs w:val="24"/>
          <w:lang w:bidi="ar"/>
        </w:rPr>
        <w:t>项目</w:t>
      </w:r>
      <w:r>
        <w:rPr>
          <w:rFonts w:hint="eastAsia" w:ascii="Times New Roman" w:hAnsi="Times New Roman" w:cs="Times New Roman"/>
          <w:sz w:val="24"/>
          <w:szCs w:val="24"/>
          <w:lang w:val="en-US" w:eastAsia="zh-CN" w:bidi="ar"/>
        </w:rPr>
        <w:t>综合废水</w:t>
      </w:r>
      <w:r>
        <w:rPr>
          <w:rFonts w:ascii="Times New Roman" w:hAnsi="Times New Roman" w:cs="Times New Roman"/>
          <w:sz w:val="24"/>
          <w:szCs w:val="24"/>
        </w:rPr>
        <w:t>污染物排放浓度</w:t>
      </w:r>
      <w:r>
        <w:rPr>
          <w:rFonts w:ascii="Times New Roman" w:hAnsi="Times New Roman" w:cs="Times New Roman"/>
          <w:sz w:val="24"/>
          <w:szCs w:val="24"/>
          <w:lang w:bidi="ar"/>
        </w:rPr>
        <w:t>执行《污水综合排放标准》（GB8978-1996）中</w:t>
      </w:r>
      <w:r>
        <w:rPr>
          <w:rFonts w:hint="eastAsia" w:ascii="Times New Roman" w:hAnsi="Times New Roman" w:cs="Times New Roman"/>
          <w:sz w:val="24"/>
          <w:szCs w:val="24"/>
          <w:lang w:bidi="ar"/>
        </w:rPr>
        <w:t>表4</w:t>
      </w:r>
      <w:r>
        <w:rPr>
          <w:rFonts w:ascii="Times New Roman" w:hAnsi="Times New Roman" w:cs="Times New Roman"/>
          <w:sz w:val="24"/>
          <w:szCs w:val="24"/>
          <w:lang w:bidi="ar"/>
        </w:rPr>
        <w:t>三级标准</w:t>
      </w:r>
      <w:r>
        <w:rPr>
          <w:rFonts w:hint="eastAsia" w:ascii="Times New Roman" w:hAnsi="Times New Roman" w:cs="Times New Roman"/>
          <w:sz w:val="24"/>
          <w:szCs w:val="24"/>
          <w:lang w:bidi="ar"/>
        </w:rPr>
        <w:t>，COD排放浓度执行500mg/L，由于</w:t>
      </w:r>
      <w:r>
        <w:rPr>
          <w:rFonts w:ascii="Times New Roman" w:hAnsi="Times New Roman" w:cs="Times New Roman"/>
          <w:sz w:val="24"/>
          <w:szCs w:val="24"/>
        </w:rPr>
        <w:t>NH</w:t>
      </w:r>
      <w:r>
        <w:rPr>
          <w:rFonts w:ascii="Times New Roman" w:hAnsi="Times New Roman" w:cs="Times New Roman"/>
          <w:sz w:val="24"/>
          <w:szCs w:val="24"/>
          <w:vertAlign w:val="subscript"/>
        </w:rPr>
        <w:t>3</w:t>
      </w:r>
      <w:r>
        <w:rPr>
          <w:rFonts w:ascii="Times New Roman" w:hAnsi="Times New Roman" w:cs="Times New Roman"/>
          <w:sz w:val="24"/>
          <w:szCs w:val="24"/>
        </w:rPr>
        <w:t>-N</w:t>
      </w:r>
      <w:r>
        <w:rPr>
          <w:rFonts w:hint="eastAsia" w:ascii="Times New Roman" w:hAnsi="Times New Roman" w:cs="Times New Roman"/>
          <w:sz w:val="24"/>
          <w:szCs w:val="24"/>
        </w:rPr>
        <w:t>、TP指标未有排放浓度限值。因此，参照</w:t>
      </w:r>
      <w:r>
        <w:rPr>
          <w:rFonts w:hint="eastAsia" w:ascii="Times New Roman" w:hAnsi="Times New Roman" w:cs="Times New Roman"/>
          <w:sz w:val="24"/>
          <w:szCs w:val="24"/>
          <w:lang w:eastAsia="zh-CN"/>
        </w:rPr>
        <w:t>饶河县西林子乡污水处理站</w:t>
      </w:r>
      <w:r>
        <w:rPr>
          <w:rFonts w:hint="eastAsia" w:ascii="Times New Roman" w:hAnsi="Times New Roman" w:cs="Times New Roman"/>
          <w:sz w:val="24"/>
          <w:szCs w:val="24"/>
        </w:rPr>
        <w:t>进水水质</w:t>
      </w:r>
      <w:r>
        <w:rPr>
          <w:rFonts w:ascii="Times New Roman" w:hAnsi="Times New Roman" w:cs="Times New Roman"/>
          <w:sz w:val="24"/>
          <w:szCs w:val="24"/>
        </w:rPr>
        <w:t>NH</w:t>
      </w:r>
      <w:r>
        <w:rPr>
          <w:rFonts w:ascii="Times New Roman" w:hAnsi="Times New Roman" w:cs="Times New Roman"/>
          <w:sz w:val="24"/>
          <w:szCs w:val="24"/>
          <w:vertAlign w:val="subscript"/>
        </w:rPr>
        <w:t>3</w:t>
      </w:r>
      <w:r>
        <w:rPr>
          <w:rFonts w:ascii="Times New Roman" w:hAnsi="Times New Roman" w:cs="Times New Roman"/>
          <w:sz w:val="24"/>
          <w:szCs w:val="24"/>
        </w:rPr>
        <w:t>-N</w:t>
      </w:r>
      <w:r>
        <w:rPr>
          <w:rFonts w:hint="eastAsia" w:ascii="Times New Roman" w:hAnsi="Times New Roman" w:cs="Times New Roman"/>
          <w:sz w:val="24"/>
          <w:szCs w:val="24"/>
          <w:lang w:val="en-US" w:eastAsia="zh-CN"/>
        </w:rPr>
        <w:t>35</w:t>
      </w:r>
      <w:r>
        <w:rPr>
          <w:rFonts w:hint="eastAsia" w:ascii="Times New Roman" w:hAnsi="Times New Roman" w:cs="Times New Roman"/>
          <w:sz w:val="24"/>
          <w:szCs w:val="24"/>
        </w:rPr>
        <w:t>mg/L、TP4</w:t>
      </w:r>
      <w:r>
        <w:rPr>
          <w:rFonts w:hint="eastAsia" w:ascii="Times New Roman" w:hAnsi="Times New Roman" w:cs="Times New Roman"/>
          <w:sz w:val="24"/>
          <w:szCs w:val="24"/>
          <w:lang w:val="en-US" w:eastAsia="zh-CN"/>
        </w:rPr>
        <w:t>.5</w:t>
      </w:r>
      <w:r>
        <w:rPr>
          <w:rFonts w:hint="eastAsia" w:ascii="Times New Roman" w:hAnsi="Times New Roman" w:cs="Times New Roman"/>
          <w:sz w:val="24"/>
          <w:szCs w:val="24"/>
        </w:rPr>
        <w:t>mg/L浓度要求进行核定排放量。</w:t>
      </w:r>
    </w:p>
    <w:p w14:paraId="2129D7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rPr>
      </w:pPr>
      <w:r>
        <w:rPr>
          <w:sz w:val="24"/>
        </w:rPr>
        <w:t>COD核定排放量=COD标准排放浓度×排放量</w:t>
      </w:r>
      <w:r>
        <w:rPr>
          <w:rFonts w:hint="eastAsia"/>
          <w:sz w:val="24"/>
        </w:rPr>
        <w:t>=500</w:t>
      </w:r>
      <w:r>
        <w:rPr>
          <w:sz w:val="24"/>
        </w:rPr>
        <w:t>mg/L×</w:t>
      </w:r>
      <w:r>
        <w:rPr>
          <w:rFonts w:hint="eastAsia"/>
          <w:sz w:val="24"/>
          <w:lang w:val="en-US" w:eastAsia="zh-CN"/>
        </w:rPr>
        <w:t>2028.26</w:t>
      </w:r>
      <w:r>
        <w:rPr>
          <w:rFonts w:hint="eastAsia"/>
          <w:sz w:val="24"/>
        </w:rPr>
        <w:t>t/a</w:t>
      </w:r>
      <w:r>
        <w:rPr>
          <w:sz w:val="24"/>
        </w:rPr>
        <w:t>×</w:t>
      </w:r>
      <w:r>
        <w:rPr>
          <w:rFonts w:hint="eastAsia"/>
          <w:sz w:val="24"/>
        </w:rPr>
        <w:t>10</w:t>
      </w:r>
      <w:r>
        <w:rPr>
          <w:rFonts w:hint="eastAsia"/>
          <w:sz w:val="24"/>
          <w:vertAlign w:val="superscript"/>
        </w:rPr>
        <w:t>-6</w:t>
      </w:r>
      <w:r>
        <w:rPr>
          <w:rFonts w:hint="eastAsia"/>
          <w:sz w:val="24"/>
        </w:rPr>
        <w:t>=</w:t>
      </w:r>
      <w:r>
        <w:rPr>
          <w:rFonts w:hint="eastAsia"/>
          <w:sz w:val="24"/>
          <w:lang w:val="en-US" w:eastAsia="zh-CN"/>
        </w:rPr>
        <w:t>1.01</w:t>
      </w:r>
      <w:r>
        <w:rPr>
          <w:sz w:val="24"/>
        </w:rPr>
        <w:t>t/a</w:t>
      </w:r>
      <w:r>
        <w:rPr>
          <w:rFonts w:hint="eastAsia"/>
          <w:sz w:val="24"/>
        </w:rPr>
        <w:t>；</w:t>
      </w:r>
    </w:p>
    <w:p w14:paraId="5D3BF5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rPr>
      </w:pPr>
      <w:r>
        <w:rPr>
          <w:sz w:val="24"/>
        </w:rPr>
        <w:t>NH</w:t>
      </w:r>
      <w:r>
        <w:rPr>
          <w:sz w:val="24"/>
          <w:vertAlign w:val="subscript"/>
        </w:rPr>
        <w:t>3</w:t>
      </w:r>
      <w:r>
        <w:rPr>
          <w:sz w:val="24"/>
        </w:rPr>
        <w:t>-N核定排放量=NH</w:t>
      </w:r>
      <w:r>
        <w:rPr>
          <w:sz w:val="24"/>
          <w:vertAlign w:val="subscript"/>
        </w:rPr>
        <w:t>3</w:t>
      </w:r>
      <w:r>
        <w:rPr>
          <w:sz w:val="24"/>
        </w:rPr>
        <w:t>-N标准排放浓度×排放量</w:t>
      </w:r>
      <w:r>
        <w:rPr>
          <w:rFonts w:hint="eastAsia"/>
          <w:sz w:val="24"/>
        </w:rPr>
        <w:t>=50</w:t>
      </w:r>
      <w:r>
        <w:rPr>
          <w:sz w:val="24"/>
        </w:rPr>
        <w:t>mg/L×</w:t>
      </w:r>
      <w:r>
        <w:rPr>
          <w:rFonts w:hint="eastAsia"/>
          <w:sz w:val="24"/>
          <w:lang w:eastAsia="zh-CN"/>
        </w:rPr>
        <w:t>2028.26</w:t>
      </w:r>
      <w:r>
        <w:rPr>
          <w:rFonts w:hint="eastAsia"/>
          <w:sz w:val="24"/>
        </w:rPr>
        <w:t>t/a</w:t>
      </w:r>
      <w:r>
        <w:rPr>
          <w:sz w:val="24"/>
        </w:rPr>
        <w:t>×</w:t>
      </w:r>
      <w:r>
        <w:rPr>
          <w:rFonts w:hint="eastAsia"/>
          <w:sz w:val="24"/>
        </w:rPr>
        <w:t>10</w:t>
      </w:r>
      <w:r>
        <w:rPr>
          <w:rFonts w:hint="eastAsia"/>
          <w:sz w:val="24"/>
          <w:vertAlign w:val="superscript"/>
        </w:rPr>
        <w:t>-6</w:t>
      </w:r>
      <w:r>
        <w:rPr>
          <w:rFonts w:hint="eastAsia"/>
          <w:sz w:val="24"/>
        </w:rPr>
        <w:t>=0.</w:t>
      </w:r>
      <w:r>
        <w:rPr>
          <w:rFonts w:hint="eastAsia"/>
          <w:sz w:val="24"/>
          <w:lang w:val="en-US" w:eastAsia="zh-CN"/>
        </w:rPr>
        <w:t>10</w:t>
      </w:r>
      <w:r>
        <w:rPr>
          <w:sz w:val="24"/>
        </w:rPr>
        <w:t>t/a</w:t>
      </w:r>
      <w:r>
        <w:rPr>
          <w:rFonts w:hint="eastAsia"/>
          <w:sz w:val="24"/>
        </w:rPr>
        <w:t>；</w:t>
      </w:r>
    </w:p>
    <w:p w14:paraId="2DB3AE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lang w:val="en-US" w:eastAsia="zh-CN"/>
        </w:rPr>
      </w:pPr>
      <w:r>
        <w:rPr>
          <w:rFonts w:hint="eastAsia"/>
          <w:sz w:val="24"/>
        </w:rPr>
        <w:t>TP</w:t>
      </w:r>
      <w:r>
        <w:rPr>
          <w:sz w:val="24"/>
        </w:rPr>
        <w:t>核定排放量=</w:t>
      </w:r>
      <w:r>
        <w:rPr>
          <w:rFonts w:hint="eastAsia"/>
          <w:sz w:val="24"/>
        </w:rPr>
        <w:t>TP</w:t>
      </w:r>
      <w:r>
        <w:rPr>
          <w:sz w:val="24"/>
        </w:rPr>
        <w:t>标准排放浓度×排放量</w:t>
      </w:r>
      <w:r>
        <w:rPr>
          <w:rFonts w:hint="eastAsia"/>
          <w:sz w:val="24"/>
        </w:rPr>
        <w:t>=4</w:t>
      </w:r>
      <w:r>
        <w:rPr>
          <w:sz w:val="24"/>
        </w:rPr>
        <w:t>mg/L×</w:t>
      </w:r>
      <w:r>
        <w:rPr>
          <w:rFonts w:hint="eastAsia"/>
          <w:sz w:val="24"/>
          <w:lang w:eastAsia="zh-CN"/>
        </w:rPr>
        <w:t>2028.26</w:t>
      </w:r>
      <w:r>
        <w:rPr>
          <w:rFonts w:hint="eastAsia"/>
          <w:sz w:val="24"/>
        </w:rPr>
        <w:t>t/a</w:t>
      </w:r>
      <w:r>
        <w:rPr>
          <w:sz w:val="24"/>
        </w:rPr>
        <w:t>×</w:t>
      </w:r>
      <w:r>
        <w:rPr>
          <w:rFonts w:hint="eastAsia"/>
          <w:sz w:val="24"/>
        </w:rPr>
        <w:t>10</w:t>
      </w:r>
      <w:r>
        <w:rPr>
          <w:rFonts w:hint="eastAsia"/>
          <w:sz w:val="24"/>
          <w:vertAlign w:val="superscript"/>
        </w:rPr>
        <w:t>-6</w:t>
      </w:r>
      <w:r>
        <w:rPr>
          <w:rFonts w:hint="eastAsia"/>
          <w:sz w:val="24"/>
        </w:rPr>
        <w:t>=0.00</w:t>
      </w:r>
      <w:r>
        <w:rPr>
          <w:rFonts w:hint="eastAsia"/>
          <w:sz w:val="24"/>
          <w:lang w:val="en-US" w:eastAsia="zh-CN"/>
        </w:rPr>
        <w:t>8</w:t>
      </w:r>
      <w:r>
        <w:rPr>
          <w:sz w:val="24"/>
        </w:rPr>
        <w:t>t/a</w:t>
      </w:r>
      <w:r>
        <w:rPr>
          <w:rFonts w:hint="eastAsia"/>
          <w:sz w:val="24"/>
        </w:rPr>
        <w:t>；</w:t>
      </w:r>
    </w:p>
    <w:p w14:paraId="66E8665D">
      <w:pPr>
        <w:pStyle w:val="16"/>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color w:val="000000" w:themeColor="text1"/>
          <w:highlight w:val="none"/>
          <w:lang w:val="en-US" w:eastAsia="zh-CN"/>
          <w14:textFill>
            <w14:solidFill>
              <w14:schemeClr w14:val="tx1"/>
            </w14:solidFill>
          </w14:textFill>
        </w:rPr>
      </w:pPr>
      <w:r>
        <w:rPr>
          <w:rFonts w:hint="eastAsia" w:cs="Times New Roman"/>
          <w:color w:val="000000" w:themeColor="text1"/>
          <w:kern w:val="0"/>
          <w:sz w:val="24"/>
          <w:szCs w:val="24"/>
          <w:highlight w:val="none"/>
          <w:lang w:val="en-US" w:eastAsia="zh-CN"/>
          <w14:textFill>
            <w14:solidFill>
              <w14:schemeClr w14:val="tx1"/>
            </w14:solidFill>
          </w14:textFill>
        </w:rPr>
        <w:t>项目总量控制指标情况见表1。</w:t>
      </w:r>
    </w:p>
    <w:p w14:paraId="2E30BAF1">
      <w:pPr>
        <w:pStyle w:val="45"/>
        <w:spacing w:line="240" w:lineRule="auto"/>
        <w:ind w:left="0" w:leftChars="0" w:firstLine="0" w:firstLine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eastAsia="zh-CN"/>
          <w14:textFill>
            <w14:solidFill>
              <w14:schemeClr w14:val="tx1"/>
            </w14:solidFill>
          </w14:textFill>
        </w:rPr>
        <w:t>表</w:t>
      </w:r>
      <w:r>
        <w:rPr>
          <w:rFonts w:hint="eastAsia" w:cs="Times New Roman"/>
          <w:b/>
          <w:bCs/>
          <w:color w:val="000000" w:themeColor="text1"/>
          <w:sz w:val="21"/>
          <w:szCs w:val="21"/>
          <w:highlight w:val="none"/>
          <w:lang w:val="en-US" w:eastAsia="zh-CN"/>
          <w14:textFill>
            <w14:solidFill>
              <w14:schemeClr w14:val="tx1"/>
            </w14:solidFill>
          </w14:textFill>
        </w:rPr>
        <w:t>1  项目总量控制指标</w:t>
      </w:r>
    </w:p>
    <w:tbl>
      <w:tblPr>
        <w:tblStyle w:val="20"/>
        <w:tblW w:w="4996"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69"/>
        <w:gridCol w:w="6784"/>
      </w:tblGrid>
      <w:tr w14:paraId="174C677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253" w:type="pct"/>
            <w:tcBorders>
              <w:tl2br w:val="nil"/>
              <w:tr2bl w:val="nil"/>
            </w:tcBorders>
            <w:noWrap w:val="0"/>
            <w:vAlign w:val="center"/>
          </w:tcPr>
          <w:p w14:paraId="6E51B381">
            <w:pPr>
              <w:jc w:val="center"/>
              <w:rPr>
                <w:rFonts w:hint="eastAsia" w:eastAsia="宋体"/>
                <w:b/>
                <w:bCs/>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污染物</w:t>
            </w:r>
          </w:p>
        </w:tc>
        <w:tc>
          <w:tcPr>
            <w:tcW w:w="3746" w:type="pct"/>
            <w:tcBorders>
              <w:tl2br w:val="nil"/>
              <w:tr2bl w:val="nil"/>
            </w:tcBorders>
            <w:noWrap w:val="0"/>
            <w:vAlign w:val="center"/>
          </w:tcPr>
          <w:p w14:paraId="74C52C4B">
            <w:pPr>
              <w:jc w:val="center"/>
              <w:rPr>
                <w:rFonts w:hint="eastAsia" w:eastAsia="宋体"/>
                <w:b/>
                <w:bCs/>
                <w:color w:val="000000" w:themeColor="text1"/>
                <w:sz w:val="21"/>
                <w:szCs w:val="21"/>
                <w:highlight w:val="none"/>
                <w:lang w:eastAsia="zh-CN"/>
                <w14:textFill>
                  <w14:solidFill>
                    <w14:schemeClr w14:val="tx1"/>
                  </w14:solidFill>
                </w14:textFill>
              </w:rPr>
            </w:pPr>
            <w:r>
              <w:rPr>
                <w:b/>
                <w:bCs/>
                <w:color w:val="000000" w:themeColor="text1"/>
                <w:sz w:val="21"/>
                <w:szCs w:val="21"/>
                <w:highlight w:val="none"/>
                <w14:textFill>
                  <w14:solidFill>
                    <w14:schemeClr w14:val="tx1"/>
                  </w14:solidFill>
                </w14:textFill>
              </w:rPr>
              <w:t>本项目核定排放量</w:t>
            </w:r>
            <w:r>
              <w:rPr>
                <w:rFonts w:hint="eastAsia"/>
                <w:b/>
                <w:bCs/>
                <w:color w:val="000000" w:themeColor="text1"/>
                <w:sz w:val="21"/>
                <w:szCs w:val="21"/>
                <w:highlight w:val="none"/>
                <w:lang w:eastAsia="zh-CN"/>
                <w14:textFill>
                  <w14:solidFill>
                    <w14:schemeClr w14:val="tx1"/>
                  </w14:solidFill>
                </w14:textFill>
              </w:rPr>
              <w:t>（</w:t>
            </w:r>
            <w:r>
              <w:rPr>
                <w:rFonts w:hint="eastAsia"/>
                <w:b/>
                <w:bCs/>
                <w:color w:val="000000" w:themeColor="text1"/>
                <w:sz w:val="21"/>
                <w:szCs w:val="21"/>
                <w:highlight w:val="none"/>
                <w:lang w:val="en-US" w:eastAsia="zh-CN"/>
                <w14:textFill>
                  <w14:solidFill>
                    <w14:schemeClr w14:val="tx1"/>
                  </w14:solidFill>
                </w14:textFill>
              </w:rPr>
              <w:t>t/a</w:t>
            </w:r>
            <w:r>
              <w:rPr>
                <w:rFonts w:hint="eastAsia"/>
                <w:b/>
                <w:bCs/>
                <w:color w:val="000000" w:themeColor="text1"/>
                <w:sz w:val="21"/>
                <w:szCs w:val="21"/>
                <w:highlight w:val="none"/>
                <w:lang w:eastAsia="zh-CN"/>
                <w14:textFill>
                  <w14:solidFill>
                    <w14:schemeClr w14:val="tx1"/>
                  </w14:solidFill>
                </w14:textFill>
              </w:rPr>
              <w:t>）</w:t>
            </w:r>
          </w:p>
        </w:tc>
      </w:tr>
      <w:tr w14:paraId="3AC04F2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53" w:type="pct"/>
            <w:tcBorders>
              <w:tl2br w:val="nil"/>
              <w:tr2bl w:val="nil"/>
            </w:tcBorders>
            <w:noWrap w:val="0"/>
            <w:vAlign w:val="center"/>
          </w:tcPr>
          <w:p w14:paraId="2772C512">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颗粒物</w:t>
            </w:r>
          </w:p>
        </w:tc>
        <w:tc>
          <w:tcPr>
            <w:tcW w:w="3746" w:type="pct"/>
            <w:tcBorders>
              <w:tl2br w:val="nil"/>
              <w:tr2bl w:val="nil"/>
            </w:tcBorders>
            <w:noWrap w:val="0"/>
            <w:vAlign w:val="center"/>
          </w:tcPr>
          <w:p w14:paraId="49CBADFA">
            <w:pPr>
              <w:pStyle w:val="54"/>
              <w:spacing w:beforeLines="0" w:afterLines="0"/>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1.25</w:t>
            </w:r>
          </w:p>
        </w:tc>
      </w:tr>
      <w:tr w14:paraId="4CFDB5E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53" w:type="pct"/>
            <w:tcBorders>
              <w:tl2br w:val="nil"/>
              <w:tr2bl w:val="nil"/>
            </w:tcBorders>
            <w:noWrap w:val="0"/>
            <w:vAlign w:val="center"/>
          </w:tcPr>
          <w:p w14:paraId="64617E7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SO</w:t>
            </w:r>
            <w:r>
              <w:rPr>
                <w:color w:val="000000" w:themeColor="text1"/>
                <w:sz w:val="21"/>
                <w:szCs w:val="21"/>
                <w:highlight w:val="none"/>
                <w:vertAlign w:val="subscript"/>
                <w14:textFill>
                  <w14:solidFill>
                    <w14:schemeClr w14:val="tx1"/>
                  </w14:solidFill>
                </w14:textFill>
              </w:rPr>
              <w:t>2</w:t>
            </w:r>
          </w:p>
        </w:tc>
        <w:tc>
          <w:tcPr>
            <w:tcW w:w="3746" w:type="pct"/>
            <w:tcBorders>
              <w:tl2br w:val="nil"/>
              <w:tr2bl w:val="nil"/>
            </w:tcBorders>
            <w:noWrap w:val="0"/>
            <w:vAlign w:val="center"/>
          </w:tcPr>
          <w:p w14:paraId="32BE220B">
            <w:pPr>
              <w:widowControl/>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6.59</w:t>
            </w:r>
          </w:p>
        </w:tc>
      </w:tr>
      <w:tr w14:paraId="12ACB97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53" w:type="pct"/>
            <w:tcBorders>
              <w:tl2br w:val="nil"/>
              <w:tr2bl w:val="nil"/>
            </w:tcBorders>
            <w:noWrap w:val="0"/>
            <w:vAlign w:val="center"/>
          </w:tcPr>
          <w:p w14:paraId="72B2256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NOx</w:t>
            </w:r>
          </w:p>
        </w:tc>
        <w:tc>
          <w:tcPr>
            <w:tcW w:w="3746" w:type="pct"/>
            <w:tcBorders>
              <w:tl2br w:val="nil"/>
              <w:tr2bl w:val="nil"/>
            </w:tcBorders>
            <w:noWrap w:val="0"/>
            <w:vAlign w:val="center"/>
          </w:tcPr>
          <w:p w14:paraId="308C4901">
            <w:pPr>
              <w:widowControl/>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8.23</w:t>
            </w:r>
          </w:p>
        </w:tc>
      </w:tr>
      <w:tr w14:paraId="6FD4622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9" w:type="dxa"/>
            <w:tcBorders>
              <w:tl2br w:val="nil"/>
              <w:tr2bl w:val="nil"/>
            </w:tcBorders>
            <w:noWrap w:val="0"/>
            <w:vAlign w:val="center"/>
          </w:tcPr>
          <w:p w14:paraId="761956E6">
            <w:pPr>
              <w:pStyle w:val="54"/>
              <w:spacing w:beforeLines="0" w:afterLines="0"/>
              <w:ind w:firstLine="0" w:firstLineChars="0"/>
              <w:jc w:val="center"/>
              <w:rPr>
                <w:color w:val="000000" w:themeColor="text1"/>
                <w:sz w:val="21"/>
                <w:szCs w:val="21"/>
                <w:highlight w:val="none"/>
                <w14:textFill>
                  <w14:solidFill>
                    <w14:schemeClr w14:val="tx1"/>
                  </w14:solidFill>
                </w14:textFill>
              </w:rPr>
            </w:pPr>
            <w:r>
              <w:rPr>
                <w:color w:val="auto"/>
                <w:sz w:val="21"/>
                <w:szCs w:val="21"/>
              </w:rPr>
              <w:t>COD</w:t>
            </w:r>
          </w:p>
        </w:tc>
        <w:tc>
          <w:tcPr>
            <w:tcW w:w="3746" w:type="pct"/>
            <w:tcBorders>
              <w:tl2br w:val="nil"/>
              <w:tr2bl w:val="nil"/>
            </w:tcBorders>
            <w:noWrap w:val="0"/>
            <w:vAlign w:val="center"/>
          </w:tcPr>
          <w:p w14:paraId="2D630CDA">
            <w:pPr>
              <w:widowControl/>
              <w:jc w:val="center"/>
              <w:textAlignment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1.01</w:t>
            </w:r>
          </w:p>
        </w:tc>
      </w:tr>
      <w:tr w14:paraId="40DAAC6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9" w:type="dxa"/>
            <w:tcBorders>
              <w:tl2br w:val="nil"/>
              <w:tr2bl w:val="nil"/>
            </w:tcBorders>
            <w:noWrap w:val="0"/>
            <w:vAlign w:val="center"/>
          </w:tcPr>
          <w:p w14:paraId="344B51FA">
            <w:pPr>
              <w:pStyle w:val="54"/>
              <w:spacing w:beforeLines="0" w:afterLines="0"/>
              <w:ind w:firstLine="0" w:firstLineChars="0"/>
              <w:jc w:val="center"/>
              <w:rPr>
                <w:color w:val="000000" w:themeColor="text1"/>
                <w:sz w:val="21"/>
                <w:szCs w:val="21"/>
                <w:highlight w:val="none"/>
                <w14:textFill>
                  <w14:solidFill>
                    <w14:schemeClr w14:val="tx1"/>
                  </w14:solidFill>
                </w14:textFill>
              </w:rPr>
            </w:pPr>
            <w:r>
              <w:rPr>
                <w:color w:val="auto"/>
                <w:sz w:val="21"/>
                <w:szCs w:val="21"/>
              </w:rPr>
              <w:t>NH</w:t>
            </w:r>
            <w:r>
              <w:rPr>
                <w:color w:val="auto"/>
                <w:sz w:val="21"/>
                <w:szCs w:val="21"/>
                <w:vertAlign w:val="subscript"/>
              </w:rPr>
              <w:t>3</w:t>
            </w:r>
            <w:r>
              <w:rPr>
                <w:color w:val="auto"/>
                <w:sz w:val="21"/>
                <w:szCs w:val="21"/>
              </w:rPr>
              <w:t>-N</w:t>
            </w:r>
          </w:p>
        </w:tc>
        <w:tc>
          <w:tcPr>
            <w:tcW w:w="3746" w:type="pct"/>
            <w:tcBorders>
              <w:tl2br w:val="nil"/>
              <w:tr2bl w:val="nil"/>
            </w:tcBorders>
            <w:noWrap w:val="0"/>
            <w:vAlign w:val="center"/>
          </w:tcPr>
          <w:p w14:paraId="47859D58">
            <w:pPr>
              <w:widowControl/>
              <w:jc w:val="center"/>
              <w:textAlignment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0.10</w:t>
            </w:r>
          </w:p>
        </w:tc>
      </w:tr>
      <w:tr w14:paraId="46D1C9A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9" w:type="dxa"/>
            <w:tcBorders>
              <w:tl2br w:val="nil"/>
              <w:tr2bl w:val="nil"/>
            </w:tcBorders>
            <w:noWrap w:val="0"/>
            <w:vAlign w:val="center"/>
          </w:tcPr>
          <w:p w14:paraId="66CDC339">
            <w:pPr>
              <w:pStyle w:val="54"/>
              <w:spacing w:beforeLines="0" w:afterLines="0"/>
              <w:ind w:firstLine="0" w:firstLineChars="0"/>
              <w:jc w:val="center"/>
              <w:rPr>
                <w:color w:val="000000" w:themeColor="text1"/>
                <w:sz w:val="21"/>
                <w:szCs w:val="21"/>
                <w:highlight w:val="none"/>
                <w14:textFill>
                  <w14:solidFill>
                    <w14:schemeClr w14:val="tx1"/>
                  </w14:solidFill>
                </w14:textFill>
              </w:rPr>
            </w:pPr>
            <w:r>
              <w:rPr>
                <w:rFonts w:hint="eastAsia"/>
                <w:color w:val="auto"/>
                <w:sz w:val="21"/>
                <w:szCs w:val="21"/>
              </w:rPr>
              <w:t>TP</w:t>
            </w:r>
          </w:p>
        </w:tc>
        <w:tc>
          <w:tcPr>
            <w:tcW w:w="3746" w:type="pct"/>
            <w:tcBorders>
              <w:tl2br w:val="nil"/>
              <w:tr2bl w:val="nil"/>
            </w:tcBorders>
            <w:noWrap w:val="0"/>
            <w:vAlign w:val="center"/>
          </w:tcPr>
          <w:p w14:paraId="649961A5">
            <w:pPr>
              <w:widowControl/>
              <w:jc w:val="center"/>
              <w:textAlignment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0.008</w:t>
            </w:r>
          </w:p>
        </w:tc>
      </w:tr>
    </w:tbl>
    <w:p w14:paraId="0A11CD52">
      <w:pPr>
        <w:rPr>
          <w:rFonts w:hint="default"/>
          <w:color w:val="FF0000"/>
          <w:highlight w:val="none"/>
          <w:lang w:val="en-US" w:eastAsia="zh-CN"/>
        </w:rPr>
      </w:pPr>
    </w:p>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EFEC335-FEE5-427E-B297-6FB8659A110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4FC31E3C-24C2-4BD7-AA2D-59DC3F480926}"/>
  </w:font>
  <w:font w:name="方正小标宋_GBK">
    <w:panose1 w:val="02000000000000000000"/>
    <w:charset w:val="86"/>
    <w:family w:val="script"/>
    <w:pitch w:val="default"/>
    <w:sig w:usb0="A00002BF" w:usb1="38CF7CFA" w:usb2="00082016" w:usb3="00000000" w:csb0="00040001" w:csb1="00000000"/>
    <w:embedRegular r:id="rId3" w:fontKey="{27166F6E-9CAE-4E2D-94A0-AB4C9187677B}"/>
  </w:font>
  <w:font w:name="楷体_GB2312">
    <w:altName w:val="楷体"/>
    <w:panose1 w:val="02010609030101010101"/>
    <w:charset w:val="86"/>
    <w:family w:val="modern"/>
    <w:pitch w:val="default"/>
    <w:sig w:usb0="00000000" w:usb1="00000000" w:usb2="00000010" w:usb3="00000000" w:csb0="00040000" w:csb1="00000000"/>
    <w:embedRegular r:id="rId4" w:fontKey="{934243F1-4286-4466-B4B7-EBFD56F36B23}"/>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embedRegular r:id="rId5" w:fontKey="{EA800A31-240A-40B2-9FF1-B04A1D09A16F}"/>
  </w:font>
  <w:font w:name="仿宋">
    <w:panose1 w:val="02010609060101010101"/>
    <w:charset w:val="86"/>
    <w:family w:val="auto"/>
    <w:pitch w:val="default"/>
    <w:sig w:usb0="800002BF" w:usb1="38CF7CFA" w:usb2="00000016" w:usb3="00000000" w:csb0="00040001" w:csb1="00000000"/>
    <w:embedRegular r:id="rId6" w:fontKey="{A1C5533F-6682-42DE-854C-3477EF252483}"/>
  </w:font>
  <w:font w:name="Wingdings 2">
    <w:panose1 w:val="05020102010507070707"/>
    <w:charset w:val="02"/>
    <w:family w:val="roman"/>
    <w:pitch w:val="default"/>
    <w:sig w:usb0="00000000" w:usb1="00000000" w:usb2="00000000" w:usb3="00000000" w:csb0="80000000" w:csb1="00000000"/>
    <w:embedRegular r:id="rId7" w:fontKey="{21C17F88-61F5-40D5-867B-C903B0120AF7}"/>
  </w:font>
  <w:font w:name="WPSEMBED1">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D2195">
    <w:pPr>
      <w:tabs>
        <w:tab w:val="center" w:pos="4153"/>
        <w:tab w:val="right" w:pos="8306"/>
      </w:tabs>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9AD93">
    <w:pPr>
      <w:pStyle w:val="13"/>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3FEFA8">
                          <w:pPr>
                            <w:pStyle w:val="13"/>
                            <w:rPr>
                              <w:sz w:val="24"/>
                              <w:szCs w:val="28"/>
                            </w:rPr>
                          </w:pPr>
                          <w:r>
                            <w:rPr>
                              <w:sz w:val="24"/>
                              <w:szCs w:val="28"/>
                            </w:rPr>
                            <w:fldChar w:fldCharType="begin"/>
                          </w:r>
                          <w:r>
                            <w:rPr>
                              <w:sz w:val="24"/>
                              <w:szCs w:val="28"/>
                            </w:rPr>
                            <w:instrText xml:space="preserve"> PAGE  \* MERGEFORMAT </w:instrText>
                          </w:r>
                          <w:r>
                            <w:rPr>
                              <w:sz w:val="24"/>
                              <w:szCs w:val="28"/>
                            </w:rPr>
                            <w:fldChar w:fldCharType="separate"/>
                          </w:r>
                          <w:r>
                            <w:rPr>
                              <w:sz w:val="24"/>
                              <w:szCs w:val="28"/>
                            </w:rPr>
                            <w:t>1</w:t>
                          </w:r>
                          <w:r>
                            <w:rPr>
                              <w:sz w:val="24"/>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5D3FEFA8">
                    <w:pPr>
                      <w:pStyle w:val="13"/>
                      <w:rPr>
                        <w:sz w:val="24"/>
                        <w:szCs w:val="28"/>
                      </w:rPr>
                    </w:pPr>
                    <w:r>
                      <w:rPr>
                        <w:sz w:val="24"/>
                        <w:szCs w:val="28"/>
                      </w:rPr>
                      <w:fldChar w:fldCharType="begin"/>
                    </w:r>
                    <w:r>
                      <w:rPr>
                        <w:sz w:val="24"/>
                        <w:szCs w:val="28"/>
                      </w:rPr>
                      <w:instrText xml:space="preserve"> PAGE  \* MERGEFORMAT </w:instrText>
                    </w:r>
                    <w:r>
                      <w:rPr>
                        <w:sz w:val="24"/>
                        <w:szCs w:val="28"/>
                      </w:rPr>
                      <w:fldChar w:fldCharType="separate"/>
                    </w:r>
                    <w:r>
                      <w:rPr>
                        <w:sz w:val="24"/>
                        <w:szCs w:val="28"/>
                      </w:rPr>
                      <w:t>1</w:t>
                    </w:r>
                    <w:r>
                      <w:rPr>
                        <w:sz w:val="24"/>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EECC5">
    <w:pPr>
      <w:pStyle w:val="13"/>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 name="文本框 1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5F1FD9">
                          <w:pPr>
                            <w:pStyle w:val="13"/>
                            <w:rPr>
                              <w:rStyle w:val="23"/>
                              <w:rFonts w:hint="default" w:ascii="Times New Roman" w:hAnsi="Times New Roman" w:cs="Times New Roman"/>
                              <w:sz w:val="28"/>
                              <w:szCs w:val="28"/>
                            </w:rPr>
                          </w:pPr>
                          <w:r>
                            <w:rPr>
                              <w:rStyle w:val="23"/>
                              <w:rFonts w:hint="default" w:ascii="Times New Roman" w:hAnsi="Times New Roman" w:cs="Times New Roman"/>
                              <w:sz w:val="28"/>
                              <w:szCs w:val="28"/>
                            </w:rPr>
                            <w:t>—</w:t>
                          </w:r>
                          <w:r>
                            <w:rPr>
                              <w:rStyle w:val="23"/>
                              <w:rFonts w:hint="default" w:ascii="Times New Roman" w:hAnsi="Times New Roman" w:cs="Times New Roman"/>
                              <w:sz w:val="20"/>
                            </w:rPr>
                            <w:t xml:space="preserve">  </w:t>
                          </w:r>
                          <w:r>
                            <w:rPr>
                              <w:rStyle w:val="23"/>
                              <w:rFonts w:hint="default" w:ascii="Times New Roman" w:hAnsi="Times New Roman" w:cs="Times New Roman"/>
                              <w:sz w:val="26"/>
                              <w:szCs w:val="26"/>
                            </w:rPr>
                            <w:fldChar w:fldCharType="begin"/>
                          </w:r>
                          <w:r>
                            <w:rPr>
                              <w:rStyle w:val="23"/>
                              <w:rFonts w:hint="default" w:ascii="Times New Roman" w:hAnsi="Times New Roman" w:cs="Times New Roman"/>
                              <w:sz w:val="26"/>
                              <w:szCs w:val="26"/>
                            </w:rPr>
                            <w:instrText xml:space="preserve">PAGE  </w:instrText>
                          </w:r>
                          <w:r>
                            <w:rPr>
                              <w:rStyle w:val="23"/>
                              <w:rFonts w:hint="default" w:ascii="Times New Roman" w:hAnsi="Times New Roman" w:cs="Times New Roman"/>
                              <w:sz w:val="26"/>
                              <w:szCs w:val="26"/>
                            </w:rPr>
                            <w:fldChar w:fldCharType="separate"/>
                          </w:r>
                          <w:r>
                            <w:rPr>
                              <w:rStyle w:val="23"/>
                              <w:rFonts w:hint="default" w:ascii="Times New Roman" w:hAnsi="Times New Roman" w:cs="Times New Roman"/>
                              <w:sz w:val="26"/>
                              <w:szCs w:val="26"/>
                            </w:rPr>
                            <w:t>9</w:t>
                          </w:r>
                          <w:r>
                            <w:rPr>
                              <w:rStyle w:val="23"/>
                              <w:rFonts w:hint="default" w:ascii="Times New Roman" w:hAnsi="Times New Roman" w:cs="Times New Roman"/>
                              <w:sz w:val="26"/>
                              <w:szCs w:val="26"/>
                            </w:rPr>
                            <w:fldChar w:fldCharType="end"/>
                          </w:r>
                          <w:r>
                            <w:rPr>
                              <w:rStyle w:val="23"/>
                              <w:rFonts w:hint="default" w:ascii="Times New Roman" w:hAnsi="Times New Roman" w:cs="Times New Roman"/>
                              <w:sz w:val="20"/>
                            </w:rPr>
                            <w:t xml:space="preserve">  </w:t>
                          </w:r>
                          <w:r>
                            <w:rPr>
                              <w:rStyle w:val="23"/>
                              <w:rFonts w:hint="default" w:ascii="Times New Roman" w:hAnsi="Times New Roman" w:cs="Times New Roman"/>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FvUZ8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9os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FvUZ8zAgAAZQQAAA4AAAAAAAAAAQAgAAAAHwEAAGRycy9lMm9Eb2MueG1sUEsF&#10;BgAAAAAGAAYAWQEAAMQFAAAAAA==&#10;">
              <v:fill on="f" focussize="0,0"/>
              <v:stroke on="f" weight="0.5pt"/>
              <v:imagedata o:title=""/>
              <o:lock v:ext="edit" aspectratio="f"/>
              <v:textbox inset="0mm,0mm,0mm,0mm" style="mso-fit-shape-to-text:t;">
                <w:txbxContent>
                  <w:p w14:paraId="2D5F1FD9">
                    <w:pPr>
                      <w:pStyle w:val="13"/>
                      <w:rPr>
                        <w:rStyle w:val="23"/>
                        <w:rFonts w:hint="default" w:ascii="Times New Roman" w:hAnsi="Times New Roman" w:cs="Times New Roman"/>
                        <w:sz w:val="28"/>
                        <w:szCs w:val="28"/>
                      </w:rPr>
                    </w:pPr>
                    <w:r>
                      <w:rPr>
                        <w:rStyle w:val="23"/>
                        <w:rFonts w:hint="default" w:ascii="Times New Roman" w:hAnsi="Times New Roman" w:cs="Times New Roman"/>
                        <w:sz w:val="28"/>
                        <w:szCs w:val="28"/>
                      </w:rPr>
                      <w:t>—</w:t>
                    </w:r>
                    <w:r>
                      <w:rPr>
                        <w:rStyle w:val="23"/>
                        <w:rFonts w:hint="default" w:ascii="Times New Roman" w:hAnsi="Times New Roman" w:cs="Times New Roman"/>
                        <w:sz w:val="20"/>
                      </w:rPr>
                      <w:t xml:space="preserve">  </w:t>
                    </w:r>
                    <w:r>
                      <w:rPr>
                        <w:rStyle w:val="23"/>
                        <w:rFonts w:hint="default" w:ascii="Times New Roman" w:hAnsi="Times New Roman" w:cs="Times New Roman"/>
                        <w:sz w:val="26"/>
                        <w:szCs w:val="26"/>
                      </w:rPr>
                      <w:fldChar w:fldCharType="begin"/>
                    </w:r>
                    <w:r>
                      <w:rPr>
                        <w:rStyle w:val="23"/>
                        <w:rFonts w:hint="default" w:ascii="Times New Roman" w:hAnsi="Times New Roman" w:cs="Times New Roman"/>
                        <w:sz w:val="26"/>
                        <w:szCs w:val="26"/>
                      </w:rPr>
                      <w:instrText xml:space="preserve">PAGE  </w:instrText>
                    </w:r>
                    <w:r>
                      <w:rPr>
                        <w:rStyle w:val="23"/>
                        <w:rFonts w:hint="default" w:ascii="Times New Roman" w:hAnsi="Times New Roman" w:cs="Times New Roman"/>
                        <w:sz w:val="26"/>
                        <w:szCs w:val="26"/>
                      </w:rPr>
                      <w:fldChar w:fldCharType="separate"/>
                    </w:r>
                    <w:r>
                      <w:rPr>
                        <w:rStyle w:val="23"/>
                        <w:rFonts w:hint="default" w:ascii="Times New Roman" w:hAnsi="Times New Roman" w:cs="Times New Roman"/>
                        <w:sz w:val="26"/>
                        <w:szCs w:val="26"/>
                      </w:rPr>
                      <w:t>9</w:t>
                    </w:r>
                    <w:r>
                      <w:rPr>
                        <w:rStyle w:val="23"/>
                        <w:rFonts w:hint="default" w:ascii="Times New Roman" w:hAnsi="Times New Roman" w:cs="Times New Roman"/>
                        <w:sz w:val="26"/>
                        <w:szCs w:val="26"/>
                      </w:rPr>
                      <w:fldChar w:fldCharType="end"/>
                    </w:r>
                    <w:r>
                      <w:rPr>
                        <w:rStyle w:val="23"/>
                        <w:rFonts w:hint="default" w:ascii="Times New Roman" w:hAnsi="Times New Roman" w:cs="Times New Roman"/>
                        <w:sz w:val="20"/>
                      </w:rPr>
                      <w:t xml:space="preserve">  </w:t>
                    </w:r>
                    <w:r>
                      <w:rPr>
                        <w:rStyle w:val="23"/>
                        <w:rFonts w:hint="default" w:ascii="Times New Roman" w:hAnsi="Times New Roman" w:cs="Times New Roman"/>
                        <w:sz w:val="28"/>
                        <w:szCs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23024">
    <w:pPr>
      <w:pStyle w:val="13"/>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4" name="文本框 1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99655">
                          <w:pPr>
                            <w:pStyle w:val="13"/>
                            <w:rPr>
                              <w:rStyle w:val="23"/>
                              <w:rFonts w:ascii="宋体" w:hAnsi="宋体"/>
                              <w:sz w:val="28"/>
                              <w:szCs w:val="28"/>
                            </w:rPr>
                          </w:pPr>
                          <w:r>
                            <w:rPr>
                              <w:rStyle w:val="23"/>
                              <w:rFonts w:hint="eastAsia" w:ascii="宋体" w:hAnsi="宋体"/>
                              <w:sz w:val="28"/>
                              <w:szCs w:val="28"/>
                            </w:rPr>
                            <w:t>—</w:t>
                          </w:r>
                          <w:r>
                            <w:rPr>
                              <w:rStyle w:val="23"/>
                              <w:rFonts w:hint="eastAsia" w:ascii="宋体" w:hAnsi="宋体"/>
                              <w:sz w:val="20"/>
                            </w:rPr>
                            <w:t xml:space="preserve">  </w:t>
                          </w:r>
                          <w:r>
                            <w:rPr>
                              <w:rStyle w:val="23"/>
                              <w:rFonts w:ascii="宋体" w:hAnsi="宋体"/>
                              <w:sz w:val="26"/>
                              <w:szCs w:val="26"/>
                            </w:rPr>
                            <w:fldChar w:fldCharType="begin"/>
                          </w:r>
                          <w:r>
                            <w:rPr>
                              <w:rStyle w:val="23"/>
                              <w:rFonts w:ascii="宋体" w:hAnsi="宋体"/>
                              <w:sz w:val="26"/>
                              <w:szCs w:val="26"/>
                            </w:rPr>
                            <w:instrText xml:space="preserve">PAGE  </w:instrText>
                          </w:r>
                          <w:r>
                            <w:rPr>
                              <w:rStyle w:val="23"/>
                              <w:rFonts w:ascii="宋体" w:hAnsi="宋体"/>
                              <w:sz w:val="26"/>
                              <w:szCs w:val="26"/>
                            </w:rPr>
                            <w:fldChar w:fldCharType="separate"/>
                          </w:r>
                          <w:r>
                            <w:rPr>
                              <w:rStyle w:val="23"/>
                              <w:rFonts w:ascii="宋体" w:hAnsi="宋体"/>
                              <w:sz w:val="26"/>
                              <w:szCs w:val="26"/>
                            </w:rPr>
                            <w:t>11</w:t>
                          </w:r>
                          <w:r>
                            <w:rPr>
                              <w:rStyle w:val="23"/>
                              <w:rFonts w:ascii="宋体" w:hAnsi="宋体"/>
                              <w:sz w:val="26"/>
                              <w:szCs w:val="26"/>
                            </w:rPr>
                            <w:fldChar w:fldCharType="end"/>
                          </w:r>
                          <w:r>
                            <w:rPr>
                              <w:rStyle w:val="23"/>
                              <w:rFonts w:hint="eastAsia" w:ascii="宋体" w:hAnsi="宋体"/>
                              <w:sz w:val="20"/>
                            </w:rPr>
                            <w:t xml:space="preserve">  </w:t>
                          </w:r>
                          <w:r>
                            <w:rPr>
                              <w:rStyle w:val="23"/>
                              <w:rFonts w:hint="eastAsia" w:ascii="宋体" w:hAnsi="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JWav4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yZvKDFMo+SnH99P&#10;Px9Ov76RdAiJGhdmiLx3iI3tO9sifDgPOEzM28rr9AUnAj8EPl4EFm0kPF2aTqbTHC4O37ABfvZ4&#10;3fkQ3wurSTIK6lHBTlh22ITYhw4hKZuxa6lUV0VlSFPQq9dv8+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SVmr+NAIAAGUEAAAOAAAAAAAAAAEAIAAAAB8BAABkcnMvZTJvRG9jLnhtbFBL&#10;BQYAAAAABgAGAFkBAADFBQAAAAA=&#10;">
              <v:fill on="f" focussize="0,0"/>
              <v:stroke on="f" weight="0.5pt"/>
              <v:imagedata o:title=""/>
              <o:lock v:ext="edit" aspectratio="f"/>
              <v:textbox inset="0mm,0mm,0mm,0mm" style="mso-fit-shape-to-text:t;">
                <w:txbxContent>
                  <w:p w14:paraId="30D99655">
                    <w:pPr>
                      <w:pStyle w:val="13"/>
                      <w:rPr>
                        <w:rStyle w:val="23"/>
                        <w:rFonts w:ascii="宋体" w:hAnsi="宋体"/>
                        <w:sz w:val="28"/>
                        <w:szCs w:val="28"/>
                      </w:rPr>
                    </w:pPr>
                    <w:r>
                      <w:rPr>
                        <w:rStyle w:val="23"/>
                        <w:rFonts w:hint="eastAsia" w:ascii="宋体" w:hAnsi="宋体"/>
                        <w:sz w:val="28"/>
                        <w:szCs w:val="28"/>
                      </w:rPr>
                      <w:t>—</w:t>
                    </w:r>
                    <w:r>
                      <w:rPr>
                        <w:rStyle w:val="23"/>
                        <w:rFonts w:hint="eastAsia" w:ascii="宋体" w:hAnsi="宋体"/>
                        <w:sz w:val="20"/>
                      </w:rPr>
                      <w:t xml:space="preserve">  </w:t>
                    </w:r>
                    <w:r>
                      <w:rPr>
                        <w:rStyle w:val="23"/>
                        <w:rFonts w:ascii="宋体" w:hAnsi="宋体"/>
                        <w:sz w:val="26"/>
                        <w:szCs w:val="26"/>
                      </w:rPr>
                      <w:fldChar w:fldCharType="begin"/>
                    </w:r>
                    <w:r>
                      <w:rPr>
                        <w:rStyle w:val="23"/>
                        <w:rFonts w:ascii="宋体" w:hAnsi="宋体"/>
                        <w:sz w:val="26"/>
                        <w:szCs w:val="26"/>
                      </w:rPr>
                      <w:instrText xml:space="preserve">PAGE  </w:instrText>
                    </w:r>
                    <w:r>
                      <w:rPr>
                        <w:rStyle w:val="23"/>
                        <w:rFonts w:ascii="宋体" w:hAnsi="宋体"/>
                        <w:sz w:val="26"/>
                        <w:szCs w:val="26"/>
                      </w:rPr>
                      <w:fldChar w:fldCharType="separate"/>
                    </w:r>
                    <w:r>
                      <w:rPr>
                        <w:rStyle w:val="23"/>
                        <w:rFonts w:ascii="宋体" w:hAnsi="宋体"/>
                        <w:sz w:val="26"/>
                        <w:szCs w:val="26"/>
                      </w:rPr>
                      <w:t>11</w:t>
                    </w:r>
                    <w:r>
                      <w:rPr>
                        <w:rStyle w:val="23"/>
                        <w:rFonts w:ascii="宋体" w:hAnsi="宋体"/>
                        <w:sz w:val="26"/>
                        <w:szCs w:val="26"/>
                      </w:rPr>
                      <w:fldChar w:fldCharType="end"/>
                    </w:r>
                    <w:r>
                      <w:rPr>
                        <w:rStyle w:val="23"/>
                        <w:rFonts w:hint="eastAsia" w:ascii="宋体" w:hAnsi="宋体"/>
                        <w:sz w:val="20"/>
                      </w:rPr>
                      <w:t xml:space="preserve">  </w:t>
                    </w:r>
                    <w:r>
                      <w:rPr>
                        <w:rStyle w:val="23"/>
                        <w:rFonts w:hint="eastAsia" w:ascii="宋体" w:hAnsi="宋体"/>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34A34">
    <w:pPr>
      <w:pBdr>
        <w:bottom w:val="none" w:color="auto" w:sz="0" w:space="1"/>
      </w:pBdr>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1EF3E5"/>
    <w:multiLevelType w:val="singleLevel"/>
    <w:tmpl w:val="C61EF3E5"/>
    <w:lvl w:ilvl="0" w:tentative="0">
      <w:start w:val="2"/>
      <w:numFmt w:val="chineseCounting"/>
      <w:suff w:val="nothing"/>
      <w:lvlText w:val="%1、"/>
      <w:lvlJc w:val="left"/>
      <w:rPr>
        <w:rFonts w:hint="eastAsia"/>
      </w:rPr>
    </w:lvl>
  </w:abstractNum>
  <w:abstractNum w:abstractNumId="1">
    <w:nsid w:val="D9E4AE9E"/>
    <w:multiLevelType w:val="singleLevel"/>
    <w:tmpl w:val="D9E4AE9E"/>
    <w:lvl w:ilvl="0" w:tentative="0">
      <w:start w:val="1"/>
      <w:numFmt w:val="decimal"/>
      <w:suff w:val="nothing"/>
      <w:lvlText w:val="（%1）"/>
      <w:lvlJc w:val="left"/>
    </w:lvl>
  </w:abstractNum>
  <w:abstractNum w:abstractNumId="2">
    <w:nsid w:val="2DBA4501"/>
    <w:multiLevelType w:val="singleLevel"/>
    <w:tmpl w:val="2DBA4501"/>
    <w:lvl w:ilvl="0" w:tentative="0">
      <w:start w:val="5"/>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0Njg1MmFiYTA4ZjY5NDJmMmY3NTg3MmY4MDczZGEifQ=="/>
  </w:docVars>
  <w:rsids>
    <w:rsidRoot w:val="00A1494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5351"/>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0A93"/>
    <w:rsid w:val="00332863"/>
    <w:rsid w:val="0033684D"/>
    <w:rsid w:val="00337B42"/>
    <w:rsid w:val="00341B42"/>
    <w:rsid w:val="0034348F"/>
    <w:rsid w:val="00356653"/>
    <w:rsid w:val="0035743F"/>
    <w:rsid w:val="00357BE2"/>
    <w:rsid w:val="0036170C"/>
    <w:rsid w:val="00366E0F"/>
    <w:rsid w:val="003772E5"/>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25C09"/>
    <w:rsid w:val="00732922"/>
    <w:rsid w:val="0075162E"/>
    <w:rsid w:val="00754034"/>
    <w:rsid w:val="00756556"/>
    <w:rsid w:val="007618C4"/>
    <w:rsid w:val="00767980"/>
    <w:rsid w:val="00770B19"/>
    <w:rsid w:val="0077463F"/>
    <w:rsid w:val="007836EA"/>
    <w:rsid w:val="00784CDA"/>
    <w:rsid w:val="00785111"/>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9F0780"/>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441AE"/>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080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B286B"/>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12363F"/>
    <w:rsid w:val="01152597"/>
    <w:rsid w:val="012872C5"/>
    <w:rsid w:val="01290F7E"/>
    <w:rsid w:val="01387764"/>
    <w:rsid w:val="013E295F"/>
    <w:rsid w:val="015A390A"/>
    <w:rsid w:val="015D1E09"/>
    <w:rsid w:val="01687703"/>
    <w:rsid w:val="016C3180"/>
    <w:rsid w:val="01746544"/>
    <w:rsid w:val="0179546C"/>
    <w:rsid w:val="01CF7782"/>
    <w:rsid w:val="01EE5E5A"/>
    <w:rsid w:val="01F1641F"/>
    <w:rsid w:val="01FC2B3C"/>
    <w:rsid w:val="02045A14"/>
    <w:rsid w:val="021A4B29"/>
    <w:rsid w:val="022035A8"/>
    <w:rsid w:val="022C6982"/>
    <w:rsid w:val="024D53CE"/>
    <w:rsid w:val="025008C3"/>
    <w:rsid w:val="0261487E"/>
    <w:rsid w:val="02697903"/>
    <w:rsid w:val="02855713"/>
    <w:rsid w:val="028774AF"/>
    <w:rsid w:val="028F64C2"/>
    <w:rsid w:val="02903918"/>
    <w:rsid w:val="0293575F"/>
    <w:rsid w:val="02AE55E9"/>
    <w:rsid w:val="02B91D02"/>
    <w:rsid w:val="02BD21E4"/>
    <w:rsid w:val="02C646E1"/>
    <w:rsid w:val="02CD3CC1"/>
    <w:rsid w:val="02E20138"/>
    <w:rsid w:val="02E35293"/>
    <w:rsid w:val="02F96569"/>
    <w:rsid w:val="03093100"/>
    <w:rsid w:val="03256636"/>
    <w:rsid w:val="032C298F"/>
    <w:rsid w:val="03656195"/>
    <w:rsid w:val="03856C72"/>
    <w:rsid w:val="03881A38"/>
    <w:rsid w:val="03A323C4"/>
    <w:rsid w:val="03BD7B81"/>
    <w:rsid w:val="03D31D06"/>
    <w:rsid w:val="03E11322"/>
    <w:rsid w:val="03E424F8"/>
    <w:rsid w:val="03EA7B21"/>
    <w:rsid w:val="03F27394"/>
    <w:rsid w:val="040D268D"/>
    <w:rsid w:val="041F679F"/>
    <w:rsid w:val="04697729"/>
    <w:rsid w:val="046E3282"/>
    <w:rsid w:val="04846602"/>
    <w:rsid w:val="04B24AE1"/>
    <w:rsid w:val="04B420B1"/>
    <w:rsid w:val="04C31B5A"/>
    <w:rsid w:val="04CD61FB"/>
    <w:rsid w:val="04DA4474"/>
    <w:rsid w:val="04E35A1E"/>
    <w:rsid w:val="04F57B9F"/>
    <w:rsid w:val="05112128"/>
    <w:rsid w:val="051812D9"/>
    <w:rsid w:val="0526590B"/>
    <w:rsid w:val="05281683"/>
    <w:rsid w:val="052F3B19"/>
    <w:rsid w:val="05304CFD"/>
    <w:rsid w:val="053242B0"/>
    <w:rsid w:val="05355FCE"/>
    <w:rsid w:val="05860158"/>
    <w:rsid w:val="058C0F47"/>
    <w:rsid w:val="05AF5900"/>
    <w:rsid w:val="05B14CCF"/>
    <w:rsid w:val="05CD5D86"/>
    <w:rsid w:val="05D84E57"/>
    <w:rsid w:val="05E579E8"/>
    <w:rsid w:val="05F36622"/>
    <w:rsid w:val="05F83EAE"/>
    <w:rsid w:val="0619721E"/>
    <w:rsid w:val="062E1176"/>
    <w:rsid w:val="06382356"/>
    <w:rsid w:val="063E7D85"/>
    <w:rsid w:val="067A5C72"/>
    <w:rsid w:val="06862B05"/>
    <w:rsid w:val="068F128E"/>
    <w:rsid w:val="069E723E"/>
    <w:rsid w:val="070D4FF6"/>
    <w:rsid w:val="07293586"/>
    <w:rsid w:val="07295285"/>
    <w:rsid w:val="074356BA"/>
    <w:rsid w:val="074573FA"/>
    <w:rsid w:val="074924D2"/>
    <w:rsid w:val="0755200D"/>
    <w:rsid w:val="075E313A"/>
    <w:rsid w:val="07636392"/>
    <w:rsid w:val="07677852"/>
    <w:rsid w:val="076F5347"/>
    <w:rsid w:val="07770C56"/>
    <w:rsid w:val="077E558A"/>
    <w:rsid w:val="078B5EF9"/>
    <w:rsid w:val="078D68A4"/>
    <w:rsid w:val="07941EA7"/>
    <w:rsid w:val="079E1CD9"/>
    <w:rsid w:val="07A80859"/>
    <w:rsid w:val="07AF458F"/>
    <w:rsid w:val="07B54676"/>
    <w:rsid w:val="07CC079B"/>
    <w:rsid w:val="07F5739B"/>
    <w:rsid w:val="07F97307"/>
    <w:rsid w:val="080478A9"/>
    <w:rsid w:val="08072D1D"/>
    <w:rsid w:val="080A5070"/>
    <w:rsid w:val="08163A15"/>
    <w:rsid w:val="089471E0"/>
    <w:rsid w:val="089716DF"/>
    <w:rsid w:val="08BA5AF4"/>
    <w:rsid w:val="08CE2541"/>
    <w:rsid w:val="08E717CA"/>
    <w:rsid w:val="08F12939"/>
    <w:rsid w:val="08FA3336"/>
    <w:rsid w:val="08FD674C"/>
    <w:rsid w:val="090B24A2"/>
    <w:rsid w:val="090F4B8A"/>
    <w:rsid w:val="091268D2"/>
    <w:rsid w:val="092217DD"/>
    <w:rsid w:val="09325C3B"/>
    <w:rsid w:val="093A7294"/>
    <w:rsid w:val="093D31BF"/>
    <w:rsid w:val="095A5B83"/>
    <w:rsid w:val="09736C45"/>
    <w:rsid w:val="09774987"/>
    <w:rsid w:val="09815214"/>
    <w:rsid w:val="09975029"/>
    <w:rsid w:val="0999439D"/>
    <w:rsid w:val="09A42ECC"/>
    <w:rsid w:val="09B700CD"/>
    <w:rsid w:val="09BE5E69"/>
    <w:rsid w:val="09BF1E8A"/>
    <w:rsid w:val="09CD654C"/>
    <w:rsid w:val="09E33DCA"/>
    <w:rsid w:val="09E7414B"/>
    <w:rsid w:val="09FC30DE"/>
    <w:rsid w:val="09FC6C3A"/>
    <w:rsid w:val="09FD263E"/>
    <w:rsid w:val="0A196CEB"/>
    <w:rsid w:val="0A263993"/>
    <w:rsid w:val="0A2D3AC2"/>
    <w:rsid w:val="0A2E702D"/>
    <w:rsid w:val="0A342878"/>
    <w:rsid w:val="0A3B7763"/>
    <w:rsid w:val="0A56047D"/>
    <w:rsid w:val="0A570314"/>
    <w:rsid w:val="0A5F770B"/>
    <w:rsid w:val="0A960E3D"/>
    <w:rsid w:val="0AA755DF"/>
    <w:rsid w:val="0ADA4D40"/>
    <w:rsid w:val="0ADF39DD"/>
    <w:rsid w:val="0B071D3B"/>
    <w:rsid w:val="0B120D44"/>
    <w:rsid w:val="0B2152F8"/>
    <w:rsid w:val="0B425DB2"/>
    <w:rsid w:val="0B5224A3"/>
    <w:rsid w:val="0B806946"/>
    <w:rsid w:val="0B8373EF"/>
    <w:rsid w:val="0B9F3D44"/>
    <w:rsid w:val="0BAF451C"/>
    <w:rsid w:val="0BC63728"/>
    <w:rsid w:val="0BD27BF6"/>
    <w:rsid w:val="0BD64717"/>
    <w:rsid w:val="0BF40511"/>
    <w:rsid w:val="0BFE3365"/>
    <w:rsid w:val="0C1E10EA"/>
    <w:rsid w:val="0C3B3C7D"/>
    <w:rsid w:val="0C547201"/>
    <w:rsid w:val="0C5E3BDC"/>
    <w:rsid w:val="0C9C0A71"/>
    <w:rsid w:val="0C9D4FDE"/>
    <w:rsid w:val="0CA041F5"/>
    <w:rsid w:val="0CAB2EAE"/>
    <w:rsid w:val="0CB9229A"/>
    <w:rsid w:val="0CBF42DE"/>
    <w:rsid w:val="0CC55A09"/>
    <w:rsid w:val="0CD12600"/>
    <w:rsid w:val="0CD74D78"/>
    <w:rsid w:val="0CDB0CDE"/>
    <w:rsid w:val="0CEA4CAF"/>
    <w:rsid w:val="0CFA6451"/>
    <w:rsid w:val="0CFF50CF"/>
    <w:rsid w:val="0D087FB6"/>
    <w:rsid w:val="0D215336"/>
    <w:rsid w:val="0D22719E"/>
    <w:rsid w:val="0D25459D"/>
    <w:rsid w:val="0D25640F"/>
    <w:rsid w:val="0D307327"/>
    <w:rsid w:val="0D3D37AA"/>
    <w:rsid w:val="0D3E2F48"/>
    <w:rsid w:val="0D556D8D"/>
    <w:rsid w:val="0D621C7D"/>
    <w:rsid w:val="0D640DC5"/>
    <w:rsid w:val="0D6C627C"/>
    <w:rsid w:val="0D7F02AE"/>
    <w:rsid w:val="0DA53F11"/>
    <w:rsid w:val="0DC363ED"/>
    <w:rsid w:val="0DCB52A1"/>
    <w:rsid w:val="0DCD2DC7"/>
    <w:rsid w:val="0DD203DE"/>
    <w:rsid w:val="0DE77D4E"/>
    <w:rsid w:val="0DE95BD6"/>
    <w:rsid w:val="0DED3F7D"/>
    <w:rsid w:val="0E015589"/>
    <w:rsid w:val="0E0B38F0"/>
    <w:rsid w:val="0E194D6D"/>
    <w:rsid w:val="0E3C619F"/>
    <w:rsid w:val="0E653000"/>
    <w:rsid w:val="0E73034D"/>
    <w:rsid w:val="0E7616B1"/>
    <w:rsid w:val="0E78582D"/>
    <w:rsid w:val="0E790402"/>
    <w:rsid w:val="0E807E3A"/>
    <w:rsid w:val="0EBA5CB8"/>
    <w:rsid w:val="0ED91670"/>
    <w:rsid w:val="0EEF6D6E"/>
    <w:rsid w:val="0EF96195"/>
    <w:rsid w:val="0F04496D"/>
    <w:rsid w:val="0F13775A"/>
    <w:rsid w:val="0F150FAF"/>
    <w:rsid w:val="0F20565C"/>
    <w:rsid w:val="0F2862EC"/>
    <w:rsid w:val="0F3A448D"/>
    <w:rsid w:val="0F5B3224"/>
    <w:rsid w:val="0F5B41F9"/>
    <w:rsid w:val="0F5F45FE"/>
    <w:rsid w:val="0F6F23A5"/>
    <w:rsid w:val="0F704352"/>
    <w:rsid w:val="0F8554ED"/>
    <w:rsid w:val="0F8E2A2A"/>
    <w:rsid w:val="0F9A112B"/>
    <w:rsid w:val="0FAB538A"/>
    <w:rsid w:val="0FB26719"/>
    <w:rsid w:val="0FBA7927"/>
    <w:rsid w:val="0FCC445F"/>
    <w:rsid w:val="0FCE208F"/>
    <w:rsid w:val="0FEE336B"/>
    <w:rsid w:val="0FF7412C"/>
    <w:rsid w:val="100131FC"/>
    <w:rsid w:val="101822F4"/>
    <w:rsid w:val="10216577"/>
    <w:rsid w:val="103144ED"/>
    <w:rsid w:val="104A03D9"/>
    <w:rsid w:val="106D2F64"/>
    <w:rsid w:val="1074577C"/>
    <w:rsid w:val="107B6EA5"/>
    <w:rsid w:val="108005C5"/>
    <w:rsid w:val="10802328"/>
    <w:rsid w:val="108160EB"/>
    <w:rsid w:val="1087172B"/>
    <w:rsid w:val="108B3EA9"/>
    <w:rsid w:val="10974EB3"/>
    <w:rsid w:val="10A50CAE"/>
    <w:rsid w:val="10AD0C8E"/>
    <w:rsid w:val="10B63710"/>
    <w:rsid w:val="10E17CD7"/>
    <w:rsid w:val="10EF585E"/>
    <w:rsid w:val="10F10820"/>
    <w:rsid w:val="11051803"/>
    <w:rsid w:val="11186A50"/>
    <w:rsid w:val="111C2F7A"/>
    <w:rsid w:val="112278CE"/>
    <w:rsid w:val="112639BA"/>
    <w:rsid w:val="112B7A6D"/>
    <w:rsid w:val="113847AE"/>
    <w:rsid w:val="11537A88"/>
    <w:rsid w:val="115455AE"/>
    <w:rsid w:val="11591D3F"/>
    <w:rsid w:val="11665CA1"/>
    <w:rsid w:val="116F5E0B"/>
    <w:rsid w:val="11834DCC"/>
    <w:rsid w:val="11845E93"/>
    <w:rsid w:val="118D5784"/>
    <w:rsid w:val="11921081"/>
    <w:rsid w:val="11AB78C4"/>
    <w:rsid w:val="11AC4E48"/>
    <w:rsid w:val="11CB1D14"/>
    <w:rsid w:val="11CC1DC3"/>
    <w:rsid w:val="11E061B8"/>
    <w:rsid w:val="11EF4282"/>
    <w:rsid w:val="11F12DFD"/>
    <w:rsid w:val="11F56D91"/>
    <w:rsid w:val="12224D50"/>
    <w:rsid w:val="12333415"/>
    <w:rsid w:val="12402856"/>
    <w:rsid w:val="12412893"/>
    <w:rsid w:val="124243F9"/>
    <w:rsid w:val="12543AB7"/>
    <w:rsid w:val="1255519F"/>
    <w:rsid w:val="12567459"/>
    <w:rsid w:val="125C6E10"/>
    <w:rsid w:val="12767ED2"/>
    <w:rsid w:val="1290609D"/>
    <w:rsid w:val="129809FD"/>
    <w:rsid w:val="12A04F4F"/>
    <w:rsid w:val="12BB5629"/>
    <w:rsid w:val="12E3308D"/>
    <w:rsid w:val="12E52961"/>
    <w:rsid w:val="12FF09B1"/>
    <w:rsid w:val="13036B84"/>
    <w:rsid w:val="13385187"/>
    <w:rsid w:val="13482EF0"/>
    <w:rsid w:val="136719A2"/>
    <w:rsid w:val="13695A71"/>
    <w:rsid w:val="13725976"/>
    <w:rsid w:val="138020F6"/>
    <w:rsid w:val="1384217A"/>
    <w:rsid w:val="1388748E"/>
    <w:rsid w:val="13951726"/>
    <w:rsid w:val="13A94467"/>
    <w:rsid w:val="13AA5AD0"/>
    <w:rsid w:val="13B422E8"/>
    <w:rsid w:val="13C05634"/>
    <w:rsid w:val="13D54A41"/>
    <w:rsid w:val="13E250F3"/>
    <w:rsid w:val="140A571A"/>
    <w:rsid w:val="143040B0"/>
    <w:rsid w:val="14385DF9"/>
    <w:rsid w:val="14396509"/>
    <w:rsid w:val="144162BD"/>
    <w:rsid w:val="144819CF"/>
    <w:rsid w:val="14506500"/>
    <w:rsid w:val="1452344C"/>
    <w:rsid w:val="14782CA6"/>
    <w:rsid w:val="147D5F25"/>
    <w:rsid w:val="14861F22"/>
    <w:rsid w:val="149609F7"/>
    <w:rsid w:val="149D101A"/>
    <w:rsid w:val="149E726C"/>
    <w:rsid w:val="14A32948"/>
    <w:rsid w:val="14D56A06"/>
    <w:rsid w:val="14DD2C3C"/>
    <w:rsid w:val="14DE264A"/>
    <w:rsid w:val="150712B5"/>
    <w:rsid w:val="15244EFA"/>
    <w:rsid w:val="153F2867"/>
    <w:rsid w:val="154A11A2"/>
    <w:rsid w:val="154D0B52"/>
    <w:rsid w:val="156A122B"/>
    <w:rsid w:val="158F4E06"/>
    <w:rsid w:val="15980F97"/>
    <w:rsid w:val="15BE749A"/>
    <w:rsid w:val="15C62CD0"/>
    <w:rsid w:val="16072265"/>
    <w:rsid w:val="16087E1D"/>
    <w:rsid w:val="16135A37"/>
    <w:rsid w:val="161F43DC"/>
    <w:rsid w:val="162311ED"/>
    <w:rsid w:val="1650051A"/>
    <w:rsid w:val="165B2F3A"/>
    <w:rsid w:val="1661039A"/>
    <w:rsid w:val="167356D9"/>
    <w:rsid w:val="16780CB7"/>
    <w:rsid w:val="169E79F7"/>
    <w:rsid w:val="16B32408"/>
    <w:rsid w:val="16B94831"/>
    <w:rsid w:val="16D6604C"/>
    <w:rsid w:val="16ED44DA"/>
    <w:rsid w:val="16F75866"/>
    <w:rsid w:val="170A50AA"/>
    <w:rsid w:val="17124499"/>
    <w:rsid w:val="17174833"/>
    <w:rsid w:val="171C74DC"/>
    <w:rsid w:val="172710BB"/>
    <w:rsid w:val="173051DB"/>
    <w:rsid w:val="17546308"/>
    <w:rsid w:val="175B7696"/>
    <w:rsid w:val="17655264"/>
    <w:rsid w:val="1767428D"/>
    <w:rsid w:val="17701D14"/>
    <w:rsid w:val="17735226"/>
    <w:rsid w:val="17760616"/>
    <w:rsid w:val="178A1625"/>
    <w:rsid w:val="178A3AD7"/>
    <w:rsid w:val="178E7A6B"/>
    <w:rsid w:val="17905606"/>
    <w:rsid w:val="17A07820"/>
    <w:rsid w:val="17C0399D"/>
    <w:rsid w:val="17CF299D"/>
    <w:rsid w:val="17DB2585"/>
    <w:rsid w:val="17E92EF4"/>
    <w:rsid w:val="17ED1DCF"/>
    <w:rsid w:val="17F20332"/>
    <w:rsid w:val="17FD3F0D"/>
    <w:rsid w:val="181722D4"/>
    <w:rsid w:val="18193E16"/>
    <w:rsid w:val="182201B4"/>
    <w:rsid w:val="18291542"/>
    <w:rsid w:val="183B1275"/>
    <w:rsid w:val="18550589"/>
    <w:rsid w:val="185A16FC"/>
    <w:rsid w:val="188934B1"/>
    <w:rsid w:val="189F624C"/>
    <w:rsid w:val="18A92B50"/>
    <w:rsid w:val="18BB5513"/>
    <w:rsid w:val="18BF2659"/>
    <w:rsid w:val="18C14AA0"/>
    <w:rsid w:val="18CB0902"/>
    <w:rsid w:val="18DD5796"/>
    <w:rsid w:val="18EA2DBC"/>
    <w:rsid w:val="18FB11DA"/>
    <w:rsid w:val="19330066"/>
    <w:rsid w:val="193D71F3"/>
    <w:rsid w:val="193F6F3E"/>
    <w:rsid w:val="194B4296"/>
    <w:rsid w:val="194B54E8"/>
    <w:rsid w:val="194E6691"/>
    <w:rsid w:val="194F6D87"/>
    <w:rsid w:val="19573E8D"/>
    <w:rsid w:val="195C5C31"/>
    <w:rsid w:val="195E16BF"/>
    <w:rsid w:val="197823A3"/>
    <w:rsid w:val="19810F0A"/>
    <w:rsid w:val="198A6011"/>
    <w:rsid w:val="198F0D92"/>
    <w:rsid w:val="19E6347B"/>
    <w:rsid w:val="19EF2318"/>
    <w:rsid w:val="1A1C66C0"/>
    <w:rsid w:val="1A293A7B"/>
    <w:rsid w:val="1A2E3780"/>
    <w:rsid w:val="1A35419A"/>
    <w:rsid w:val="1A42393B"/>
    <w:rsid w:val="1A4E0D98"/>
    <w:rsid w:val="1A5B7486"/>
    <w:rsid w:val="1A641997"/>
    <w:rsid w:val="1A760B8F"/>
    <w:rsid w:val="1A8267E5"/>
    <w:rsid w:val="1A8E7704"/>
    <w:rsid w:val="1A952EBF"/>
    <w:rsid w:val="1AAD45DE"/>
    <w:rsid w:val="1AD4308C"/>
    <w:rsid w:val="1AE9320B"/>
    <w:rsid w:val="1AF35E37"/>
    <w:rsid w:val="1AFD0FD9"/>
    <w:rsid w:val="1B0034A2"/>
    <w:rsid w:val="1B046F80"/>
    <w:rsid w:val="1B1262BE"/>
    <w:rsid w:val="1B3267B5"/>
    <w:rsid w:val="1B40161D"/>
    <w:rsid w:val="1B403254"/>
    <w:rsid w:val="1B440441"/>
    <w:rsid w:val="1B441859"/>
    <w:rsid w:val="1B46240B"/>
    <w:rsid w:val="1B4C4D28"/>
    <w:rsid w:val="1B6606B1"/>
    <w:rsid w:val="1BC751CF"/>
    <w:rsid w:val="1BD619E1"/>
    <w:rsid w:val="1BE95B18"/>
    <w:rsid w:val="1C002CEE"/>
    <w:rsid w:val="1C0A450F"/>
    <w:rsid w:val="1C24797B"/>
    <w:rsid w:val="1C326D24"/>
    <w:rsid w:val="1C592E11"/>
    <w:rsid w:val="1C5E6A6A"/>
    <w:rsid w:val="1C5E7925"/>
    <w:rsid w:val="1C913B5A"/>
    <w:rsid w:val="1C9C546B"/>
    <w:rsid w:val="1CA0126D"/>
    <w:rsid w:val="1CA04BFE"/>
    <w:rsid w:val="1CA61122"/>
    <w:rsid w:val="1CBA6C0D"/>
    <w:rsid w:val="1CBC7776"/>
    <w:rsid w:val="1CC6166E"/>
    <w:rsid w:val="1CC655B2"/>
    <w:rsid w:val="1CE149AE"/>
    <w:rsid w:val="1CFD070F"/>
    <w:rsid w:val="1D08590F"/>
    <w:rsid w:val="1D0F18CE"/>
    <w:rsid w:val="1D2E4E16"/>
    <w:rsid w:val="1D5F6196"/>
    <w:rsid w:val="1D6132A5"/>
    <w:rsid w:val="1D677649"/>
    <w:rsid w:val="1D6A1F13"/>
    <w:rsid w:val="1D6B43AB"/>
    <w:rsid w:val="1D750D86"/>
    <w:rsid w:val="1D8170DA"/>
    <w:rsid w:val="1D84721B"/>
    <w:rsid w:val="1D8E56D5"/>
    <w:rsid w:val="1D973FDA"/>
    <w:rsid w:val="1DD41F50"/>
    <w:rsid w:val="1DEA0062"/>
    <w:rsid w:val="1E187749"/>
    <w:rsid w:val="1E562965"/>
    <w:rsid w:val="1E582DFA"/>
    <w:rsid w:val="1E5F6D9D"/>
    <w:rsid w:val="1E7A43DA"/>
    <w:rsid w:val="1E8A260F"/>
    <w:rsid w:val="1E9332ED"/>
    <w:rsid w:val="1E935967"/>
    <w:rsid w:val="1EA4118E"/>
    <w:rsid w:val="1EAE4143"/>
    <w:rsid w:val="1EB10E9D"/>
    <w:rsid w:val="1ED94728"/>
    <w:rsid w:val="1EF65A90"/>
    <w:rsid w:val="1F212F73"/>
    <w:rsid w:val="1F244811"/>
    <w:rsid w:val="1F3C5CD7"/>
    <w:rsid w:val="1F3F61CA"/>
    <w:rsid w:val="1F403699"/>
    <w:rsid w:val="1F422EEA"/>
    <w:rsid w:val="1F5C77F1"/>
    <w:rsid w:val="1F6D02D1"/>
    <w:rsid w:val="1F6D61B8"/>
    <w:rsid w:val="1F763715"/>
    <w:rsid w:val="1F906AC3"/>
    <w:rsid w:val="1FCD4EA9"/>
    <w:rsid w:val="1FD54FC1"/>
    <w:rsid w:val="1FDF15CA"/>
    <w:rsid w:val="1FE7539E"/>
    <w:rsid w:val="2009009E"/>
    <w:rsid w:val="201611E4"/>
    <w:rsid w:val="205B4440"/>
    <w:rsid w:val="20671BE0"/>
    <w:rsid w:val="20963CB8"/>
    <w:rsid w:val="20A81A1B"/>
    <w:rsid w:val="20AE6A88"/>
    <w:rsid w:val="20B07FB6"/>
    <w:rsid w:val="20B646FB"/>
    <w:rsid w:val="20BE62BF"/>
    <w:rsid w:val="20D3216F"/>
    <w:rsid w:val="20E2486A"/>
    <w:rsid w:val="20F630D6"/>
    <w:rsid w:val="20FF7332"/>
    <w:rsid w:val="2103517A"/>
    <w:rsid w:val="211469CB"/>
    <w:rsid w:val="211F7DEC"/>
    <w:rsid w:val="213A301E"/>
    <w:rsid w:val="213B74B1"/>
    <w:rsid w:val="21430EE3"/>
    <w:rsid w:val="21470C8B"/>
    <w:rsid w:val="214B4E0F"/>
    <w:rsid w:val="21563C6B"/>
    <w:rsid w:val="215A2310"/>
    <w:rsid w:val="21D5170E"/>
    <w:rsid w:val="21D65D10"/>
    <w:rsid w:val="21DA1AFF"/>
    <w:rsid w:val="21DE318A"/>
    <w:rsid w:val="21EF5B80"/>
    <w:rsid w:val="220527FD"/>
    <w:rsid w:val="2216237D"/>
    <w:rsid w:val="22244348"/>
    <w:rsid w:val="223B582C"/>
    <w:rsid w:val="225418B2"/>
    <w:rsid w:val="22576990"/>
    <w:rsid w:val="22590C76"/>
    <w:rsid w:val="226E2973"/>
    <w:rsid w:val="22835CF3"/>
    <w:rsid w:val="228A7081"/>
    <w:rsid w:val="228F6446"/>
    <w:rsid w:val="22D12F02"/>
    <w:rsid w:val="22F47480"/>
    <w:rsid w:val="22F94B6E"/>
    <w:rsid w:val="23377209"/>
    <w:rsid w:val="2358717F"/>
    <w:rsid w:val="23685374"/>
    <w:rsid w:val="23746450"/>
    <w:rsid w:val="23902475"/>
    <w:rsid w:val="23A35EB1"/>
    <w:rsid w:val="23B31F24"/>
    <w:rsid w:val="23BF2D5B"/>
    <w:rsid w:val="23C10CFD"/>
    <w:rsid w:val="23C75085"/>
    <w:rsid w:val="23D033E7"/>
    <w:rsid w:val="23DE1C48"/>
    <w:rsid w:val="23F14897"/>
    <w:rsid w:val="23F73FD9"/>
    <w:rsid w:val="240210CD"/>
    <w:rsid w:val="241260F5"/>
    <w:rsid w:val="24217DEE"/>
    <w:rsid w:val="242B7033"/>
    <w:rsid w:val="24387A79"/>
    <w:rsid w:val="24626569"/>
    <w:rsid w:val="24786B66"/>
    <w:rsid w:val="248A15BB"/>
    <w:rsid w:val="2492221D"/>
    <w:rsid w:val="24930B26"/>
    <w:rsid w:val="24AB16C5"/>
    <w:rsid w:val="24B87713"/>
    <w:rsid w:val="24BF09F7"/>
    <w:rsid w:val="24C85C3F"/>
    <w:rsid w:val="24D171E9"/>
    <w:rsid w:val="25113A8A"/>
    <w:rsid w:val="251251DD"/>
    <w:rsid w:val="252C2672"/>
    <w:rsid w:val="252D53FE"/>
    <w:rsid w:val="25396B3D"/>
    <w:rsid w:val="25823168"/>
    <w:rsid w:val="25B368EF"/>
    <w:rsid w:val="25B53E66"/>
    <w:rsid w:val="25D02FFD"/>
    <w:rsid w:val="25EC2D81"/>
    <w:rsid w:val="25EF3DCB"/>
    <w:rsid w:val="260A70E5"/>
    <w:rsid w:val="261338A2"/>
    <w:rsid w:val="261A68CA"/>
    <w:rsid w:val="26280DF4"/>
    <w:rsid w:val="262E5F76"/>
    <w:rsid w:val="26395046"/>
    <w:rsid w:val="265D3C36"/>
    <w:rsid w:val="26636FEC"/>
    <w:rsid w:val="26647BE9"/>
    <w:rsid w:val="267123C2"/>
    <w:rsid w:val="268564DD"/>
    <w:rsid w:val="26907859"/>
    <w:rsid w:val="26926505"/>
    <w:rsid w:val="26993AFD"/>
    <w:rsid w:val="26A914EA"/>
    <w:rsid w:val="26AB0BB0"/>
    <w:rsid w:val="26B417BB"/>
    <w:rsid w:val="26C80C5B"/>
    <w:rsid w:val="26D25427"/>
    <w:rsid w:val="27147861"/>
    <w:rsid w:val="271579C0"/>
    <w:rsid w:val="27181100"/>
    <w:rsid w:val="27192F38"/>
    <w:rsid w:val="27337417"/>
    <w:rsid w:val="274F44BD"/>
    <w:rsid w:val="27534580"/>
    <w:rsid w:val="27561C28"/>
    <w:rsid w:val="275D7CB8"/>
    <w:rsid w:val="276E4741"/>
    <w:rsid w:val="276E6F72"/>
    <w:rsid w:val="277057A2"/>
    <w:rsid w:val="27706BF2"/>
    <w:rsid w:val="27863FFC"/>
    <w:rsid w:val="27B54BA0"/>
    <w:rsid w:val="27BF0DAA"/>
    <w:rsid w:val="27EA7B61"/>
    <w:rsid w:val="28056ED7"/>
    <w:rsid w:val="28096C9A"/>
    <w:rsid w:val="28153BB7"/>
    <w:rsid w:val="281966A8"/>
    <w:rsid w:val="28292E99"/>
    <w:rsid w:val="284866D5"/>
    <w:rsid w:val="284A63D9"/>
    <w:rsid w:val="284B0D66"/>
    <w:rsid w:val="28550131"/>
    <w:rsid w:val="28710936"/>
    <w:rsid w:val="287E08AB"/>
    <w:rsid w:val="28957E76"/>
    <w:rsid w:val="28A23AF1"/>
    <w:rsid w:val="28A870DF"/>
    <w:rsid w:val="28B05368"/>
    <w:rsid w:val="28CA642A"/>
    <w:rsid w:val="28CD229B"/>
    <w:rsid w:val="28ED3EC6"/>
    <w:rsid w:val="290137C2"/>
    <w:rsid w:val="290C053C"/>
    <w:rsid w:val="291D54D5"/>
    <w:rsid w:val="29206EB8"/>
    <w:rsid w:val="292518B2"/>
    <w:rsid w:val="29595666"/>
    <w:rsid w:val="296C02F7"/>
    <w:rsid w:val="29874881"/>
    <w:rsid w:val="299C681F"/>
    <w:rsid w:val="29A30A29"/>
    <w:rsid w:val="29B53F92"/>
    <w:rsid w:val="29D457AB"/>
    <w:rsid w:val="29D62BAC"/>
    <w:rsid w:val="29DC2793"/>
    <w:rsid w:val="29E325E0"/>
    <w:rsid w:val="29F41858"/>
    <w:rsid w:val="29FC2A8F"/>
    <w:rsid w:val="2A05606E"/>
    <w:rsid w:val="2A224043"/>
    <w:rsid w:val="2A310EA7"/>
    <w:rsid w:val="2A452503"/>
    <w:rsid w:val="2A63092C"/>
    <w:rsid w:val="2A6F6CAF"/>
    <w:rsid w:val="2A813D65"/>
    <w:rsid w:val="2A8F6FD5"/>
    <w:rsid w:val="2AAD7DB1"/>
    <w:rsid w:val="2AC260BB"/>
    <w:rsid w:val="2AD9196C"/>
    <w:rsid w:val="2ADB491E"/>
    <w:rsid w:val="2AE8703B"/>
    <w:rsid w:val="2AF05EF0"/>
    <w:rsid w:val="2B072A57"/>
    <w:rsid w:val="2B167ADB"/>
    <w:rsid w:val="2B256BBF"/>
    <w:rsid w:val="2B44607F"/>
    <w:rsid w:val="2B522706"/>
    <w:rsid w:val="2B522B71"/>
    <w:rsid w:val="2B6F3CBD"/>
    <w:rsid w:val="2B710DDE"/>
    <w:rsid w:val="2B7E34FB"/>
    <w:rsid w:val="2B820CF7"/>
    <w:rsid w:val="2B9777BC"/>
    <w:rsid w:val="2BA936A8"/>
    <w:rsid w:val="2BA94A1C"/>
    <w:rsid w:val="2BBA59CC"/>
    <w:rsid w:val="2BBF00FE"/>
    <w:rsid w:val="2BDB6BA0"/>
    <w:rsid w:val="2BDF043E"/>
    <w:rsid w:val="2BE271C7"/>
    <w:rsid w:val="2BED633D"/>
    <w:rsid w:val="2BF0264B"/>
    <w:rsid w:val="2BF437BD"/>
    <w:rsid w:val="2BF57C61"/>
    <w:rsid w:val="2BF832AE"/>
    <w:rsid w:val="2C0077FC"/>
    <w:rsid w:val="2C175D66"/>
    <w:rsid w:val="2C1F4CDE"/>
    <w:rsid w:val="2C247E99"/>
    <w:rsid w:val="2C315A5A"/>
    <w:rsid w:val="2C3F2C8B"/>
    <w:rsid w:val="2C412EA7"/>
    <w:rsid w:val="2C4B1C25"/>
    <w:rsid w:val="2C4E1120"/>
    <w:rsid w:val="2C504E98"/>
    <w:rsid w:val="2C5D5807"/>
    <w:rsid w:val="2C6A7599"/>
    <w:rsid w:val="2C744C4B"/>
    <w:rsid w:val="2C75476D"/>
    <w:rsid w:val="2CCA5222"/>
    <w:rsid w:val="2CD440FF"/>
    <w:rsid w:val="2CD750AA"/>
    <w:rsid w:val="2CE43832"/>
    <w:rsid w:val="2CE90E48"/>
    <w:rsid w:val="2CF560B4"/>
    <w:rsid w:val="2CFA3055"/>
    <w:rsid w:val="2CFB12A7"/>
    <w:rsid w:val="2D0830EF"/>
    <w:rsid w:val="2D085A23"/>
    <w:rsid w:val="2D1E60FD"/>
    <w:rsid w:val="2D3F54BC"/>
    <w:rsid w:val="2D4542D1"/>
    <w:rsid w:val="2D4B150D"/>
    <w:rsid w:val="2D4D13D7"/>
    <w:rsid w:val="2D574004"/>
    <w:rsid w:val="2D614E83"/>
    <w:rsid w:val="2D6A464A"/>
    <w:rsid w:val="2D763FEB"/>
    <w:rsid w:val="2D8C1E2B"/>
    <w:rsid w:val="2D9E56F5"/>
    <w:rsid w:val="2DB43204"/>
    <w:rsid w:val="2DDE1E4E"/>
    <w:rsid w:val="2DFD104F"/>
    <w:rsid w:val="2E06305F"/>
    <w:rsid w:val="2E073C7C"/>
    <w:rsid w:val="2E0B70F4"/>
    <w:rsid w:val="2E1173BA"/>
    <w:rsid w:val="2E182F2D"/>
    <w:rsid w:val="2E1A3538"/>
    <w:rsid w:val="2E280BA4"/>
    <w:rsid w:val="2E536EC1"/>
    <w:rsid w:val="2E642E7C"/>
    <w:rsid w:val="2E667F96"/>
    <w:rsid w:val="2E8226AB"/>
    <w:rsid w:val="2EA25753"/>
    <w:rsid w:val="2EAE40F8"/>
    <w:rsid w:val="2ECD27D0"/>
    <w:rsid w:val="2ECE6548"/>
    <w:rsid w:val="2ED31DB0"/>
    <w:rsid w:val="2EE23DA1"/>
    <w:rsid w:val="2EEC447E"/>
    <w:rsid w:val="2F436F36"/>
    <w:rsid w:val="2F4F7BC9"/>
    <w:rsid w:val="2F502CC4"/>
    <w:rsid w:val="2F7470EF"/>
    <w:rsid w:val="2F964A23"/>
    <w:rsid w:val="2F996B56"/>
    <w:rsid w:val="2FC00586"/>
    <w:rsid w:val="2FC35981"/>
    <w:rsid w:val="2FC648C0"/>
    <w:rsid w:val="2FD065E6"/>
    <w:rsid w:val="2FD96870"/>
    <w:rsid w:val="2FEF6776"/>
    <w:rsid w:val="30020A88"/>
    <w:rsid w:val="30067349"/>
    <w:rsid w:val="30071D11"/>
    <w:rsid w:val="3014642C"/>
    <w:rsid w:val="3027062B"/>
    <w:rsid w:val="30313F05"/>
    <w:rsid w:val="30580BC9"/>
    <w:rsid w:val="30FC76E6"/>
    <w:rsid w:val="311E2ED7"/>
    <w:rsid w:val="3144286A"/>
    <w:rsid w:val="31490108"/>
    <w:rsid w:val="314F17F5"/>
    <w:rsid w:val="315619EE"/>
    <w:rsid w:val="315C42DF"/>
    <w:rsid w:val="315C449C"/>
    <w:rsid w:val="316A07AA"/>
    <w:rsid w:val="316B62D0"/>
    <w:rsid w:val="317730D7"/>
    <w:rsid w:val="317A4C08"/>
    <w:rsid w:val="3181717C"/>
    <w:rsid w:val="318B6972"/>
    <w:rsid w:val="3199289F"/>
    <w:rsid w:val="31994BEB"/>
    <w:rsid w:val="31A43A4C"/>
    <w:rsid w:val="31B41A25"/>
    <w:rsid w:val="31B82709"/>
    <w:rsid w:val="31BF532C"/>
    <w:rsid w:val="31D05482"/>
    <w:rsid w:val="31D90B2C"/>
    <w:rsid w:val="31F12C79"/>
    <w:rsid w:val="32004C6A"/>
    <w:rsid w:val="32050C62"/>
    <w:rsid w:val="32265BE1"/>
    <w:rsid w:val="322F4E1D"/>
    <w:rsid w:val="32400B34"/>
    <w:rsid w:val="3242143C"/>
    <w:rsid w:val="32843AED"/>
    <w:rsid w:val="329E6876"/>
    <w:rsid w:val="32AB5B3C"/>
    <w:rsid w:val="32B211FA"/>
    <w:rsid w:val="32B51EF8"/>
    <w:rsid w:val="32D21102"/>
    <w:rsid w:val="32D66C26"/>
    <w:rsid w:val="32DF6F75"/>
    <w:rsid w:val="32EF544F"/>
    <w:rsid w:val="33062754"/>
    <w:rsid w:val="331D19CE"/>
    <w:rsid w:val="332457B9"/>
    <w:rsid w:val="333015F2"/>
    <w:rsid w:val="33393732"/>
    <w:rsid w:val="333E4FC1"/>
    <w:rsid w:val="33460DA3"/>
    <w:rsid w:val="334B6320"/>
    <w:rsid w:val="334E7C57"/>
    <w:rsid w:val="33542E24"/>
    <w:rsid w:val="339B7340"/>
    <w:rsid w:val="33A87367"/>
    <w:rsid w:val="33AB50A9"/>
    <w:rsid w:val="33AF4B9A"/>
    <w:rsid w:val="33CB1539"/>
    <w:rsid w:val="33CC1A5A"/>
    <w:rsid w:val="33D934D4"/>
    <w:rsid w:val="33EE1D38"/>
    <w:rsid w:val="33FE2F6A"/>
    <w:rsid w:val="33FF7A66"/>
    <w:rsid w:val="3402116D"/>
    <w:rsid w:val="340D7B12"/>
    <w:rsid w:val="340E07E5"/>
    <w:rsid w:val="34117602"/>
    <w:rsid w:val="341E7C1C"/>
    <w:rsid w:val="34235BF7"/>
    <w:rsid w:val="345968B4"/>
    <w:rsid w:val="34645984"/>
    <w:rsid w:val="346C6CC9"/>
    <w:rsid w:val="34907020"/>
    <w:rsid w:val="3493237E"/>
    <w:rsid w:val="349726EC"/>
    <w:rsid w:val="34AC0958"/>
    <w:rsid w:val="34C37E3E"/>
    <w:rsid w:val="34D128EE"/>
    <w:rsid w:val="34E647FA"/>
    <w:rsid w:val="34F0419C"/>
    <w:rsid w:val="34F73184"/>
    <w:rsid w:val="351979E0"/>
    <w:rsid w:val="352E3D4F"/>
    <w:rsid w:val="353721A4"/>
    <w:rsid w:val="354D6418"/>
    <w:rsid w:val="355D6CD6"/>
    <w:rsid w:val="357048FA"/>
    <w:rsid w:val="357F5BBD"/>
    <w:rsid w:val="35805451"/>
    <w:rsid w:val="358C5FA8"/>
    <w:rsid w:val="359009FB"/>
    <w:rsid w:val="35963460"/>
    <w:rsid w:val="359E6E87"/>
    <w:rsid w:val="35C15DF1"/>
    <w:rsid w:val="35E72C98"/>
    <w:rsid w:val="36074A7F"/>
    <w:rsid w:val="360A4309"/>
    <w:rsid w:val="36216DB5"/>
    <w:rsid w:val="36224991"/>
    <w:rsid w:val="362311BF"/>
    <w:rsid w:val="36296BDA"/>
    <w:rsid w:val="3637423F"/>
    <w:rsid w:val="36402F2B"/>
    <w:rsid w:val="36476122"/>
    <w:rsid w:val="36527A5E"/>
    <w:rsid w:val="365A7CF3"/>
    <w:rsid w:val="36637EBD"/>
    <w:rsid w:val="36714388"/>
    <w:rsid w:val="367479D5"/>
    <w:rsid w:val="3676374D"/>
    <w:rsid w:val="36772681"/>
    <w:rsid w:val="36820344"/>
    <w:rsid w:val="36835E6A"/>
    <w:rsid w:val="3690566F"/>
    <w:rsid w:val="36923549"/>
    <w:rsid w:val="36B75FBF"/>
    <w:rsid w:val="36BA34AD"/>
    <w:rsid w:val="36BD0C45"/>
    <w:rsid w:val="36D8376B"/>
    <w:rsid w:val="36DC30B5"/>
    <w:rsid w:val="36E83F1F"/>
    <w:rsid w:val="36EB413B"/>
    <w:rsid w:val="36F87579"/>
    <w:rsid w:val="37110F34"/>
    <w:rsid w:val="373177CE"/>
    <w:rsid w:val="37345526"/>
    <w:rsid w:val="374B4BD9"/>
    <w:rsid w:val="376513F0"/>
    <w:rsid w:val="37955E55"/>
    <w:rsid w:val="37A60758"/>
    <w:rsid w:val="37A829CF"/>
    <w:rsid w:val="37D50947"/>
    <w:rsid w:val="37DE4F22"/>
    <w:rsid w:val="37E00298"/>
    <w:rsid w:val="37F94729"/>
    <w:rsid w:val="380F3E59"/>
    <w:rsid w:val="380F5C07"/>
    <w:rsid w:val="381745D0"/>
    <w:rsid w:val="382C4A0B"/>
    <w:rsid w:val="3845787B"/>
    <w:rsid w:val="384653A1"/>
    <w:rsid w:val="3867564D"/>
    <w:rsid w:val="387A419F"/>
    <w:rsid w:val="388F42BD"/>
    <w:rsid w:val="3892740B"/>
    <w:rsid w:val="38947917"/>
    <w:rsid w:val="389B249F"/>
    <w:rsid w:val="389B749B"/>
    <w:rsid w:val="38A7297A"/>
    <w:rsid w:val="38B13162"/>
    <w:rsid w:val="38B302F9"/>
    <w:rsid w:val="38B44A00"/>
    <w:rsid w:val="38B66A6A"/>
    <w:rsid w:val="38BB1EA9"/>
    <w:rsid w:val="38CA7D80"/>
    <w:rsid w:val="38F12CD3"/>
    <w:rsid w:val="38F94775"/>
    <w:rsid w:val="38FC7709"/>
    <w:rsid w:val="39094D4C"/>
    <w:rsid w:val="39113C01"/>
    <w:rsid w:val="39243934"/>
    <w:rsid w:val="392971ED"/>
    <w:rsid w:val="39325651"/>
    <w:rsid w:val="393873DF"/>
    <w:rsid w:val="393C6ED0"/>
    <w:rsid w:val="39455658"/>
    <w:rsid w:val="39514782"/>
    <w:rsid w:val="395C1320"/>
    <w:rsid w:val="3962445C"/>
    <w:rsid w:val="396E4BAF"/>
    <w:rsid w:val="39700FE6"/>
    <w:rsid w:val="39873EC3"/>
    <w:rsid w:val="39955EF8"/>
    <w:rsid w:val="399F3299"/>
    <w:rsid w:val="39A37C8A"/>
    <w:rsid w:val="39A405D1"/>
    <w:rsid w:val="39A607ED"/>
    <w:rsid w:val="39AE31FE"/>
    <w:rsid w:val="39C22B93"/>
    <w:rsid w:val="39CA4D58"/>
    <w:rsid w:val="39FC040D"/>
    <w:rsid w:val="39FE23D7"/>
    <w:rsid w:val="3A0965E6"/>
    <w:rsid w:val="3A0D6176"/>
    <w:rsid w:val="3A1C0AAF"/>
    <w:rsid w:val="3A2D54A4"/>
    <w:rsid w:val="3A320633"/>
    <w:rsid w:val="3A4B4EF0"/>
    <w:rsid w:val="3A577D39"/>
    <w:rsid w:val="3A5857D5"/>
    <w:rsid w:val="3A677353"/>
    <w:rsid w:val="3A6B196B"/>
    <w:rsid w:val="3A772F57"/>
    <w:rsid w:val="3A8328DC"/>
    <w:rsid w:val="3A872856"/>
    <w:rsid w:val="3A873E2F"/>
    <w:rsid w:val="3AB005A1"/>
    <w:rsid w:val="3AB111F7"/>
    <w:rsid w:val="3AB331C1"/>
    <w:rsid w:val="3ABF58EF"/>
    <w:rsid w:val="3AC52EF5"/>
    <w:rsid w:val="3ACC7DDF"/>
    <w:rsid w:val="3ACE7FFB"/>
    <w:rsid w:val="3ADA3097"/>
    <w:rsid w:val="3AEC66D3"/>
    <w:rsid w:val="3AEF28FA"/>
    <w:rsid w:val="3B11213C"/>
    <w:rsid w:val="3B1C3C75"/>
    <w:rsid w:val="3B1F2605"/>
    <w:rsid w:val="3B36721D"/>
    <w:rsid w:val="3B3763D1"/>
    <w:rsid w:val="3B474F5A"/>
    <w:rsid w:val="3B60779F"/>
    <w:rsid w:val="3B7A690A"/>
    <w:rsid w:val="3B8C4A30"/>
    <w:rsid w:val="3B8E4A7C"/>
    <w:rsid w:val="3BA730D4"/>
    <w:rsid w:val="3BAA37BA"/>
    <w:rsid w:val="3BC57EFE"/>
    <w:rsid w:val="3BCF0963"/>
    <w:rsid w:val="3BD333EF"/>
    <w:rsid w:val="3BFF4026"/>
    <w:rsid w:val="3C014099"/>
    <w:rsid w:val="3C202033"/>
    <w:rsid w:val="3C2F6E1E"/>
    <w:rsid w:val="3C300CBF"/>
    <w:rsid w:val="3C317D4F"/>
    <w:rsid w:val="3C336BF6"/>
    <w:rsid w:val="3C3D06E1"/>
    <w:rsid w:val="3C43474B"/>
    <w:rsid w:val="3C4F64BA"/>
    <w:rsid w:val="3C526559"/>
    <w:rsid w:val="3C8106F1"/>
    <w:rsid w:val="3C861144"/>
    <w:rsid w:val="3CAE7163"/>
    <w:rsid w:val="3CDA245A"/>
    <w:rsid w:val="3CED6733"/>
    <w:rsid w:val="3CF655E7"/>
    <w:rsid w:val="3D0970E5"/>
    <w:rsid w:val="3D155E3E"/>
    <w:rsid w:val="3D1E06B7"/>
    <w:rsid w:val="3D271C45"/>
    <w:rsid w:val="3D2F0AF9"/>
    <w:rsid w:val="3D6E5CC0"/>
    <w:rsid w:val="3D7604D6"/>
    <w:rsid w:val="3D8270A2"/>
    <w:rsid w:val="3D842BF3"/>
    <w:rsid w:val="3DCD7770"/>
    <w:rsid w:val="3DD65B64"/>
    <w:rsid w:val="3DF144AD"/>
    <w:rsid w:val="3E044727"/>
    <w:rsid w:val="3E0B2321"/>
    <w:rsid w:val="3E0F757A"/>
    <w:rsid w:val="3E2154D7"/>
    <w:rsid w:val="3E391743"/>
    <w:rsid w:val="3E3D73FF"/>
    <w:rsid w:val="3E552D1B"/>
    <w:rsid w:val="3E575950"/>
    <w:rsid w:val="3E691DE9"/>
    <w:rsid w:val="3E723B83"/>
    <w:rsid w:val="3E7A088D"/>
    <w:rsid w:val="3EBF1DD8"/>
    <w:rsid w:val="3EC43D05"/>
    <w:rsid w:val="3ECD7FBE"/>
    <w:rsid w:val="3ECF60F0"/>
    <w:rsid w:val="3ED01E68"/>
    <w:rsid w:val="3EDA0523"/>
    <w:rsid w:val="3EE576C2"/>
    <w:rsid w:val="3EED6576"/>
    <w:rsid w:val="3EF5058E"/>
    <w:rsid w:val="3EFE6D37"/>
    <w:rsid w:val="3F163D1F"/>
    <w:rsid w:val="3F487B66"/>
    <w:rsid w:val="3F4D6045"/>
    <w:rsid w:val="3F696545"/>
    <w:rsid w:val="3F76792A"/>
    <w:rsid w:val="3F786788"/>
    <w:rsid w:val="3F8F762D"/>
    <w:rsid w:val="3F951702"/>
    <w:rsid w:val="3F965DED"/>
    <w:rsid w:val="3FA06623"/>
    <w:rsid w:val="3FA25C69"/>
    <w:rsid w:val="3FAD3B2E"/>
    <w:rsid w:val="3FB54D77"/>
    <w:rsid w:val="3FCC7236"/>
    <w:rsid w:val="3FFE2EC5"/>
    <w:rsid w:val="3FFF4B12"/>
    <w:rsid w:val="402A6DF4"/>
    <w:rsid w:val="404C3770"/>
    <w:rsid w:val="407A6407"/>
    <w:rsid w:val="40CB26C4"/>
    <w:rsid w:val="40D17C70"/>
    <w:rsid w:val="40E007B5"/>
    <w:rsid w:val="40ED6414"/>
    <w:rsid w:val="40F77B80"/>
    <w:rsid w:val="40F9735E"/>
    <w:rsid w:val="4101455B"/>
    <w:rsid w:val="410858E9"/>
    <w:rsid w:val="410A0957"/>
    <w:rsid w:val="410B53D9"/>
    <w:rsid w:val="411E68C6"/>
    <w:rsid w:val="41216435"/>
    <w:rsid w:val="41306BEE"/>
    <w:rsid w:val="4133526C"/>
    <w:rsid w:val="41483F38"/>
    <w:rsid w:val="416269F5"/>
    <w:rsid w:val="41806B7A"/>
    <w:rsid w:val="41952FF8"/>
    <w:rsid w:val="419E4FAE"/>
    <w:rsid w:val="41BF2EE9"/>
    <w:rsid w:val="41C2335F"/>
    <w:rsid w:val="41C75966"/>
    <w:rsid w:val="41E314DF"/>
    <w:rsid w:val="41E63035"/>
    <w:rsid w:val="4200449D"/>
    <w:rsid w:val="42051E29"/>
    <w:rsid w:val="42187DAE"/>
    <w:rsid w:val="42195B07"/>
    <w:rsid w:val="422063BB"/>
    <w:rsid w:val="42234BF1"/>
    <w:rsid w:val="422B001A"/>
    <w:rsid w:val="4233173A"/>
    <w:rsid w:val="423746D8"/>
    <w:rsid w:val="423A3BCC"/>
    <w:rsid w:val="42440BA3"/>
    <w:rsid w:val="424E57D2"/>
    <w:rsid w:val="426062F6"/>
    <w:rsid w:val="42767A70"/>
    <w:rsid w:val="428B1942"/>
    <w:rsid w:val="429D41F4"/>
    <w:rsid w:val="42A17DA3"/>
    <w:rsid w:val="42B26C49"/>
    <w:rsid w:val="42D812EB"/>
    <w:rsid w:val="42D97ADF"/>
    <w:rsid w:val="433A6FE6"/>
    <w:rsid w:val="433E3844"/>
    <w:rsid w:val="43480868"/>
    <w:rsid w:val="43485070"/>
    <w:rsid w:val="4350713C"/>
    <w:rsid w:val="435466E2"/>
    <w:rsid w:val="435D74CA"/>
    <w:rsid w:val="43645C16"/>
    <w:rsid w:val="436653E0"/>
    <w:rsid w:val="43713C1A"/>
    <w:rsid w:val="43C4431A"/>
    <w:rsid w:val="43CD3DD7"/>
    <w:rsid w:val="43DE0B83"/>
    <w:rsid w:val="43EB7685"/>
    <w:rsid w:val="44242A3A"/>
    <w:rsid w:val="44425BDE"/>
    <w:rsid w:val="445157F9"/>
    <w:rsid w:val="445A20B2"/>
    <w:rsid w:val="44616D40"/>
    <w:rsid w:val="44673DC5"/>
    <w:rsid w:val="448138A5"/>
    <w:rsid w:val="44915BF6"/>
    <w:rsid w:val="44942AAA"/>
    <w:rsid w:val="44955555"/>
    <w:rsid w:val="449D27EC"/>
    <w:rsid w:val="44AB2637"/>
    <w:rsid w:val="44B951CC"/>
    <w:rsid w:val="44C3038B"/>
    <w:rsid w:val="44C91833"/>
    <w:rsid w:val="44CD14E0"/>
    <w:rsid w:val="44CD2313"/>
    <w:rsid w:val="44F20B0B"/>
    <w:rsid w:val="45017CCB"/>
    <w:rsid w:val="45200B7E"/>
    <w:rsid w:val="452C39B2"/>
    <w:rsid w:val="452E5F4C"/>
    <w:rsid w:val="455E01CE"/>
    <w:rsid w:val="45612018"/>
    <w:rsid w:val="456E0D3F"/>
    <w:rsid w:val="4574179F"/>
    <w:rsid w:val="457E43CC"/>
    <w:rsid w:val="458946E9"/>
    <w:rsid w:val="45A47C0E"/>
    <w:rsid w:val="45BB48AC"/>
    <w:rsid w:val="45D364DE"/>
    <w:rsid w:val="45D93CF8"/>
    <w:rsid w:val="45DE2FFD"/>
    <w:rsid w:val="45E737A4"/>
    <w:rsid w:val="46042C4E"/>
    <w:rsid w:val="460E1AB7"/>
    <w:rsid w:val="46452E7D"/>
    <w:rsid w:val="46577FD6"/>
    <w:rsid w:val="46936CEE"/>
    <w:rsid w:val="469A1E62"/>
    <w:rsid w:val="46A75BA4"/>
    <w:rsid w:val="46AC6D17"/>
    <w:rsid w:val="46BA1434"/>
    <w:rsid w:val="46C9712E"/>
    <w:rsid w:val="46D955A7"/>
    <w:rsid w:val="46F337F6"/>
    <w:rsid w:val="46F661E4"/>
    <w:rsid w:val="47044DA5"/>
    <w:rsid w:val="470541A1"/>
    <w:rsid w:val="47133957"/>
    <w:rsid w:val="472F38FB"/>
    <w:rsid w:val="4740402F"/>
    <w:rsid w:val="47424C0D"/>
    <w:rsid w:val="47547694"/>
    <w:rsid w:val="475E6263"/>
    <w:rsid w:val="47771C4B"/>
    <w:rsid w:val="477E7597"/>
    <w:rsid w:val="478B2DD0"/>
    <w:rsid w:val="47A04ACD"/>
    <w:rsid w:val="47A07E0C"/>
    <w:rsid w:val="47A14C13"/>
    <w:rsid w:val="47BD2CA7"/>
    <w:rsid w:val="47C36A0E"/>
    <w:rsid w:val="47C661BA"/>
    <w:rsid w:val="47D429C9"/>
    <w:rsid w:val="47D5769E"/>
    <w:rsid w:val="47E0634E"/>
    <w:rsid w:val="47E56984"/>
    <w:rsid w:val="47E57A30"/>
    <w:rsid w:val="47F145F1"/>
    <w:rsid w:val="48050DD4"/>
    <w:rsid w:val="481B05F8"/>
    <w:rsid w:val="48391CF7"/>
    <w:rsid w:val="4845019B"/>
    <w:rsid w:val="48475477"/>
    <w:rsid w:val="4868229C"/>
    <w:rsid w:val="4870272E"/>
    <w:rsid w:val="48855A71"/>
    <w:rsid w:val="488F68F0"/>
    <w:rsid w:val="48906CC2"/>
    <w:rsid w:val="489B071C"/>
    <w:rsid w:val="48AA4D31"/>
    <w:rsid w:val="48AA61E9"/>
    <w:rsid w:val="48D27744"/>
    <w:rsid w:val="48F43D8D"/>
    <w:rsid w:val="49012CF7"/>
    <w:rsid w:val="49030E9D"/>
    <w:rsid w:val="49043881"/>
    <w:rsid w:val="490A0F40"/>
    <w:rsid w:val="490A50EB"/>
    <w:rsid w:val="49282FCC"/>
    <w:rsid w:val="492B486B"/>
    <w:rsid w:val="492F1561"/>
    <w:rsid w:val="495A5150"/>
    <w:rsid w:val="49973CAE"/>
    <w:rsid w:val="49AD1724"/>
    <w:rsid w:val="49BA2D04"/>
    <w:rsid w:val="49CA551D"/>
    <w:rsid w:val="49D21641"/>
    <w:rsid w:val="49DC7715"/>
    <w:rsid w:val="49E669E4"/>
    <w:rsid w:val="49FB2932"/>
    <w:rsid w:val="49FC1D63"/>
    <w:rsid w:val="4A011472"/>
    <w:rsid w:val="4A023139"/>
    <w:rsid w:val="4A050C18"/>
    <w:rsid w:val="4A0D3F70"/>
    <w:rsid w:val="4A111CB3"/>
    <w:rsid w:val="4A1915B3"/>
    <w:rsid w:val="4A1A456A"/>
    <w:rsid w:val="4A4949C6"/>
    <w:rsid w:val="4A5945B0"/>
    <w:rsid w:val="4A6B78A3"/>
    <w:rsid w:val="4A726772"/>
    <w:rsid w:val="4A7B576F"/>
    <w:rsid w:val="4A7F6C12"/>
    <w:rsid w:val="4A884657"/>
    <w:rsid w:val="4A9F4278"/>
    <w:rsid w:val="4AC24D5B"/>
    <w:rsid w:val="4AF561A9"/>
    <w:rsid w:val="4B192233"/>
    <w:rsid w:val="4B314F29"/>
    <w:rsid w:val="4B375A36"/>
    <w:rsid w:val="4B3A17AE"/>
    <w:rsid w:val="4B4400A0"/>
    <w:rsid w:val="4B4D4416"/>
    <w:rsid w:val="4B500485"/>
    <w:rsid w:val="4B6E6C91"/>
    <w:rsid w:val="4B9506C1"/>
    <w:rsid w:val="4B9669A6"/>
    <w:rsid w:val="4B9C5418"/>
    <w:rsid w:val="4BF160FD"/>
    <w:rsid w:val="4C017B05"/>
    <w:rsid w:val="4C146D1E"/>
    <w:rsid w:val="4C2537F3"/>
    <w:rsid w:val="4C2E020A"/>
    <w:rsid w:val="4C4A0649"/>
    <w:rsid w:val="4C4A7E2C"/>
    <w:rsid w:val="4C54044A"/>
    <w:rsid w:val="4C545E87"/>
    <w:rsid w:val="4C583BC9"/>
    <w:rsid w:val="4C677ED5"/>
    <w:rsid w:val="4C6C226D"/>
    <w:rsid w:val="4C7C7A72"/>
    <w:rsid w:val="4C7E5ECA"/>
    <w:rsid w:val="4C876AA5"/>
    <w:rsid w:val="4C9308C5"/>
    <w:rsid w:val="4CA706AC"/>
    <w:rsid w:val="4CD55219"/>
    <w:rsid w:val="4D007930"/>
    <w:rsid w:val="4D0E00FB"/>
    <w:rsid w:val="4D122BF3"/>
    <w:rsid w:val="4D1558A9"/>
    <w:rsid w:val="4D176606"/>
    <w:rsid w:val="4D1A7C2C"/>
    <w:rsid w:val="4D28644B"/>
    <w:rsid w:val="4D465206"/>
    <w:rsid w:val="4D5C1497"/>
    <w:rsid w:val="4D622825"/>
    <w:rsid w:val="4D690A53"/>
    <w:rsid w:val="4D785BA5"/>
    <w:rsid w:val="4D8602C2"/>
    <w:rsid w:val="4D9B543E"/>
    <w:rsid w:val="4DB36A5D"/>
    <w:rsid w:val="4DB83936"/>
    <w:rsid w:val="4DC4703C"/>
    <w:rsid w:val="4DE4323A"/>
    <w:rsid w:val="4DE84309"/>
    <w:rsid w:val="4DEC4FB0"/>
    <w:rsid w:val="4E075D8A"/>
    <w:rsid w:val="4E141D71"/>
    <w:rsid w:val="4E373850"/>
    <w:rsid w:val="4E3C6BD2"/>
    <w:rsid w:val="4E555EE6"/>
    <w:rsid w:val="4E761A7B"/>
    <w:rsid w:val="4E99228D"/>
    <w:rsid w:val="4EBC72F4"/>
    <w:rsid w:val="4EC00FAD"/>
    <w:rsid w:val="4EC26E56"/>
    <w:rsid w:val="4EC93F9A"/>
    <w:rsid w:val="4ED05A53"/>
    <w:rsid w:val="4EF233C0"/>
    <w:rsid w:val="4F0210D4"/>
    <w:rsid w:val="4F0C0C9A"/>
    <w:rsid w:val="4F0F658C"/>
    <w:rsid w:val="4F1813ED"/>
    <w:rsid w:val="4F1869D4"/>
    <w:rsid w:val="4F2064F4"/>
    <w:rsid w:val="4F240A97"/>
    <w:rsid w:val="4F2935A9"/>
    <w:rsid w:val="4F3C30A5"/>
    <w:rsid w:val="4F4405DB"/>
    <w:rsid w:val="4F501AD1"/>
    <w:rsid w:val="4F7A7FCB"/>
    <w:rsid w:val="4F942577"/>
    <w:rsid w:val="4F9843DC"/>
    <w:rsid w:val="4FBF732D"/>
    <w:rsid w:val="4FC62A8C"/>
    <w:rsid w:val="4FC9093A"/>
    <w:rsid w:val="4FD10ADB"/>
    <w:rsid w:val="4FD80B7D"/>
    <w:rsid w:val="4FE20F0D"/>
    <w:rsid w:val="4FE47521"/>
    <w:rsid w:val="4FE51552"/>
    <w:rsid w:val="502330A8"/>
    <w:rsid w:val="503D7108"/>
    <w:rsid w:val="50462DB6"/>
    <w:rsid w:val="504F52E3"/>
    <w:rsid w:val="50504C4B"/>
    <w:rsid w:val="50607B05"/>
    <w:rsid w:val="50665160"/>
    <w:rsid w:val="506F44EE"/>
    <w:rsid w:val="509C6E7C"/>
    <w:rsid w:val="50A3118B"/>
    <w:rsid w:val="50AD00D4"/>
    <w:rsid w:val="50B213CE"/>
    <w:rsid w:val="50B45146"/>
    <w:rsid w:val="50BA00E4"/>
    <w:rsid w:val="50D15CF8"/>
    <w:rsid w:val="50D43A3A"/>
    <w:rsid w:val="50D61560"/>
    <w:rsid w:val="510D2AA8"/>
    <w:rsid w:val="511A58F1"/>
    <w:rsid w:val="511B51A9"/>
    <w:rsid w:val="5124758E"/>
    <w:rsid w:val="5147293F"/>
    <w:rsid w:val="51496351"/>
    <w:rsid w:val="5160506B"/>
    <w:rsid w:val="5162104E"/>
    <w:rsid w:val="516C5BA3"/>
    <w:rsid w:val="519067A3"/>
    <w:rsid w:val="51A54685"/>
    <w:rsid w:val="51B15B29"/>
    <w:rsid w:val="51B8499E"/>
    <w:rsid w:val="51BA678C"/>
    <w:rsid w:val="51D830B6"/>
    <w:rsid w:val="521151CB"/>
    <w:rsid w:val="522763E6"/>
    <w:rsid w:val="522A4218"/>
    <w:rsid w:val="5252299E"/>
    <w:rsid w:val="52636E23"/>
    <w:rsid w:val="5268443A"/>
    <w:rsid w:val="52751ED8"/>
    <w:rsid w:val="528358CA"/>
    <w:rsid w:val="52941AFC"/>
    <w:rsid w:val="52972A2E"/>
    <w:rsid w:val="52C8312A"/>
    <w:rsid w:val="52E31D12"/>
    <w:rsid w:val="52EC1F74"/>
    <w:rsid w:val="530002C1"/>
    <w:rsid w:val="5301480F"/>
    <w:rsid w:val="530F6FAB"/>
    <w:rsid w:val="53101BF1"/>
    <w:rsid w:val="53226CDE"/>
    <w:rsid w:val="532509FF"/>
    <w:rsid w:val="53264C56"/>
    <w:rsid w:val="533B1C60"/>
    <w:rsid w:val="534678E9"/>
    <w:rsid w:val="53475B7C"/>
    <w:rsid w:val="53513120"/>
    <w:rsid w:val="5358625C"/>
    <w:rsid w:val="53802C35"/>
    <w:rsid w:val="538352B8"/>
    <w:rsid w:val="53937294"/>
    <w:rsid w:val="53A039CC"/>
    <w:rsid w:val="53A1505A"/>
    <w:rsid w:val="53A9470E"/>
    <w:rsid w:val="53BF0089"/>
    <w:rsid w:val="53C733E2"/>
    <w:rsid w:val="53D224C1"/>
    <w:rsid w:val="53D61877"/>
    <w:rsid w:val="53D8739D"/>
    <w:rsid w:val="54063E08"/>
    <w:rsid w:val="54181E8F"/>
    <w:rsid w:val="541F4FCC"/>
    <w:rsid w:val="543437E8"/>
    <w:rsid w:val="543E4AC9"/>
    <w:rsid w:val="545C45F2"/>
    <w:rsid w:val="546F0D22"/>
    <w:rsid w:val="54754BEC"/>
    <w:rsid w:val="547A0454"/>
    <w:rsid w:val="54843081"/>
    <w:rsid w:val="548825BE"/>
    <w:rsid w:val="54AF0169"/>
    <w:rsid w:val="54F73313"/>
    <w:rsid w:val="54F80955"/>
    <w:rsid w:val="55062E8C"/>
    <w:rsid w:val="55265C79"/>
    <w:rsid w:val="55336848"/>
    <w:rsid w:val="55384597"/>
    <w:rsid w:val="554759DC"/>
    <w:rsid w:val="555170A7"/>
    <w:rsid w:val="5552317F"/>
    <w:rsid w:val="55562C6F"/>
    <w:rsid w:val="5577364B"/>
    <w:rsid w:val="5587536D"/>
    <w:rsid w:val="558D0993"/>
    <w:rsid w:val="559B174B"/>
    <w:rsid w:val="55AB3795"/>
    <w:rsid w:val="55C71477"/>
    <w:rsid w:val="55C93441"/>
    <w:rsid w:val="55C94ECA"/>
    <w:rsid w:val="55CE0CF4"/>
    <w:rsid w:val="56222B52"/>
    <w:rsid w:val="562567D5"/>
    <w:rsid w:val="56335103"/>
    <w:rsid w:val="563D2F6F"/>
    <w:rsid w:val="563F54B2"/>
    <w:rsid w:val="565507AA"/>
    <w:rsid w:val="565E3988"/>
    <w:rsid w:val="56702942"/>
    <w:rsid w:val="56777369"/>
    <w:rsid w:val="56B22A9C"/>
    <w:rsid w:val="56BE4E46"/>
    <w:rsid w:val="56CF2477"/>
    <w:rsid w:val="56DC53F6"/>
    <w:rsid w:val="56E20D30"/>
    <w:rsid w:val="56F31E12"/>
    <w:rsid w:val="570C3EBD"/>
    <w:rsid w:val="57145D16"/>
    <w:rsid w:val="571F4D7B"/>
    <w:rsid w:val="572528F9"/>
    <w:rsid w:val="57407733"/>
    <w:rsid w:val="578F2469"/>
    <w:rsid w:val="57942842"/>
    <w:rsid w:val="57A06E77"/>
    <w:rsid w:val="57B72A76"/>
    <w:rsid w:val="57C3426C"/>
    <w:rsid w:val="57CE1F93"/>
    <w:rsid w:val="57E427B4"/>
    <w:rsid w:val="581A4428"/>
    <w:rsid w:val="583F3106"/>
    <w:rsid w:val="584119B5"/>
    <w:rsid w:val="586E207E"/>
    <w:rsid w:val="587161B0"/>
    <w:rsid w:val="58847C24"/>
    <w:rsid w:val="588743D1"/>
    <w:rsid w:val="5887701A"/>
    <w:rsid w:val="588D381D"/>
    <w:rsid w:val="589757AA"/>
    <w:rsid w:val="58A10ACF"/>
    <w:rsid w:val="58B73DC1"/>
    <w:rsid w:val="58C12888"/>
    <w:rsid w:val="58C63C68"/>
    <w:rsid w:val="58DC16DE"/>
    <w:rsid w:val="58F032D5"/>
    <w:rsid w:val="593607A0"/>
    <w:rsid w:val="594A606D"/>
    <w:rsid w:val="594C6FBE"/>
    <w:rsid w:val="5958305D"/>
    <w:rsid w:val="595C5D13"/>
    <w:rsid w:val="596D5B5B"/>
    <w:rsid w:val="5987789B"/>
    <w:rsid w:val="59BC3650"/>
    <w:rsid w:val="59C0439F"/>
    <w:rsid w:val="59C22CCB"/>
    <w:rsid w:val="59E83700"/>
    <w:rsid w:val="5A0F7891"/>
    <w:rsid w:val="5A1355AD"/>
    <w:rsid w:val="5A1B1075"/>
    <w:rsid w:val="5A1C69C7"/>
    <w:rsid w:val="5A272E2C"/>
    <w:rsid w:val="5A6000FF"/>
    <w:rsid w:val="5A65028D"/>
    <w:rsid w:val="5AA1673B"/>
    <w:rsid w:val="5ABE2233"/>
    <w:rsid w:val="5B3E042E"/>
    <w:rsid w:val="5B3E2433"/>
    <w:rsid w:val="5B4F06F1"/>
    <w:rsid w:val="5B503DD7"/>
    <w:rsid w:val="5B55448D"/>
    <w:rsid w:val="5B6E1818"/>
    <w:rsid w:val="5B7420A1"/>
    <w:rsid w:val="5B7778C5"/>
    <w:rsid w:val="5B7831A0"/>
    <w:rsid w:val="5B92387E"/>
    <w:rsid w:val="5B98782B"/>
    <w:rsid w:val="5BC326E1"/>
    <w:rsid w:val="5BD90156"/>
    <w:rsid w:val="5BDF5D95"/>
    <w:rsid w:val="5BE014E5"/>
    <w:rsid w:val="5BE567FE"/>
    <w:rsid w:val="5BEF0AD5"/>
    <w:rsid w:val="5BFE7528"/>
    <w:rsid w:val="5C077768"/>
    <w:rsid w:val="5C084598"/>
    <w:rsid w:val="5C0950BC"/>
    <w:rsid w:val="5C0C620E"/>
    <w:rsid w:val="5C106BDC"/>
    <w:rsid w:val="5C33310A"/>
    <w:rsid w:val="5C404E75"/>
    <w:rsid w:val="5C4F1EE2"/>
    <w:rsid w:val="5C55127E"/>
    <w:rsid w:val="5C7B745F"/>
    <w:rsid w:val="5C7E18D1"/>
    <w:rsid w:val="5C821FD1"/>
    <w:rsid w:val="5CAE3391"/>
    <w:rsid w:val="5CB84210"/>
    <w:rsid w:val="5CC05F06"/>
    <w:rsid w:val="5CCA2BCC"/>
    <w:rsid w:val="5CE96189"/>
    <w:rsid w:val="5CEC42B8"/>
    <w:rsid w:val="5CEE2365"/>
    <w:rsid w:val="5D042FB1"/>
    <w:rsid w:val="5D20168E"/>
    <w:rsid w:val="5D242968"/>
    <w:rsid w:val="5D417D61"/>
    <w:rsid w:val="5D577585"/>
    <w:rsid w:val="5D5F6439"/>
    <w:rsid w:val="5D953B1E"/>
    <w:rsid w:val="5DA16A52"/>
    <w:rsid w:val="5DAD58E4"/>
    <w:rsid w:val="5DC82230"/>
    <w:rsid w:val="5DD75757"/>
    <w:rsid w:val="5DE57D80"/>
    <w:rsid w:val="5DF66D9E"/>
    <w:rsid w:val="5DFE05C1"/>
    <w:rsid w:val="5E176D14"/>
    <w:rsid w:val="5E1F48EC"/>
    <w:rsid w:val="5E2467F1"/>
    <w:rsid w:val="5E340A9B"/>
    <w:rsid w:val="5E343D6A"/>
    <w:rsid w:val="5E3B1140"/>
    <w:rsid w:val="5E4C6E73"/>
    <w:rsid w:val="5E843541"/>
    <w:rsid w:val="5E8545C5"/>
    <w:rsid w:val="5EAE58CA"/>
    <w:rsid w:val="5EAE7F91"/>
    <w:rsid w:val="5EB87A15"/>
    <w:rsid w:val="5EE70DDC"/>
    <w:rsid w:val="5EF54F49"/>
    <w:rsid w:val="5F10742C"/>
    <w:rsid w:val="5F1204B3"/>
    <w:rsid w:val="5F13572D"/>
    <w:rsid w:val="5F1954E8"/>
    <w:rsid w:val="5F1A2B43"/>
    <w:rsid w:val="5F1A6ABC"/>
    <w:rsid w:val="5F2659B9"/>
    <w:rsid w:val="5F473629"/>
    <w:rsid w:val="5F4A5A5A"/>
    <w:rsid w:val="5F5304BC"/>
    <w:rsid w:val="5F540DE6"/>
    <w:rsid w:val="5F5B7134"/>
    <w:rsid w:val="5F5C70D4"/>
    <w:rsid w:val="5F5E202D"/>
    <w:rsid w:val="5F5F6BC4"/>
    <w:rsid w:val="5F6661A5"/>
    <w:rsid w:val="5F6669D5"/>
    <w:rsid w:val="5F83500A"/>
    <w:rsid w:val="5F8F6006"/>
    <w:rsid w:val="5F9C174D"/>
    <w:rsid w:val="5F9F3570"/>
    <w:rsid w:val="5FA10F8B"/>
    <w:rsid w:val="5FA466C7"/>
    <w:rsid w:val="5FB837BB"/>
    <w:rsid w:val="5FC6342F"/>
    <w:rsid w:val="5FD96BCD"/>
    <w:rsid w:val="5FE175D9"/>
    <w:rsid w:val="600A739C"/>
    <w:rsid w:val="60193217"/>
    <w:rsid w:val="601B2F10"/>
    <w:rsid w:val="603D5158"/>
    <w:rsid w:val="6045400C"/>
    <w:rsid w:val="60980C3C"/>
    <w:rsid w:val="60AB4A2A"/>
    <w:rsid w:val="60B43540"/>
    <w:rsid w:val="60C969EB"/>
    <w:rsid w:val="60CC405A"/>
    <w:rsid w:val="60DB227B"/>
    <w:rsid w:val="60E5664F"/>
    <w:rsid w:val="60E732E5"/>
    <w:rsid w:val="60EC6236"/>
    <w:rsid w:val="60FD48E7"/>
    <w:rsid w:val="61021A6A"/>
    <w:rsid w:val="612B4288"/>
    <w:rsid w:val="613000FF"/>
    <w:rsid w:val="6131633F"/>
    <w:rsid w:val="613F280A"/>
    <w:rsid w:val="614620E8"/>
    <w:rsid w:val="616109D2"/>
    <w:rsid w:val="616218C1"/>
    <w:rsid w:val="6171498D"/>
    <w:rsid w:val="617410CB"/>
    <w:rsid w:val="6175447D"/>
    <w:rsid w:val="61BD7BD2"/>
    <w:rsid w:val="61D94A0C"/>
    <w:rsid w:val="61E215D8"/>
    <w:rsid w:val="61E34544"/>
    <w:rsid w:val="61F1683F"/>
    <w:rsid w:val="620C0E5A"/>
    <w:rsid w:val="620F042E"/>
    <w:rsid w:val="621243C2"/>
    <w:rsid w:val="62145A44"/>
    <w:rsid w:val="621B3775"/>
    <w:rsid w:val="622978A0"/>
    <w:rsid w:val="62364782"/>
    <w:rsid w:val="625579CD"/>
    <w:rsid w:val="62720823"/>
    <w:rsid w:val="628D3513"/>
    <w:rsid w:val="62C85CBA"/>
    <w:rsid w:val="62D45EE4"/>
    <w:rsid w:val="62F03CDA"/>
    <w:rsid w:val="62F42E50"/>
    <w:rsid w:val="62FC3808"/>
    <w:rsid w:val="62FE04A2"/>
    <w:rsid w:val="63107C88"/>
    <w:rsid w:val="631754A0"/>
    <w:rsid w:val="632B7904"/>
    <w:rsid w:val="636E3972"/>
    <w:rsid w:val="638D713D"/>
    <w:rsid w:val="6394356A"/>
    <w:rsid w:val="63AF74DC"/>
    <w:rsid w:val="63BE3C68"/>
    <w:rsid w:val="63C61514"/>
    <w:rsid w:val="63C61B2C"/>
    <w:rsid w:val="63CA5126"/>
    <w:rsid w:val="63CC48E1"/>
    <w:rsid w:val="63CD67F3"/>
    <w:rsid w:val="63D40BE9"/>
    <w:rsid w:val="63E33F1E"/>
    <w:rsid w:val="64102431"/>
    <w:rsid w:val="641C3AB9"/>
    <w:rsid w:val="647E1DF0"/>
    <w:rsid w:val="648275DD"/>
    <w:rsid w:val="64933691"/>
    <w:rsid w:val="64A5243A"/>
    <w:rsid w:val="64AB1015"/>
    <w:rsid w:val="64AB7555"/>
    <w:rsid w:val="64F531DE"/>
    <w:rsid w:val="65256CF4"/>
    <w:rsid w:val="65293EFC"/>
    <w:rsid w:val="65341166"/>
    <w:rsid w:val="653603C7"/>
    <w:rsid w:val="65373578"/>
    <w:rsid w:val="653B2028"/>
    <w:rsid w:val="654725D5"/>
    <w:rsid w:val="65662279"/>
    <w:rsid w:val="657C42CB"/>
    <w:rsid w:val="65844519"/>
    <w:rsid w:val="65B25CA0"/>
    <w:rsid w:val="65E41BD1"/>
    <w:rsid w:val="65ED32F4"/>
    <w:rsid w:val="66011D42"/>
    <w:rsid w:val="66014531"/>
    <w:rsid w:val="661B69F8"/>
    <w:rsid w:val="662E109F"/>
    <w:rsid w:val="6652329A"/>
    <w:rsid w:val="665B137A"/>
    <w:rsid w:val="667C191E"/>
    <w:rsid w:val="668B64F1"/>
    <w:rsid w:val="66961DF9"/>
    <w:rsid w:val="66C93E31"/>
    <w:rsid w:val="66D24120"/>
    <w:rsid w:val="66D25DE8"/>
    <w:rsid w:val="66DE08A2"/>
    <w:rsid w:val="66F57DCC"/>
    <w:rsid w:val="66F75934"/>
    <w:rsid w:val="66F9345B"/>
    <w:rsid w:val="671F124A"/>
    <w:rsid w:val="6721416D"/>
    <w:rsid w:val="673B4152"/>
    <w:rsid w:val="675A65EF"/>
    <w:rsid w:val="676C00D0"/>
    <w:rsid w:val="677A33C6"/>
    <w:rsid w:val="67896003"/>
    <w:rsid w:val="679022BB"/>
    <w:rsid w:val="67A535E2"/>
    <w:rsid w:val="67C1412C"/>
    <w:rsid w:val="67D77DDB"/>
    <w:rsid w:val="67F646BC"/>
    <w:rsid w:val="681E586F"/>
    <w:rsid w:val="681F6961"/>
    <w:rsid w:val="68294213"/>
    <w:rsid w:val="6835041A"/>
    <w:rsid w:val="683D585C"/>
    <w:rsid w:val="684B2DCF"/>
    <w:rsid w:val="684C30EC"/>
    <w:rsid w:val="684D5747"/>
    <w:rsid w:val="685F376B"/>
    <w:rsid w:val="68610A2F"/>
    <w:rsid w:val="686C332C"/>
    <w:rsid w:val="68784853"/>
    <w:rsid w:val="68784DF5"/>
    <w:rsid w:val="68805514"/>
    <w:rsid w:val="68912175"/>
    <w:rsid w:val="689A2F0D"/>
    <w:rsid w:val="68B63CF9"/>
    <w:rsid w:val="68D64F8C"/>
    <w:rsid w:val="68E54CA7"/>
    <w:rsid w:val="69201566"/>
    <w:rsid w:val="69316E2F"/>
    <w:rsid w:val="693469CC"/>
    <w:rsid w:val="693D7F76"/>
    <w:rsid w:val="694D7E21"/>
    <w:rsid w:val="694E2071"/>
    <w:rsid w:val="69563783"/>
    <w:rsid w:val="69766163"/>
    <w:rsid w:val="69790E61"/>
    <w:rsid w:val="697A3B33"/>
    <w:rsid w:val="69A00191"/>
    <w:rsid w:val="69A00505"/>
    <w:rsid w:val="69A33861"/>
    <w:rsid w:val="69A61CD6"/>
    <w:rsid w:val="69B319F0"/>
    <w:rsid w:val="69C60CDF"/>
    <w:rsid w:val="69C67F6C"/>
    <w:rsid w:val="69D23EA8"/>
    <w:rsid w:val="69D44760"/>
    <w:rsid w:val="69DA7573"/>
    <w:rsid w:val="69E14DA6"/>
    <w:rsid w:val="69E20B1E"/>
    <w:rsid w:val="69E30B48"/>
    <w:rsid w:val="69E71F70"/>
    <w:rsid w:val="69E95A08"/>
    <w:rsid w:val="69F36887"/>
    <w:rsid w:val="6A154A4F"/>
    <w:rsid w:val="6A3F291E"/>
    <w:rsid w:val="6A41142C"/>
    <w:rsid w:val="6A42067F"/>
    <w:rsid w:val="6A520EC7"/>
    <w:rsid w:val="6A634931"/>
    <w:rsid w:val="6A69621B"/>
    <w:rsid w:val="6A774588"/>
    <w:rsid w:val="6A8A71EB"/>
    <w:rsid w:val="6A933A7C"/>
    <w:rsid w:val="6AAA117D"/>
    <w:rsid w:val="6AAB53B4"/>
    <w:rsid w:val="6ABC136F"/>
    <w:rsid w:val="6ABE0C43"/>
    <w:rsid w:val="6ABF5E1C"/>
    <w:rsid w:val="6AC040FE"/>
    <w:rsid w:val="6ACC40D6"/>
    <w:rsid w:val="6ACD532A"/>
    <w:rsid w:val="6AD00976"/>
    <w:rsid w:val="6AD8193A"/>
    <w:rsid w:val="6ADB7A47"/>
    <w:rsid w:val="6AE24E6C"/>
    <w:rsid w:val="6AEB7D9D"/>
    <w:rsid w:val="6AF208ED"/>
    <w:rsid w:val="6AF87E20"/>
    <w:rsid w:val="6AFE328E"/>
    <w:rsid w:val="6B1116BB"/>
    <w:rsid w:val="6B146AE8"/>
    <w:rsid w:val="6B2C02A3"/>
    <w:rsid w:val="6B322639"/>
    <w:rsid w:val="6B463DB3"/>
    <w:rsid w:val="6B681DC7"/>
    <w:rsid w:val="6B686E01"/>
    <w:rsid w:val="6B7439F8"/>
    <w:rsid w:val="6B752D24"/>
    <w:rsid w:val="6B9D4848"/>
    <w:rsid w:val="6BA06CAA"/>
    <w:rsid w:val="6BE741CA"/>
    <w:rsid w:val="6BEC358E"/>
    <w:rsid w:val="6BF608B1"/>
    <w:rsid w:val="6C0E3F0D"/>
    <w:rsid w:val="6C1D5354"/>
    <w:rsid w:val="6C296590"/>
    <w:rsid w:val="6C2F0185"/>
    <w:rsid w:val="6C3524CA"/>
    <w:rsid w:val="6C4070D4"/>
    <w:rsid w:val="6C450EF0"/>
    <w:rsid w:val="6C4D580A"/>
    <w:rsid w:val="6C506213"/>
    <w:rsid w:val="6C5F0204"/>
    <w:rsid w:val="6C636C38"/>
    <w:rsid w:val="6C6A2BC9"/>
    <w:rsid w:val="6C924135"/>
    <w:rsid w:val="6CA42BEA"/>
    <w:rsid w:val="6CB24EA6"/>
    <w:rsid w:val="6CB25732"/>
    <w:rsid w:val="6CD75FEC"/>
    <w:rsid w:val="6CE34737"/>
    <w:rsid w:val="6D013069"/>
    <w:rsid w:val="6D0E5786"/>
    <w:rsid w:val="6D120761"/>
    <w:rsid w:val="6D24648A"/>
    <w:rsid w:val="6D367A39"/>
    <w:rsid w:val="6D593B65"/>
    <w:rsid w:val="6D607349"/>
    <w:rsid w:val="6D6261FE"/>
    <w:rsid w:val="6D77332B"/>
    <w:rsid w:val="6D7C6B93"/>
    <w:rsid w:val="6D7F6FE9"/>
    <w:rsid w:val="6D8952C5"/>
    <w:rsid w:val="6D9D5359"/>
    <w:rsid w:val="6DA82AEB"/>
    <w:rsid w:val="6DB34098"/>
    <w:rsid w:val="6DB545B6"/>
    <w:rsid w:val="6DDB620D"/>
    <w:rsid w:val="6DE02FB4"/>
    <w:rsid w:val="6DE2733E"/>
    <w:rsid w:val="6DE36C13"/>
    <w:rsid w:val="6DE50BDD"/>
    <w:rsid w:val="6DE85FD7"/>
    <w:rsid w:val="6E3B6AE9"/>
    <w:rsid w:val="6E3F209B"/>
    <w:rsid w:val="6E4678CD"/>
    <w:rsid w:val="6E4771A1"/>
    <w:rsid w:val="6E514CED"/>
    <w:rsid w:val="6E617612"/>
    <w:rsid w:val="6E6E3A97"/>
    <w:rsid w:val="6E8403F6"/>
    <w:rsid w:val="6E8C6A32"/>
    <w:rsid w:val="6E901F7B"/>
    <w:rsid w:val="6EB14D27"/>
    <w:rsid w:val="6EB563D5"/>
    <w:rsid w:val="6EC72090"/>
    <w:rsid w:val="6ED270F4"/>
    <w:rsid w:val="6ED46AFA"/>
    <w:rsid w:val="6ED92677"/>
    <w:rsid w:val="6EDA0016"/>
    <w:rsid w:val="6EE5454F"/>
    <w:rsid w:val="6EF5577E"/>
    <w:rsid w:val="6F12155D"/>
    <w:rsid w:val="6F1C418A"/>
    <w:rsid w:val="6F1F535B"/>
    <w:rsid w:val="6F225983"/>
    <w:rsid w:val="6F44783F"/>
    <w:rsid w:val="6F57654F"/>
    <w:rsid w:val="6F637089"/>
    <w:rsid w:val="6F6C6F01"/>
    <w:rsid w:val="6F765B87"/>
    <w:rsid w:val="6F7903AB"/>
    <w:rsid w:val="6F7945FE"/>
    <w:rsid w:val="6F887A72"/>
    <w:rsid w:val="6FA50623"/>
    <w:rsid w:val="6FAD37BA"/>
    <w:rsid w:val="6FBB18F6"/>
    <w:rsid w:val="6FFC5590"/>
    <w:rsid w:val="6FFE0A75"/>
    <w:rsid w:val="70180DF5"/>
    <w:rsid w:val="701E3F32"/>
    <w:rsid w:val="70281CF1"/>
    <w:rsid w:val="7034314D"/>
    <w:rsid w:val="7056082F"/>
    <w:rsid w:val="7063448F"/>
    <w:rsid w:val="70671D7D"/>
    <w:rsid w:val="706D1DD0"/>
    <w:rsid w:val="70730722"/>
    <w:rsid w:val="707D5088"/>
    <w:rsid w:val="7080244B"/>
    <w:rsid w:val="70856B87"/>
    <w:rsid w:val="708C533F"/>
    <w:rsid w:val="70963F46"/>
    <w:rsid w:val="709661BE"/>
    <w:rsid w:val="70985D9B"/>
    <w:rsid w:val="70A72179"/>
    <w:rsid w:val="70B825D8"/>
    <w:rsid w:val="70BB66F0"/>
    <w:rsid w:val="70CF0326"/>
    <w:rsid w:val="70D527EE"/>
    <w:rsid w:val="70D72A5F"/>
    <w:rsid w:val="70F27898"/>
    <w:rsid w:val="70F829D5"/>
    <w:rsid w:val="71031120"/>
    <w:rsid w:val="71175551"/>
    <w:rsid w:val="711E068D"/>
    <w:rsid w:val="71423F1E"/>
    <w:rsid w:val="71463E34"/>
    <w:rsid w:val="714B199E"/>
    <w:rsid w:val="715B5300"/>
    <w:rsid w:val="715E6CDC"/>
    <w:rsid w:val="7169440B"/>
    <w:rsid w:val="716F2314"/>
    <w:rsid w:val="71926986"/>
    <w:rsid w:val="71C32FE3"/>
    <w:rsid w:val="71D27F8A"/>
    <w:rsid w:val="72053E3A"/>
    <w:rsid w:val="720C087B"/>
    <w:rsid w:val="72347739"/>
    <w:rsid w:val="723A7B77"/>
    <w:rsid w:val="72553024"/>
    <w:rsid w:val="726063F0"/>
    <w:rsid w:val="72941455"/>
    <w:rsid w:val="72AE452F"/>
    <w:rsid w:val="72C72505"/>
    <w:rsid w:val="72C76B03"/>
    <w:rsid w:val="72CC236B"/>
    <w:rsid w:val="72F773E8"/>
    <w:rsid w:val="73122968"/>
    <w:rsid w:val="731F5D5E"/>
    <w:rsid w:val="73257B3E"/>
    <w:rsid w:val="736305DA"/>
    <w:rsid w:val="7367064C"/>
    <w:rsid w:val="73776343"/>
    <w:rsid w:val="73912164"/>
    <w:rsid w:val="73A806E2"/>
    <w:rsid w:val="73C51AD5"/>
    <w:rsid w:val="73D43285"/>
    <w:rsid w:val="73F26801"/>
    <w:rsid w:val="74083CF1"/>
    <w:rsid w:val="741E793C"/>
    <w:rsid w:val="742003C3"/>
    <w:rsid w:val="74252D9B"/>
    <w:rsid w:val="743401C8"/>
    <w:rsid w:val="745A6B1B"/>
    <w:rsid w:val="745D14CD"/>
    <w:rsid w:val="745E3944"/>
    <w:rsid w:val="74604A75"/>
    <w:rsid w:val="74651E97"/>
    <w:rsid w:val="74AB55FA"/>
    <w:rsid w:val="74B66881"/>
    <w:rsid w:val="74D2065A"/>
    <w:rsid w:val="74E742E3"/>
    <w:rsid w:val="74F040EF"/>
    <w:rsid w:val="74F82FA3"/>
    <w:rsid w:val="75074650"/>
    <w:rsid w:val="75104791"/>
    <w:rsid w:val="75202239"/>
    <w:rsid w:val="75237638"/>
    <w:rsid w:val="7533254A"/>
    <w:rsid w:val="753366D1"/>
    <w:rsid w:val="75344382"/>
    <w:rsid w:val="753F56DE"/>
    <w:rsid w:val="75530294"/>
    <w:rsid w:val="755521A4"/>
    <w:rsid w:val="75596138"/>
    <w:rsid w:val="759929D8"/>
    <w:rsid w:val="759E0D5A"/>
    <w:rsid w:val="75C37A55"/>
    <w:rsid w:val="75DF53EF"/>
    <w:rsid w:val="75EB0D5A"/>
    <w:rsid w:val="75F45E61"/>
    <w:rsid w:val="75F776FF"/>
    <w:rsid w:val="7602573E"/>
    <w:rsid w:val="7635099D"/>
    <w:rsid w:val="76373F9F"/>
    <w:rsid w:val="76571F4C"/>
    <w:rsid w:val="76592168"/>
    <w:rsid w:val="76911902"/>
    <w:rsid w:val="76963D08"/>
    <w:rsid w:val="769E73E4"/>
    <w:rsid w:val="76AB15DA"/>
    <w:rsid w:val="76AF247D"/>
    <w:rsid w:val="76BB697E"/>
    <w:rsid w:val="76BC3BA1"/>
    <w:rsid w:val="76C03C38"/>
    <w:rsid w:val="76C05D43"/>
    <w:rsid w:val="76DD06A3"/>
    <w:rsid w:val="7734348A"/>
    <w:rsid w:val="773651D5"/>
    <w:rsid w:val="775053AE"/>
    <w:rsid w:val="775C1463"/>
    <w:rsid w:val="77645157"/>
    <w:rsid w:val="77660698"/>
    <w:rsid w:val="776F2862"/>
    <w:rsid w:val="77762421"/>
    <w:rsid w:val="778C41B1"/>
    <w:rsid w:val="778E4093"/>
    <w:rsid w:val="7791148D"/>
    <w:rsid w:val="779F4D6D"/>
    <w:rsid w:val="77A85521"/>
    <w:rsid w:val="77B56B1F"/>
    <w:rsid w:val="77C20A33"/>
    <w:rsid w:val="77C60CA0"/>
    <w:rsid w:val="78052EC4"/>
    <w:rsid w:val="7806508A"/>
    <w:rsid w:val="780F09F4"/>
    <w:rsid w:val="78213C25"/>
    <w:rsid w:val="782151C7"/>
    <w:rsid w:val="78270DFC"/>
    <w:rsid w:val="784F64FB"/>
    <w:rsid w:val="78615304"/>
    <w:rsid w:val="786660F9"/>
    <w:rsid w:val="788F1E71"/>
    <w:rsid w:val="78A90480"/>
    <w:rsid w:val="78B13B95"/>
    <w:rsid w:val="78B813C8"/>
    <w:rsid w:val="78BA32A4"/>
    <w:rsid w:val="78BB0EB8"/>
    <w:rsid w:val="78DD2BDC"/>
    <w:rsid w:val="791C2882"/>
    <w:rsid w:val="79241437"/>
    <w:rsid w:val="7927659A"/>
    <w:rsid w:val="792841C7"/>
    <w:rsid w:val="794C1B10"/>
    <w:rsid w:val="794D70AD"/>
    <w:rsid w:val="7967694A"/>
    <w:rsid w:val="797057FE"/>
    <w:rsid w:val="79741F82"/>
    <w:rsid w:val="797F5A41"/>
    <w:rsid w:val="798D30A2"/>
    <w:rsid w:val="79B20979"/>
    <w:rsid w:val="79BE003B"/>
    <w:rsid w:val="79CA2AAF"/>
    <w:rsid w:val="79D25AA5"/>
    <w:rsid w:val="79D54EF4"/>
    <w:rsid w:val="79E41D48"/>
    <w:rsid w:val="7A0052CF"/>
    <w:rsid w:val="7A0348D0"/>
    <w:rsid w:val="7A04063C"/>
    <w:rsid w:val="7A170370"/>
    <w:rsid w:val="7A17211E"/>
    <w:rsid w:val="7A1820BF"/>
    <w:rsid w:val="7A2860D9"/>
    <w:rsid w:val="7A316FC1"/>
    <w:rsid w:val="7A364017"/>
    <w:rsid w:val="7A5E7D4D"/>
    <w:rsid w:val="7A8265E1"/>
    <w:rsid w:val="7A8B6668"/>
    <w:rsid w:val="7AA00365"/>
    <w:rsid w:val="7AE75F94"/>
    <w:rsid w:val="7AF43E3F"/>
    <w:rsid w:val="7B007056"/>
    <w:rsid w:val="7B1F5E6F"/>
    <w:rsid w:val="7B21178E"/>
    <w:rsid w:val="7B22521E"/>
    <w:rsid w:val="7B4C1D99"/>
    <w:rsid w:val="7B5257E0"/>
    <w:rsid w:val="7B686D42"/>
    <w:rsid w:val="7B771530"/>
    <w:rsid w:val="7B841746"/>
    <w:rsid w:val="7B9E242C"/>
    <w:rsid w:val="7BA06143"/>
    <w:rsid w:val="7BA36908"/>
    <w:rsid w:val="7BB87930"/>
    <w:rsid w:val="7BB90814"/>
    <w:rsid w:val="7BE61DA8"/>
    <w:rsid w:val="7BF74753"/>
    <w:rsid w:val="7BFC3D53"/>
    <w:rsid w:val="7C016A0E"/>
    <w:rsid w:val="7C0641F8"/>
    <w:rsid w:val="7C107BCA"/>
    <w:rsid w:val="7C3E2849"/>
    <w:rsid w:val="7C3E38ED"/>
    <w:rsid w:val="7C5D3714"/>
    <w:rsid w:val="7C6C5AC7"/>
    <w:rsid w:val="7C7302D4"/>
    <w:rsid w:val="7C765821"/>
    <w:rsid w:val="7CAA54CB"/>
    <w:rsid w:val="7CC01069"/>
    <w:rsid w:val="7CC320EC"/>
    <w:rsid w:val="7CC6544B"/>
    <w:rsid w:val="7CCF0AFC"/>
    <w:rsid w:val="7CF81778"/>
    <w:rsid w:val="7D0239FF"/>
    <w:rsid w:val="7D053E64"/>
    <w:rsid w:val="7D1B0177"/>
    <w:rsid w:val="7D3C79DA"/>
    <w:rsid w:val="7D553C43"/>
    <w:rsid w:val="7D555CF7"/>
    <w:rsid w:val="7D5E40CD"/>
    <w:rsid w:val="7D6513F2"/>
    <w:rsid w:val="7D6C2781"/>
    <w:rsid w:val="7D7C298F"/>
    <w:rsid w:val="7D823D52"/>
    <w:rsid w:val="7D8E6B9B"/>
    <w:rsid w:val="7DA74646"/>
    <w:rsid w:val="7DA87115"/>
    <w:rsid w:val="7DB12889"/>
    <w:rsid w:val="7DB432C4"/>
    <w:rsid w:val="7DC21EF7"/>
    <w:rsid w:val="7DC611B9"/>
    <w:rsid w:val="7DCD56F2"/>
    <w:rsid w:val="7DCE585F"/>
    <w:rsid w:val="7E0E34A7"/>
    <w:rsid w:val="7E1E2B8B"/>
    <w:rsid w:val="7E350DC4"/>
    <w:rsid w:val="7E372D8F"/>
    <w:rsid w:val="7E3F39F1"/>
    <w:rsid w:val="7E3F5A50"/>
    <w:rsid w:val="7E4F049B"/>
    <w:rsid w:val="7E5C27F5"/>
    <w:rsid w:val="7E5D031B"/>
    <w:rsid w:val="7E6914D9"/>
    <w:rsid w:val="7E7E169C"/>
    <w:rsid w:val="7E7E6C0F"/>
    <w:rsid w:val="7E8D4CAE"/>
    <w:rsid w:val="7EBA64E2"/>
    <w:rsid w:val="7EC562F5"/>
    <w:rsid w:val="7EDD02BA"/>
    <w:rsid w:val="7EE747B5"/>
    <w:rsid w:val="7EEE4C00"/>
    <w:rsid w:val="7EFB0406"/>
    <w:rsid w:val="7F001CE7"/>
    <w:rsid w:val="7F104172"/>
    <w:rsid w:val="7F142B41"/>
    <w:rsid w:val="7F264BB1"/>
    <w:rsid w:val="7F3217A8"/>
    <w:rsid w:val="7F3D7EE3"/>
    <w:rsid w:val="7F4F5EB6"/>
    <w:rsid w:val="7F7678E7"/>
    <w:rsid w:val="7F806259"/>
    <w:rsid w:val="7FB1091F"/>
    <w:rsid w:val="7FB37227"/>
    <w:rsid w:val="7FBC5DE7"/>
    <w:rsid w:val="7FC93370"/>
    <w:rsid w:val="7FE47E50"/>
    <w:rsid w:val="7FF86BA7"/>
    <w:rsid w:val="7FFD591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qFormat="1" w:uiPriority="39"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qFormat="1" w:unhideWhenUsed="0" w:uiPriority="0" w:semiHidden="0" w:name="Salutation" w:locked="1"/>
    <w:lsdException w:qFormat="1" w:unhideWhenUsed="0" w:uiPriority="0" w:semiHidden="0" w:name="Date"/>
    <w:lsdException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ocked="1"/>
    <w:lsdException w:unhideWhenUsed="0" w:uiPriority="0" w:semiHidden="0" w:name="Body Text Indent 3" w:locked="1"/>
    <w:lsdException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3">
    <w:name w:val="annotation text"/>
    <w:basedOn w:val="1"/>
    <w:link w:val="25"/>
    <w:semiHidden/>
    <w:qFormat/>
    <w:uiPriority w:val="0"/>
    <w:pPr>
      <w:jc w:val="left"/>
    </w:pPr>
    <w:rPr>
      <w:kern w:val="0"/>
      <w:sz w:val="24"/>
      <w:szCs w:val="20"/>
    </w:rPr>
  </w:style>
  <w:style w:type="paragraph" w:styleId="4">
    <w:name w:val="Salutation"/>
    <w:basedOn w:val="1"/>
    <w:next w:val="1"/>
    <w:qFormat/>
    <w:locked/>
    <w:uiPriority w:val="0"/>
  </w:style>
  <w:style w:type="paragraph" w:styleId="5">
    <w:name w:val="Body Text"/>
    <w:basedOn w:val="1"/>
    <w:next w:val="6"/>
    <w:link w:val="26"/>
    <w:qFormat/>
    <w:uiPriority w:val="0"/>
    <w:pPr>
      <w:widowControl/>
      <w:snapToGrid w:val="0"/>
      <w:spacing w:before="60" w:after="160" w:line="259" w:lineRule="auto"/>
      <w:ind w:right="113"/>
    </w:pPr>
    <w:rPr>
      <w:kern w:val="0"/>
      <w:sz w:val="18"/>
      <w:szCs w:val="20"/>
    </w:rPr>
  </w:style>
  <w:style w:type="paragraph" w:customStyle="1" w:styleId="6">
    <w:name w:val="Normal (Web)1"/>
    <w:basedOn w:val="1"/>
    <w:next w:val="7"/>
    <w:qFormat/>
    <w:uiPriority w:val="0"/>
    <w:pPr>
      <w:widowControl/>
      <w:jc w:val="left"/>
    </w:pPr>
    <w:rPr>
      <w:rFonts w:ascii="宋体"/>
      <w:kern w:val="0"/>
      <w:sz w:val="24"/>
      <w:szCs w:val="21"/>
    </w:rPr>
  </w:style>
  <w:style w:type="paragraph" w:customStyle="1" w:styleId="7">
    <w:name w:val="Date1"/>
    <w:basedOn w:val="1"/>
    <w:next w:val="1"/>
    <w:qFormat/>
    <w:uiPriority w:val="0"/>
    <w:pPr>
      <w:ind w:left="2500" w:leftChars="2500"/>
    </w:pPr>
  </w:style>
  <w:style w:type="paragraph" w:styleId="8">
    <w:name w:val="Body Text Indent"/>
    <w:basedOn w:val="1"/>
    <w:link w:val="27"/>
    <w:qFormat/>
    <w:uiPriority w:val="0"/>
    <w:pPr>
      <w:spacing w:after="120"/>
      <w:ind w:left="420" w:leftChars="200"/>
    </w:pPr>
    <w:rPr>
      <w:kern w:val="0"/>
      <w:sz w:val="24"/>
      <w:szCs w:val="20"/>
    </w:rPr>
  </w:style>
  <w:style w:type="paragraph" w:styleId="9">
    <w:name w:val="Plain Text"/>
    <w:basedOn w:val="1"/>
    <w:next w:val="4"/>
    <w:unhideWhenUsed/>
    <w:qFormat/>
    <w:locked/>
    <w:uiPriority w:val="0"/>
    <w:rPr>
      <w:rFonts w:ascii="宋体" w:hAnsi="Courier New" w:cs="Courier New"/>
      <w:szCs w:val="21"/>
    </w:rPr>
  </w:style>
  <w:style w:type="paragraph" w:styleId="10">
    <w:name w:val="Date"/>
    <w:basedOn w:val="1"/>
    <w:next w:val="1"/>
    <w:link w:val="28"/>
    <w:qFormat/>
    <w:uiPriority w:val="0"/>
    <w:pPr>
      <w:ind w:left="100" w:leftChars="2500"/>
    </w:pPr>
    <w:rPr>
      <w:kern w:val="0"/>
      <w:sz w:val="24"/>
      <w:szCs w:val="20"/>
    </w:rPr>
  </w:style>
  <w:style w:type="paragraph" w:styleId="11">
    <w:name w:val="Body Text Indent 2"/>
    <w:basedOn w:val="1"/>
    <w:qFormat/>
    <w:locked/>
    <w:uiPriority w:val="0"/>
    <w:pPr>
      <w:framePr w:hSpace="180" w:wrap="around" w:vAnchor="text" w:hAnchor="margin" w:y="628"/>
      <w:spacing w:before="156" w:beforeLines="50" w:after="156" w:afterLines="50" w:line="360" w:lineRule="auto"/>
      <w:ind w:firstLine="560" w:firstLineChars="200"/>
    </w:pPr>
    <w:rPr>
      <w:sz w:val="28"/>
    </w:rPr>
  </w:style>
  <w:style w:type="paragraph" w:styleId="12">
    <w:name w:val="Balloon Text"/>
    <w:basedOn w:val="1"/>
    <w:link w:val="29"/>
    <w:semiHidden/>
    <w:qFormat/>
    <w:uiPriority w:val="0"/>
    <w:rPr>
      <w:kern w:val="0"/>
      <w:sz w:val="18"/>
      <w:szCs w:val="20"/>
    </w:rPr>
  </w:style>
  <w:style w:type="paragraph" w:styleId="13">
    <w:name w:val="footer"/>
    <w:basedOn w:val="1"/>
    <w:link w:val="30"/>
    <w:qFormat/>
    <w:uiPriority w:val="99"/>
    <w:pPr>
      <w:tabs>
        <w:tab w:val="center" w:pos="4153"/>
        <w:tab w:val="right" w:pos="8306"/>
      </w:tabs>
      <w:snapToGrid w:val="0"/>
      <w:jc w:val="left"/>
    </w:pPr>
    <w:rPr>
      <w:kern w:val="0"/>
      <w:sz w:val="18"/>
      <w:szCs w:val="20"/>
    </w:rPr>
  </w:style>
  <w:style w:type="paragraph" w:styleId="14">
    <w:name w:val="header"/>
    <w:basedOn w:val="1"/>
    <w:link w:val="31"/>
    <w:qFormat/>
    <w:uiPriority w:val="0"/>
    <w:pPr>
      <w:pBdr>
        <w:bottom w:val="single" w:color="auto" w:sz="6" w:space="1"/>
      </w:pBdr>
      <w:tabs>
        <w:tab w:val="center" w:pos="4153"/>
        <w:tab w:val="right" w:pos="8306"/>
      </w:tabs>
      <w:snapToGrid w:val="0"/>
      <w:jc w:val="center"/>
    </w:pPr>
    <w:rPr>
      <w:kern w:val="0"/>
      <w:sz w:val="18"/>
      <w:szCs w:val="20"/>
    </w:rPr>
  </w:style>
  <w:style w:type="paragraph" w:styleId="15">
    <w:name w:val="toc 1"/>
    <w:basedOn w:val="1"/>
    <w:next w:val="1"/>
    <w:qFormat/>
    <w:locked/>
    <w:uiPriority w:val="0"/>
  </w:style>
  <w:style w:type="paragraph" w:styleId="16">
    <w:name w:val="toc 2"/>
    <w:basedOn w:val="1"/>
    <w:next w:val="1"/>
    <w:semiHidden/>
    <w:unhideWhenUsed/>
    <w:qFormat/>
    <w:locked/>
    <w:uiPriority w:val="39"/>
    <w:pPr>
      <w:ind w:left="420" w:leftChars="200"/>
    </w:pPr>
  </w:style>
  <w:style w:type="paragraph" w:styleId="17">
    <w:name w:val="Normal (Web)"/>
    <w:basedOn w:val="1"/>
    <w:link w:val="32"/>
    <w:qFormat/>
    <w:uiPriority w:val="0"/>
    <w:pPr>
      <w:widowControl/>
      <w:spacing w:before="100" w:beforeAutospacing="1" w:after="100" w:afterAutospacing="1"/>
      <w:jc w:val="left"/>
    </w:pPr>
    <w:rPr>
      <w:rFonts w:ascii="宋体" w:hAnsi="宋体"/>
      <w:kern w:val="0"/>
      <w:sz w:val="24"/>
      <w:szCs w:val="20"/>
    </w:rPr>
  </w:style>
  <w:style w:type="paragraph" w:styleId="18">
    <w:name w:val="annotation subject"/>
    <w:basedOn w:val="3"/>
    <w:next w:val="3"/>
    <w:link w:val="33"/>
    <w:semiHidden/>
    <w:qFormat/>
    <w:uiPriority w:val="0"/>
    <w:rPr>
      <w:b/>
      <w:sz w:val="24"/>
      <w:szCs w:val="20"/>
    </w:rPr>
  </w:style>
  <w:style w:type="paragraph" w:styleId="19">
    <w:name w:val="Body Text First Indent 2"/>
    <w:basedOn w:val="8"/>
    <w:qFormat/>
    <w:locked/>
    <w:uiPriority w:val="0"/>
    <w:pPr>
      <w:ind w:firstLine="420"/>
    </w:pPr>
  </w:style>
  <w:style w:type="table" w:styleId="21">
    <w:name w:val="Table Grid"/>
    <w:basedOn w:val="20"/>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basedOn w:val="22"/>
    <w:qFormat/>
    <w:locked/>
    <w:uiPriority w:val="0"/>
  </w:style>
  <w:style w:type="character" w:styleId="24">
    <w:name w:val="annotation reference"/>
    <w:semiHidden/>
    <w:qFormat/>
    <w:uiPriority w:val="0"/>
    <w:rPr>
      <w:sz w:val="21"/>
    </w:rPr>
  </w:style>
  <w:style w:type="character" w:customStyle="1" w:styleId="25">
    <w:name w:val="批注文字 Char"/>
    <w:link w:val="3"/>
    <w:qFormat/>
    <w:locked/>
    <w:uiPriority w:val="0"/>
    <w:rPr>
      <w:rFonts w:ascii="Times New Roman" w:hAnsi="Times New Roman" w:eastAsia="宋体"/>
      <w:sz w:val="24"/>
    </w:rPr>
  </w:style>
  <w:style w:type="character" w:customStyle="1" w:styleId="26">
    <w:name w:val="正文文本 Char"/>
    <w:link w:val="5"/>
    <w:qFormat/>
    <w:locked/>
    <w:uiPriority w:val="0"/>
    <w:rPr>
      <w:sz w:val="18"/>
    </w:rPr>
  </w:style>
  <w:style w:type="character" w:customStyle="1" w:styleId="27">
    <w:name w:val="正文文本缩进 Char"/>
    <w:link w:val="8"/>
    <w:semiHidden/>
    <w:qFormat/>
    <w:locked/>
    <w:uiPriority w:val="0"/>
    <w:rPr>
      <w:rFonts w:ascii="Times New Roman" w:hAnsi="Times New Roman" w:eastAsia="宋体"/>
      <w:sz w:val="24"/>
    </w:rPr>
  </w:style>
  <w:style w:type="character" w:customStyle="1" w:styleId="28">
    <w:name w:val="日期 Char"/>
    <w:link w:val="10"/>
    <w:qFormat/>
    <w:locked/>
    <w:uiPriority w:val="0"/>
    <w:rPr>
      <w:rFonts w:ascii="Times New Roman" w:hAnsi="Times New Roman" w:eastAsia="宋体"/>
      <w:sz w:val="24"/>
    </w:rPr>
  </w:style>
  <w:style w:type="character" w:customStyle="1" w:styleId="29">
    <w:name w:val="批注框文本 Char"/>
    <w:link w:val="12"/>
    <w:semiHidden/>
    <w:qFormat/>
    <w:locked/>
    <w:uiPriority w:val="0"/>
    <w:rPr>
      <w:rFonts w:ascii="Times New Roman" w:hAnsi="Times New Roman" w:eastAsia="宋体"/>
      <w:sz w:val="18"/>
    </w:rPr>
  </w:style>
  <w:style w:type="character" w:customStyle="1" w:styleId="30">
    <w:name w:val="页脚 Char"/>
    <w:link w:val="13"/>
    <w:qFormat/>
    <w:locked/>
    <w:uiPriority w:val="99"/>
    <w:rPr>
      <w:sz w:val="18"/>
    </w:rPr>
  </w:style>
  <w:style w:type="character" w:customStyle="1" w:styleId="31">
    <w:name w:val="页眉 Char"/>
    <w:link w:val="14"/>
    <w:qFormat/>
    <w:locked/>
    <w:uiPriority w:val="0"/>
    <w:rPr>
      <w:sz w:val="18"/>
    </w:rPr>
  </w:style>
  <w:style w:type="character" w:customStyle="1" w:styleId="32">
    <w:name w:val="普通(网站) Char"/>
    <w:link w:val="17"/>
    <w:qFormat/>
    <w:locked/>
    <w:uiPriority w:val="0"/>
    <w:rPr>
      <w:rFonts w:ascii="宋体" w:hAnsi="宋体" w:eastAsia="宋体"/>
      <w:sz w:val="24"/>
    </w:rPr>
  </w:style>
  <w:style w:type="character" w:customStyle="1" w:styleId="33">
    <w:name w:val="批注主题 Char"/>
    <w:link w:val="18"/>
    <w:semiHidden/>
    <w:qFormat/>
    <w:locked/>
    <w:uiPriority w:val="0"/>
    <w:rPr>
      <w:rFonts w:ascii="Times New Roman" w:hAnsi="Times New Roman" w:eastAsia="宋体"/>
      <w:b/>
      <w:kern w:val="2"/>
      <w:sz w:val="24"/>
    </w:rPr>
  </w:style>
  <w:style w:type="character" w:customStyle="1" w:styleId="34">
    <w:name w:val="页脚 字符"/>
    <w:basedOn w:val="22"/>
    <w:qFormat/>
    <w:uiPriority w:val="99"/>
  </w:style>
  <w:style w:type="character" w:customStyle="1" w:styleId="35">
    <w:name w:val="正文文本 字符1"/>
    <w:semiHidden/>
    <w:qFormat/>
    <w:uiPriority w:val="0"/>
    <w:rPr>
      <w:rFonts w:ascii="Times New Roman" w:hAnsi="Times New Roman" w:eastAsia="宋体"/>
      <w:sz w:val="24"/>
    </w:rPr>
  </w:style>
  <w:style w:type="character" w:customStyle="1" w:styleId="36">
    <w:name w:val="表格 Char"/>
    <w:link w:val="37"/>
    <w:qFormat/>
    <w:locked/>
    <w:uiPriority w:val="0"/>
    <w:rPr>
      <w:rFonts w:ascii="宋体"/>
      <w:sz w:val="21"/>
    </w:rPr>
  </w:style>
  <w:style w:type="paragraph" w:customStyle="1" w:styleId="37">
    <w:name w:val="表格"/>
    <w:basedOn w:val="9"/>
    <w:next w:val="1"/>
    <w:link w:val="36"/>
    <w:qFormat/>
    <w:uiPriority w:val="0"/>
    <w:pPr>
      <w:adjustRightInd w:val="0"/>
      <w:snapToGrid w:val="0"/>
      <w:spacing w:beforeLines="10" w:afterLines="10" w:line="259" w:lineRule="auto"/>
      <w:jc w:val="center"/>
    </w:pPr>
    <w:rPr>
      <w:rFonts w:ascii="宋体"/>
      <w:kern w:val="0"/>
      <w:szCs w:val="20"/>
    </w:rPr>
  </w:style>
  <w:style w:type="character" w:customStyle="1" w:styleId="38">
    <w:name w:val="日期 字符"/>
    <w:semiHidden/>
    <w:qFormat/>
    <w:uiPriority w:val="0"/>
    <w:rPr>
      <w:rFonts w:ascii="Times New Roman" w:hAnsi="Times New Roman" w:eastAsia="宋体"/>
      <w:sz w:val="24"/>
    </w:rPr>
  </w:style>
  <w:style w:type="character" w:customStyle="1" w:styleId="39">
    <w:name w:val="批注文字 字符1"/>
    <w:semiHidden/>
    <w:qFormat/>
    <w:uiPriority w:val="0"/>
    <w:rPr>
      <w:rFonts w:ascii="Times New Roman" w:hAnsi="Times New Roman" w:eastAsia="宋体"/>
      <w:sz w:val="24"/>
    </w:rPr>
  </w:style>
  <w:style w:type="paragraph" w:customStyle="1" w:styleId="40">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1">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42">
    <w:name w:val="表中文字"/>
    <w:basedOn w:val="1"/>
    <w:qFormat/>
    <w:uiPriority w:val="0"/>
    <w:pPr>
      <w:adjustRightInd w:val="0"/>
      <w:snapToGrid w:val="0"/>
      <w:jc w:val="center"/>
    </w:pPr>
    <w:rPr>
      <w:kern w:val="0"/>
      <w:sz w:val="20"/>
      <w:szCs w:val="20"/>
    </w:rPr>
  </w:style>
  <w:style w:type="paragraph" w:customStyle="1" w:styleId="43">
    <w:name w:val="正文1"/>
    <w:basedOn w:val="1"/>
    <w:qFormat/>
    <w:uiPriority w:val="0"/>
    <w:pPr>
      <w:spacing w:line="360" w:lineRule="auto"/>
      <w:ind w:firstLine="720" w:firstLineChars="200"/>
      <w:jc w:val="both"/>
    </w:pPr>
    <w:rPr>
      <w:rFonts w:ascii="Times New Roman" w:hAnsi="Times New Roman" w:eastAsia="宋体"/>
      <w:sz w:val="24"/>
    </w:rPr>
  </w:style>
  <w:style w:type="paragraph" w:customStyle="1" w:styleId="44">
    <w:name w:val="表文1"/>
    <w:basedOn w:val="1"/>
    <w:qFormat/>
    <w:uiPriority w:val="0"/>
    <w:pPr>
      <w:spacing w:line="240" w:lineRule="auto"/>
      <w:ind w:firstLine="720" w:firstLineChars="200"/>
    </w:pPr>
    <w:rPr>
      <w:rFonts w:hint="default" w:ascii="Times New Roman" w:hAnsi="Times New Roman" w:eastAsia="宋体"/>
      <w:sz w:val="21"/>
    </w:rPr>
  </w:style>
  <w:style w:type="paragraph" w:customStyle="1" w:styleId="45">
    <w:name w:val="正文格式"/>
    <w:basedOn w:val="1"/>
    <w:qFormat/>
    <w:uiPriority w:val="0"/>
    <w:pPr>
      <w:spacing w:line="360" w:lineRule="auto"/>
      <w:ind w:firstLine="482"/>
    </w:pPr>
    <w:rPr>
      <w:sz w:val="24"/>
    </w:rPr>
  </w:style>
  <w:style w:type="paragraph" w:customStyle="1" w:styleId="46">
    <w:name w:val="正文小"/>
    <w:basedOn w:val="1"/>
    <w:qFormat/>
    <w:uiPriority w:val="0"/>
    <w:pPr>
      <w:keepNext w:val="0"/>
      <w:keepLines w:val="0"/>
      <w:spacing w:line="560" w:lineRule="exact"/>
      <w:ind w:left="0" w:firstLine="1440" w:firstLineChars="200"/>
      <w:outlineLvl w:val="9"/>
    </w:pPr>
    <w:rPr>
      <w:rFonts w:hint="eastAsia" w:ascii="Times New Roman" w:hAnsi="Times New Roman" w:eastAsia="仿宋_GB2312"/>
      <w:sz w:val="28"/>
      <w:szCs w:val="32"/>
    </w:rPr>
  </w:style>
  <w:style w:type="paragraph" w:customStyle="1" w:styleId="47">
    <w:name w:val="报告书正文"/>
    <w:basedOn w:val="1"/>
    <w:qFormat/>
    <w:uiPriority w:val="0"/>
    <w:pPr>
      <w:widowControl/>
      <w:adjustRightInd/>
      <w:snapToGrid/>
      <w:spacing w:line="360" w:lineRule="auto"/>
      <w:ind w:firstLine="200"/>
      <w:jc w:val="left"/>
    </w:pPr>
    <w:rPr>
      <w:rFonts w:ascii="Calibri" w:hAnsi="Calibri"/>
      <w:kern w:val="0"/>
      <w:lang w:val="zh-CN" w:eastAsia="en-US" w:bidi="en-US"/>
    </w:rPr>
  </w:style>
  <w:style w:type="paragraph" w:customStyle="1" w:styleId="48">
    <w:name w:val="图表"/>
    <w:basedOn w:val="1"/>
    <w:next w:val="37"/>
    <w:qFormat/>
    <w:uiPriority w:val="0"/>
    <w:pPr>
      <w:keepNext/>
      <w:keepLines/>
      <w:adjustRightInd w:val="0"/>
      <w:snapToGrid w:val="0"/>
      <w:ind w:firstLine="0" w:firstLineChars="0"/>
      <w:jc w:val="center"/>
      <w:outlineLvl w:val="3"/>
    </w:pPr>
    <w:rPr>
      <w:rFonts w:hint="eastAsia"/>
      <w:b/>
      <w:kern w:val="44"/>
    </w:rPr>
  </w:style>
  <w:style w:type="paragraph" w:customStyle="1" w:styleId="49">
    <w:name w:val="Default"/>
    <w:basedOn w:val="50"/>
    <w:qFormat/>
    <w:uiPriority w:val="0"/>
    <w:pPr>
      <w:autoSpaceDE w:val="0"/>
      <w:autoSpaceDN w:val="0"/>
      <w:adjustRightInd w:val="0"/>
      <w:jc w:val="left"/>
    </w:pPr>
    <w:rPr>
      <w:color w:val="000000"/>
      <w:kern w:val="0"/>
      <w:sz w:val="24"/>
    </w:rPr>
  </w:style>
  <w:style w:type="paragraph" w:customStyle="1" w:styleId="50">
    <w:name w:val="纯文本1"/>
    <w:basedOn w:val="1"/>
    <w:qFormat/>
    <w:uiPriority w:val="0"/>
    <w:rPr>
      <w:rFonts w:ascii="宋体" w:hAnsi="Courier New" w:cs="Courier New"/>
      <w:szCs w:val="21"/>
    </w:rPr>
  </w:style>
  <w:style w:type="paragraph" w:customStyle="1" w:styleId="51">
    <w:name w:val="表 内容"/>
    <w:basedOn w:val="1"/>
    <w:qFormat/>
    <w:uiPriority w:val="0"/>
    <w:pPr>
      <w:jc w:val="center"/>
    </w:pPr>
    <w:rPr>
      <w:rFonts w:hAnsi="宋体"/>
      <w:szCs w:val="20"/>
    </w:rPr>
  </w:style>
  <w:style w:type="paragraph" w:customStyle="1" w:styleId="52">
    <w:name w:val="标题-表/图"/>
    <w:basedOn w:val="1"/>
    <w:qFormat/>
    <w:uiPriority w:val="0"/>
    <w:pPr>
      <w:jc w:val="center"/>
    </w:pPr>
    <w:rPr>
      <w:rFonts w:ascii="Calibri" w:hAnsi="Calibri" w:eastAsia="宋体"/>
      <w:b/>
      <w:sz w:val="24"/>
    </w:rPr>
  </w:style>
  <w:style w:type="paragraph" w:customStyle="1" w:styleId="53">
    <w:name w:val="Char Char Char Char Char Char Char2"/>
    <w:basedOn w:val="1"/>
    <w:qFormat/>
    <w:uiPriority w:val="0"/>
    <w:pPr>
      <w:snapToGrid w:val="0"/>
      <w:spacing w:line="360" w:lineRule="auto"/>
      <w:ind w:firstLine="529" w:firstLineChars="200"/>
    </w:pPr>
  </w:style>
  <w:style w:type="paragraph" w:customStyle="1" w:styleId="54">
    <w:name w:val="内容"/>
    <w:basedOn w:val="1"/>
    <w:qFormat/>
    <w:uiPriority w:val="0"/>
    <w:pPr>
      <w:spacing w:beforeLines="50" w:afterLines="50"/>
      <w:ind w:firstLine="200" w:firstLineChars="200"/>
    </w:pPr>
    <w:rPr>
      <w:color w:val="000000"/>
      <w:sz w:val="24"/>
      <w:szCs w:val="20"/>
    </w:rPr>
  </w:style>
  <w:style w:type="paragraph" w:customStyle="1" w:styleId="55">
    <w:name w:val="11111"/>
    <w:basedOn w:val="1"/>
    <w:next w:val="1"/>
    <w:qFormat/>
    <w:uiPriority w:val="0"/>
    <w:pPr>
      <w:spacing w:line="360" w:lineRule="auto"/>
      <w:ind w:firstLine="200" w:firstLineChars="200"/>
    </w:pPr>
    <w:rPr>
      <w:rFonts w:ascii="Calibri" w:hAnsi="宋体" w:cs="宋体"/>
      <w:szCs w:val="22"/>
    </w:rPr>
  </w:style>
  <w:style w:type="paragraph" w:customStyle="1" w:styleId="56">
    <w:name w:val="文本"/>
    <w:basedOn w:val="1"/>
    <w:qFormat/>
    <w:uiPriority w:val="0"/>
    <w:pPr>
      <w:spacing w:line="360" w:lineRule="auto"/>
    </w:pPr>
    <w:rPr>
      <w:rFonts w:hint="default" w:asciiTheme="minorAscii" w:hAnsiTheme="minorAscii" w:cstheme="minorEastAsia"/>
      <w:sz w:val="24"/>
    </w:rPr>
  </w:style>
  <w:style w:type="paragraph" w:customStyle="1" w:styleId="57">
    <w:name w:val="正文4"/>
    <w:qFormat/>
    <w:uiPriority w:val="0"/>
    <w:pPr>
      <w:widowControl w:val="0"/>
      <w:spacing w:line="360" w:lineRule="auto"/>
      <w:ind w:firstLine="720" w:firstLineChars="200"/>
    </w:pPr>
    <w:rPr>
      <w:rFonts w:ascii="Times New Roman" w:hAnsi="Times New Roman" w:eastAsia="宋体" w:cs="Times New Roman"/>
      <w:color w:val="000000"/>
      <w:sz w:val="24"/>
      <w:szCs w:val="22"/>
      <w:lang w:val="en-US" w:eastAsia="zh-CN" w:bidi="ar-SA"/>
    </w:rPr>
  </w:style>
  <w:style w:type="paragraph" w:customStyle="1" w:styleId="58">
    <w:name w:val="表格标题1"/>
    <w:basedOn w:val="1"/>
    <w:qFormat/>
    <w:uiPriority w:val="0"/>
    <w:pPr>
      <w:spacing w:line="240" w:lineRule="auto"/>
      <w:ind w:firstLine="0" w:firstLineChars="0"/>
      <w:jc w:val="center"/>
    </w:pPr>
    <w:rPr>
      <w:rFonts w:hint="eastAsia"/>
      <w:b/>
      <w:sz w:val="21"/>
    </w:rPr>
  </w:style>
  <w:style w:type="paragraph" w:customStyle="1" w:styleId="59">
    <w:name w:val="表格内容"/>
    <w:qFormat/>
    <w:uiPriority w:val="0"/>
    <w:pPr>
      <w:adjustRightInd w:val="0"/>
      <w:snapToGrid w:val="0"/>
      <w:spacing w:line="240" w:lineRule="auto"/>
      <w:ind w:firstLine="0" w:firstLineChars="0"/>
      <w:jc w:val="center"/>
    </w:pPr>
    <w:rPr>
      <w:rFonts w:hint="eastAsia" w:ascii="Times New Roman" w:hAnsi="Times New Roman" w:eastAsia="宋体" w:cs="Times New Roman"/>
      <w:bCs/>
      <w:sz w:val="21"/>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2.bin"/><Relationship Id="rId98" Type="http://schemas.openxmlformats.org/officeDocument/2006/relationships/image" Target="media/image49.wmf"/><Relationship Id="rId97" Type="http://schemas.openxmlformats.org/officeDocument/2006/relationships/oleObject" Target="embeddings/oleObject41.bin"/><Relationship Id="rId96" Type="http://schemas.openxmlformats.org/officeDocument/2006/relationships/image" Target="media/image48.wmf"/><Relationship Id="rId95" Type="http://schemas.openxmlformats.org/officeDocument/2006/relationships/oleObject" Target="embeddings/oleObject40.bin"/><Relationship Id="rId94" Type="http://schemas.openxmlformats.org/officeDocument/2006/relationships/image" Target="media/image47.wmf"/><Relationship Id="rId93" Type="http://schemas.openxmlformats.org/officeDocument/2006/relationships/oleObject" Target="embeddings/oleObject39.bin"/><Relationship Id="rId92" Type="http://schemas.openxmlformats.org/officeDocument/2006/relationships/image" Target="media/image46.wmf"/><Relationship Id="rId91" Type="http://schemas.openxmlformats.org/officeDocument/2006/relationships/oleObject" Target="embeddings/oleObject38.bin"/><Relationship Id="rId90" Type="http://schemas.openxmlformats.org/officeDocument/2006/relationships/image" Target="media/image45.wmf"/><Relationship Id="rId9" Type="http://schemas.openxmlformats.org/officeDocument/2006/relationships/image" Target="media/image1.jpeg"/><Relationship Id="rId89" Type="http://schemas.openxmlformats.org/officeDocument/2006/relationships/oleObject" Target="embeddings/oleObject37.bin"/><Relationship Id="rId88" Type="http://schemas.openxmlformats.org/officeDocument/2006/relationships/image" Target="media/image44.wmf"/><Relationship Id="rId87" Type="http://schemas.openxmlformats.org/officeDocument/2006/relationships/oleObject" Target="embeddings/oleObject36.bin"/><Relationship Id="rId86" Type="http://schemas.openxmlformats.org/officeDocument/2006/relationships/image" Target="media/image43.wmf"/><Relationship Id="rId85" Type="http://schemas.openxmlformats.org/officeDocument/2006/relationships/oleObject" Target="embeddings/oleObject35.bin"/><Relationship Id="rId84" Type="http://schemas.openxmlformats.org/officeDocument/2006/relationships/oleObject" Target="embeddings/oleObject34.bin"/><Relationship Id="rId83" Type="http://schemas.openxmlformats.org/officeDocument/2006/relationships/image" Target="media/image42.wmf"/><Relationship Id="rId82" Type="http://schemas.openxmlformats.org/officeDocument/2006/relationships/oleObject" Target="embeddings/oleObject33.bin"/><Relationship Id="rId81" Type="http://schemas.openxmlformats.org/officeDocument/2006/relationships/image" Target="media/image41.wmf"/><Relationship Id="rId80" Type="http://schemas.openxmlformats.org/officeDocument/2006/relationships/oleObject" Target="embeddings/oleObject32.bin"/><Relationship Id="rId8" Type="http://schemas.openxmlformats.org/officeDocument/2006/relationships/theme" Target="theme/theme1.xml"/><Relationship Id="rId79" Type="http://schemas.openxmlformats.org/officeDocument/2006/relationships/image" Target="media/image40.wmf"/><Relationship Id="rId78" Type="http://schemas.openxmlformats.org/officeDocument/2006/relationships/oleObject" Target="embeddings/oleObject31.bin"/><Relationship Id="rId77" Type="http://schemas.openxmlformats.org/officeDocument/2006/relationships/oleObject" Target="embeddings/oleObject30.bin"/><Relationship Id="rId76" Type="http://schemas.openxmlformats.org/officeDocument/2006/relationships/image" Target="media/image39.wmf"/><Relationship Id="rId75" Type="http://schemas.openxmlformats.org/officeDocument/2006/relationships/oleObject" Target="embeddings/oleObject29.bin"/><Relationship Id="rId74" Type="http://schemas.openxmlformats.org/officeDocument/2006/relationships/oleObject" Target="embeddings/oleObject28.bin"/><Relationship Id="rId73" Type="http://schemas.openxmlformats.org/officeDocument/2006/relationships/image" Target="media/image38.wmf"/><Relationship Id="rId72" Type="http://schemas.openxmlformats.org/officeDocument/2006/relationships/oleObject" Target="embeddings/oleObject27.bin"/><Relationship Id="rId71" Type="http://schemas.openxmlformats.org/officeDocument/2006/relationships/image" Target="media/image37.wmf"/><Relationship Id="rId70" Type="http://schemas.openxmlformats.org/officeDocument/2006/relationships/oleObject" Target="embeddings/oleObject26.bin"/><Relationship Id="rId7" Type="http://schemas.openxmlformats.org/officeDocument/2006/relationships/footer" Target="footer4.xml"/><Relationship Id="rId69" Type="http://schemas.openxmlformats.org/officeDocument/2006/relationships/image" Target="media/image36.wmf"/><Relationship Id="rId68" Type="http://schemas.openxmlformats.org/officeDocument/2006/relationships/oleObject" Target="embeddings/oleObject25.bin"/><Relationship Id="rId67" Type="http://schemas.openxmlformats.org/officeDocument/2006/relationships/image" Target="media/image35.wmf"/><Relationship Id="rId66" Type="http://schemas.openxmlformats.org/officeDocument/2006/relationships/oleObject" Target="embeddings/oleObject24.bin"/><Relationship Id="rId65" Type="http://schemas.openxmlformats.org/officeDocument/2006/relationships/image" Target="media/image34.wmf"/><Relationship Id="rId64" Type="http://schemas.openxmlformats.org/officeDocument/2006/relationships/oleObject" Target="embeddings/oleObject23.bin"/><Relationship Id="rId63" Type="http://schemas.openxmlformats.org/officeDocument/2006/relationships/image" Target="media/image33.wmf"/><Relationship Id="rId62" Type="http://schemas.openxmlformats.org/officeDocument/2006/relationships/oleObject" Target="embeddings/oleObject22.bin"/><Relationship Id="rId61" Type="http://schemas.openxmlformats.org/officeDocument/2006/relationships/image" Target="media/image32.wmf"/><Relationship Id="rId60" Type="http://schemas.openxmlformats.org/officeDocument/2006/relationships/oleObject" Target="embeddings/oleObject21.bin"/><Relationship Id="rId6" Type="http://schemas.openxmlformats.org/officeDocument/2006/relationships/footer" Target="footer3.xml"/><Relationship Id="rId59" Type="http://schemas.openxmlformats.org/officeDocument/2006/relationships/image" Target="media/image31.wmf"/><Relationship Id="rId58" Type="http://schemas.openxmlformats.org/officeDocument/2006/relationships/oleObject" Target="embeddings/oleObject20.bin"/><Relationship Id="rId57" Type="http://schemas.openxmlformats.org/officeDocument/2006/relationships/image" Target="media/image30.wmf"/><Relationship Id="rId56" Type="http://schemas.openxmlformats.org/officeDocument/2006/relationships/oleObject" Target="embeddings/oleObject19.bin"/><Relationship Id="rId55" Type="http://schemas.openxmlformats.org/officeDocument/2006/relationships/image" Target="media/image29.wmf"/><Relationship Id="rId54" Type="http://schemas.openxmlformats.org/officeDocument/2006/relationships/oleObject" Target="embeddings/oleObject18.bin"/><Relationship Id="rId53" Type="http://schemas.openxmlformats.org/officeDocument/2006/relationships/image" Target="media/image28.wmf"/><Relationship Id="rId52" Type="http://schemas.openxmlformats.org/officeDocument/2006/relationships/oleObject" Target="embeddings/oleObject17.bin"/><Relationship Id="rId51" Type="http://schemas.openxmlformats.org/officeDocument/2006/relationships/image" Target="media/image27.wmf"/><Relationship Id="rId50" Type="http://schemas.openxmlformats.org/officeDocument/2006/relationships/oleObject" Target="embeddings/oleObject16.bin"/><Relationship Id="rId5" Type="http://schemas.openxmlformats.org/officeDocument/2006/relationships/footer" Target="footer2.xml"/><Relationship Id="rId49" Type="http://schemas.openxmlformats.org/officeDocument/2006/relationships/image" Target="media/image26.wmf"/><Relationship Id="rId48" Type="http://schemas.openxmlformats.org/officeDocument/2006/relationships/oleObject" Target="embeddings/oleObject15.bin"/><Relationship Id="rId47" Type="http://schemas.openxmlformats.org/officeDocument/2006/relationships/image" Target="media/image25.wmf"/><Relationship Id="rId46" Type="http://schemas.openxmlformats.org/officeDocument/2006/relationships/oleObject" Target="embeddings/oleObject14.bin"/><Relationship Id="rId45" Type="http://schemas.openxmlformats.org/officeDocument/2006/relationships/image" Target="media/image24.wmf"/><Relationship Id="rId44" Type="http://schemas.openxmlformats.org/officeDocument/2006/relationships/oleObject" Target="embeddings/oleObject13.bin"/><Relationship Id="rId43" Type="http://schemas.openxmlformats.org/officeDocument/2006/relationships/image" Target="media/image23.wmf"/><Relationship Id="rId42" Type="http://schemas.openxmlformats.org/officeDocument/2006/relationships/oleObject" Target="embeddings/oleObject12.bin"/><Relationship Id="rId41" Type="http://schemas.openxmlformats.org/officeDocument/2006/relationships/image" Target="media/image22.wmf"/><Relationship Id="rId40" Type="http://schemas.openxmlformats.org/officeDocument/2006/relationships/oleObject" Target="embeddings/oleObject11.bin"/><Relationship Id="rId4" Type="http://schemas.openxmlformats.org/officeDocument/2006/relationships/footer" Target="footer1.xml"/><Relationship Id="rId39" Type="http://schemas.openxmlformats.org/officeDocument/2006/relationships/oleObject" Target="embeddings/oleObject10.bin"/><Relationship Id="rId38" Type="http://schemas.openxmlformats.org/officeDocument/2006/relationships/image" Target="media/image21.wmf"/><Relationship Id="rId37" Type="http://schemas.openxmlformats.org/officeDocument/2006/relationships/oleObject" Target="embeddings/oleObject9.bin"/><Relationship Id="rId36" Type="http://schemas.openxmlformats.org/officeDocument/2006/relationships/image" Target="media/image20.wmf"/><Relationship Id="rId35" Type="http://schemas.openxmlformats.org/officeDocument/2006/relationships/oleObject" Target="embeddings/oleObject8.bin"/><Relationship Id="rId34" Type="http://schemas.openxmlformats.org/officeDocument/2006/relationships/image" Target="media/image19.wmf"/><Relationship Id="rId33" Type="http://schemas.openxmlformats.org/officeDocument/2006/relationships/oleObject" Target="embeddings/oleObject7.bin"/><Relationship Id="rId32" Type="http://schemas.openxmlformats.org/officeDocument/2006/relationships/image" Target="media/image18.wmf"/><Relationship Id="rId31" Type="http://schemas.openxmlformats.org/officeDocument/2006/relationships/oleObject" Target="embeddings/oleObject6.bin"/><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6.wmf"/><Relationship Id="rId27" Type="http://schemas.openxmlformats.org/officeDocument/2006/relationships/oleObject" Target="embeddings/oleObject4.bin"/><Relationship Id="rId26" Type="http://schemas.openxmlformats.org/officeDocument/2006/relationships/image" Target="media/image15.wmf"/><Relationship Id="rId25" Type="http://schemas.openxmlformats.org/officeDocument/2006/relationships/oleObject" Target="embeddings/oleObject3.bin"/><Relationship Id="rId24" Type="http://schemas.openxmlformats.org/officeDocument/2006/relationships/image" Target="media/image14.wmf"/><Relationship Id="rId23" Type="http://schemas.openxmlformats.org/officeDocument/2006/relationships/oleObject" Target="embeddings/oleObject2.bin"/><Relationship Id="rId22" Type="http://schemas.openxmlformats.org/officeDocument/2006/relationships/image" Target="media/image13.wmf"/><Relationship Id="rId21" Type="http://schemas.openxmlformats.org/officeDocument/2006/relationships/oleObject" Target="embeddings/oleObject1.bin"/><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8" Type="http://schemas.openxmlformats.org/officeDocument/2006/relationships/fontTable" Target="fontTable.xml"/><Relationship Id="rId157" Type="http://schemas.openxmlformats.org/officeDocument/2006/relationships/numbering" Target="numbering.xml"/><Relationship Id="rId156" Type="http://schemas.openxmlformats.org/officeDocument/2006/relationships/customXml" Target="../customXml/item1.xml"/><Relationship Id="rId155" Type="http://schemas.openxmlformats.org/officeDocument/2006/relationships/image" Target="media/image95.wmf"/><Relationship Id="rId154" Type="http://schemas.openxmlformats.org/officeDocument/2006/relationships/oleObject" Target="embeddings/oleObject52.bin"/><Relationship Id="rId153" Type="http://schemas.openxmlformats.org/officeDocument/2006/relationships/oleObject" Target="embeddings/oleObject51.bin"/><Relationship Id="rId152" Type="http://schemas.openxmlformats.org/officeDocument/2006/relationships/image" Target="media/image94.wmf"/><Relationship Id="rId151" Type="http://schemas.openxmlformats.org/officeDocument/2006/relationships/oleObject" Target="embeddings/oleObject50.bin"/><Relationship Id="rId150" Type="http://schemas.openxmlformats.org/officeDocument/2006/relationships/image" Target="media/image93.png"/><Relationship Id="rId15" Type="http://schemas.openxmlformats.org/officeDocument/2006/relationships/image" Target="media/image7.png"/><Relationship Id="rId149" Type="http://schemas.openxmlformats.org/officeDocument/2006/relationships/image" Target="media/image92.png"/><Relationship Id="rId148" Type="http://schemas.openxmlformats.org/officeDocument/2006/relationships/image" Target="media/image91.png"/><Relationship Id="rId147" Type="http://schemas.openxmlformats.org/officeDocument/2006/relationships/image" Target="media/image90.png"/><Relationship Id="rId146" Type="http://schemas.openxmlformats.org/officeDocument/2006/relationships/image" Target="media/image89.png"/><Relationship Id="rId145" Type="http://schemas.openxmlformats.org/officeDocument/2006/relationships/image" Target="media/image88.jpeg"/><Relationship Id="rId144" Type="http://schemas.openxmlformats.org/officeDocument/2006/relationships/image" Target="media/image87.jpeg"/><Relationship Id="rId143" Type="http://schemas.openxmlformats.org/officeDocument/2006/relationships/image" Target="media/image86.jpeg"/><Relationship Id="rId142" Type="http://schemas.openxmlformats.org/officeDocument/2006/relationships/image" Target="media/image85.jpeg"/><Relationship Id="rId141" Type="http://schemas.openxmlformats.org/officeDocument/2006/relationships/image" Target="media/image84.jpeg"/><Relationship Id="rId140" Type="http://schemas.openxmlformats.org/officeDocument/2006/relationships/image" Target="media/image83.jpeg"/><Relationship Id="rId14" Type="http://schemas.openxmlformats.org/officeDocument/2006/relationships/image" Target="media/image6.png"/><Relationship Id="rId139" Type="http://schemas.openxmlformats.org/officeDocument/2006/relationships/image" Target="media/image82.jpeg"/><Relationship Id="rId138" Type="http://schemas.openxmlformats.org/officeDocument/2006/relationships/image" Target="media/image81.jpeg"/><Relationship Id="rId137" Type="http://schemas.openxmlformats.org/officeDocument/2006/relationships/image" Target="media/image80.jpeg"/><Relationship Id="rId136" Type="http://schemas.openxmlformats.org/officeDocument/2006/relationships/image" Target="media/image79.jpeg"/><Relationship Id="rId135" Type="http://schemas.openxmlformats.org/officeDocument/2006/relationships/image" Target="media/image78.jpeg"/><Relationship Id="rId134" Type="http://schemas.openxmlformats.org/officeDocument/2006/relationships/image" Target="media/image77.jpeg"/><Relationship Id="rId133" Type="http://schemas.openxmlformats.org/officeDocument/2006/relationships/image" Target="media/image76.png"/><Relationship Id="rId132" Type="http://schemas.openxmlformats.org/officeDocument/2006/relationships/image" Target="media/image75.jpeg"/><Relationship Id="rId131" Type="http://schemas.openxmlformats.org/officeDocument/2006/relationships/image" Target="media/image74.jpeg"/><Relationship Id="rId130" Type="http://schemas.openxmlformats.org/officeDocument/2006/relationships/image" Target="media/image73.jpeg"/><Relationship Id="rId13" Type="http://schemas.openxmlformats.org/officeDocument/2006/relationships/image" Target="media/image5.jpeg"/><Relationship Id="rId129" Type="http://schemas.openxmlformats.org/officeDocument/2006/relationships/image" Target="media/image72.jpeg"/><Relationship Id="rId128" Type="http://schemas.openxmlformats.org/officeDocument/2006/relationships/image" Target="media/image71.jpeg"/><Relationship Id="rId127" Type="http://schemas.openxmlformats.org/officeDocument/2006/relationships/image" Target="media/image70.jpeg"/><Relationship Id="rId126" Type="http://schemas.openxmlformats.org/officeDocument/2006/relationships/image" Target="media/image69.jpeg"/><Relationship Id="rId125" Type="http://schemas.openxmlformats.org/officeDocument/2006/relationships/image" Target="media/image68.jpeg"/><Relationship Id="rId124" Type="http://schemas.openxmlformats.org/officeDocument/2006/relationships/image" Target="media/image67.jpeg"/><Relationship Id="rId123" Type="http://schemas.openxmlformats.org/officeDocument/2006/relationships/image" Target="media/image66.jpeg"/><Relationship Id="rId122" Type="http://schemas.openxmlformats.org/officeDocument/2006/relationships/image" Target="media/image65.jpeg"/><Relationship Id="rId121" Type="http://schemas.openxmlformats.org/officeDocument/2006/relationships/image" Target="media/image64.png"/><Relationship Id="rId120" Type="http://schemas.openxmlformats.org/officeDocument/2006/relationships/image" Target="media/image63.png"/><Relationship Id="rId12" Type="http://schemas.openxmlformats.org/officeDocument/2006/relationships/image" Target="media/image4.png"/><Relationship Id="rId119" Type="http://schemas.openxmlformats.org/officeDocument/2006/relationships/image" Target="media/image62.png"/><Relationship Id="rId118" Type="http://schemas.openxmlformats.org/officeDocument/2006/relationships/image" Target="media/image61.png"/><Relationship Id="rId117" Type="http://schemas.openxmlformats.org/officeDocument/2006/relationships/image" Target="media/image60.png"/><Relationship Id="rId116" Type="http://schemas.openxmlformats.org/officeDocument/2006/relationships/image" Target="media/image59.png"/><Relationship Id="rId115" Type="http://schemas.openxmlformats.org/officeDocument/2006/relationships/image" Target="media/image58.wmf"/><Relationship Id="rId114" Type="http://schemas.openxmlformats.org/officeDocument/2006/relationships/oleObject" Target="embeddings/oleObject49.bin"/><Relationship Id="rId113" Type="http://schemas.openxmlformats.org/officeDocument/2006/relationships/image" Target="media/image57.wmf"/><Relationship Id="rId112" Type="http://schemas.openxmlformats.org/officeDocument/2006/relationships/oleObject" Target="embeddings/oleObject48.bin"/><Relationship Id="rId111" Type="http://schemas.openxmlformats.org/officeDocument/2006/relationships/image" Target="media/image56.wmf"/><Relationship Id="rId110" Type="http://schemas.openxmlformats.org/officeDocument/2006/relationships/oleObject" Target="embeddings/oleObject47.bin"/><Relationship Id="rId11" Type="http://schemas.openxmlformats.org/officeDocument/2006/relationships/image" Target="media/image3.png"/><Relationship Id="rId109" Type="http://schemas.openxmlformats.org/officeDocument/2006/relationships/image" Target="media/image55.wmf"/><Relationship Id="rId108" Type="http://schemas.openxmlformats.org/officeDocument/2006/relationships/oleObject" Target="embeddings/oleObject46.bin"/><Relationship Id="rId107" Type="http://schemas.openxmlformats.org/officeDocument/2006/relationships/image" Target="media/image54.wmf"/><Relationship Id="rId106" Type="http://schemas.openxmlformats.org/officeDocument/2006/relationships/oleObject" Target="embeddings/oleObject45.bin"/><Relationship Id="rId105" Type="http://schemas.openxmlformats.org/officeDocument/2006/relationships/image" Target="media/image53.wmf"/><Relationship Id="rId104" Type="http://schemas.openxmlformats.org/officeDocument/2006/relationships/oleObject" Target="embeddings/oleObject44.bin"/><Relationship Id="rId103" Type="http://schemas.openxmlformats.org/officeDocument/2006/relationships/image" Target="media/image52.png"/><Relationship Id="rId102" Type="http://schemas.openxmlformats.org/officeDocument/2006/relationships/image" Target="media/image51.wmf"/><Relationship Id="rId101" Type="http://schemas.openxmlformats.org/officeDocument/2006/relationships/oleObject" Target="embeddings/oleObject43.bin"/><Relationship Id="rId100" Type="http://schemas.openxmlformats.org/officeDocument/2006/relationships/image" Target="media/image50.wmf"/><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extobjs>
    <extobj name="F35B0BEE-F18A-47BB-8FCB-E00DA2F2635D-1">
      <extobjdata type="F35B0BEE-F18A-47BB-8FCB-E00DA2F2635D" data="ewoJIkRlc2lnbklkIiA6ICIxNDMwNTYxNy05NjZlLTQzNTktOWZlMS1hNDk0NGU5MTZhOGQiCn0K"/>
    </extobj>
    <extobj name="F35B0BEE-F18A-47BB-8FCB-E00DA2F2635D-2">
      <extobjdata type="F35B0BEE-F18A-47BB-8FCB-E00DA2F2635D" data="ewoJIkRlc2lnbklkIiA6ICI4YTZmODMxOC0xNzdhLTQ1MjAtYWRiNC1iMmU3ZTgzNDMwYmIiCn0K"/>
    </extobj>
    <extobj name="F35B0BEE-F18A-47BB-8FCB-E00DA2F2635D-3">
      <extobjdata type="F35B0BEE-F18A-47BB-8FCB-E00DA2F2635D" data="ewoJIkRlc2lnbklkIiA6ICJlMmRlZWM0OC0wMWQwLTQ0OWMtOGZmMi02ZDFiM2Q3YmQ1YTIiCn0K"/>
    </extobj>
    <extobj name="F35B0BEE-F18A-47BB-8FCB-E00DA2F2635D-4">
      <extobjdata type="F35B0BEE-F18A-47BB-8FCB-E00DA2F2635D" data="ewoJIkRlc2lnbklkIiA6ICJkMTQzMjMwOS0wOTVjLTRhYjYtYjA3Ny02ZGM5MTM5NTViODYiCn0K"/>
    </extobj>
    <extobj name="F35B0BEE-F18A-47BB-8FCB-E00DA2F2635D-5">
      <extobjdata type="F35B0BEE-F18A-47BB-8FCB-E00DA2F2635D" data="ewoJIkRlc2lnbklkIiA6ICJjMWU3YTY5MC0yNWIyLTQ0NzYtYmVkZi0zZTUwYmIzNjZhNGE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89</Pages>
  <Words>16514</Words>
  <Characters>18610</Characters>
  <Lines>13</Lines>
  <Paragraphs>3</Paragraphs>
  <TotalTime>4</TotalTime>
  <ScaleCrop>false</ScaleCrop>
  <LinksUpToDate>false</LinksUpToDate>
  <CharactersWithSpaces>18788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WPS_1717752293</cp:lastModifiedBy>
  <cp:lastPrinted>2020-12-29T02:43:00Z</cp:lastPrinted>
  <dcterms:modified xsi:type="dcterms:W3CDTF">2026-09-07T05:00:30Z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3AB4E39397BF4DBBBBCFC2D409DE56F1_13</vt:lpwstr>
  </property>
  <property fmtid="{D5CDD505-2E9C-101B-9397-08002B2CF9AE}" pid="4" name="KSOTemplateDocerSaveRecord">
    <vt:lpwstr>eyJoZGlkIjoiZDJhOWViYjZhNDkwMGY4ZDc3N2RmYmUyMWM0MDhhMTUiLCJ1c2VySWQiOiIxNjA2MTIzMTc3In0=</vt:lpwstr>
  </property>
</Properties>
</file>