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审批单位：平房区水务局；地址：新疆西路2-2号4楼；负责人：孟令月；联系电话：13045156838、86553053.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此次办理手续及日后管理和监督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依据《城镇污水排入排水管网许可管理办法》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（中华人民共和国住房和城乡建设部令第21号）和省住建厅、省生态厅、省水利厅、省农业厅4部门联合发文《中央生态环境保护督察典型案例整改工作督导方案》（黑建函【2022】12号）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请各企事业单位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认真阅读《城镇污水排入排水管网许可管理办法》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，并严格落实，认真履行。因黑建函【2022】12号为保密文件，如对文件有疑问的企事业单位可以到新疆西路2-2号4楼平房区水务局处找我查阅，谢谢配合。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材料准备齐全后，将材料上报至我局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（邮寄，扫描件，送过来都可以）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办证需要费用吗？之后每年有什么费用吗？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不需要交任何费用，之后也无费用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，但企业内部因办证产生的费用我局概不负责。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因限期办理时间紧迫，经市局商定后，决定对各企事业单位的水质监测报告进行信用承诺制提交。企事业单位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需签订《水质合格承诺书》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，同其他材料一起上交申报，我局受理并开展审批的同时，各企事业单位需要抓紧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按有关要求进行水质检测并补交至我局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。以提高效率，节约办理时间。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申报材料中将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重点审查“一表、一图、一报告”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（1）《行政许可申请书》及《许可材料清单》，审查内容是否完整，填写是否规范准确，印章是否清晰。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（2）《城镇污水排入排水管网许可申请表》。审查是否按“填写说明”填写，重点审查以下内容：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用水量、排水量是否按实际填写(可不提交水量检测报告，但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需提供近3个月用水量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缴费证明或用水量明细单)；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生产工艺及水污染物产生流程。附图应准确规范，能够体现水污染物产生过程；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污水预处理工艺流程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。附图应准确规范，体现处理全过程，标明设备安装位置；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排水管网情况。重点审查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排水示意图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标注街道名称、建筑物方位；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标注排水管网中预处理设备(消毒设施、隔油池、油水分离器等）的位置；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标明排水管网接入点（市政主管网、化粪池、检查井等）；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表明排水管线走向（水流方向）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（4）排水水质情况：参考水质检测报告填写。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0" w:leftChars="0" w:firstLine="720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材料审批合格后，我局联合市排水集团平房分公司、区城管局将对现场进行踏查，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踏查要求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污水排放口设置是否符合排水与污水处理规划的要求；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排水去向及排污水口接入情况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，并在现场勘查单上标明污水最终去向（流入的污水处理厂名称）；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预处理设施是否符合相关规范规定（提供设备合格证书）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425" w:leftChars="0" w:hanging="425" w:firstLineChars="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《城镇污水排入排水管网许可申请表》中，填写内容是否与实际相符（重点是排水管网设置、预处理设施、排水量等）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我局将会保留现场勘察原始记录及照片等影像资料，审查后上传到审批平台，电子存档。同时会告知排水户，加强管网和设备的维护，接受日常执法检监督查等。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4.办这个证件的有效期是几年？是否需要年检之类的？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720" w:firstLineChars="200"/>
        <w:textAlignment w:val="auto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有限期5年，5年后申请延续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；无年检，但是我局会联合区执法局对排水企业</w:t>
      </w:r>
      <w:r>
        <w:rPr>
          <w:rFonts w:hint="eastAsia" w:ascii="仿宋" w:hAnsi="仿宋" w:eastAsia="仿宋" w:cs="仿宋"/>
          <w:color w:val="FF0000"/>
          <w:sz w:val="36"/>
          <w:szCs w:val="36"/>
          <w:lang w:val="en-US" w:eastAsia="zh-CN"/>
        </w:rPr>
        <w:t>进行不定期抽检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68AB53"/>
    <w:multiLevelType w:val="singleLevel"/>
    <w:tmpl w:val="9868AB53"/>
    <w:lvl w:ilvl="0" w:tentative="0">
      <w:start w:val="3"/>
      <w:numFmt w:val="decimal"/>
      <w:suff w:val="nothing"/>
      <w:lvlText w:val="（%1）"/>
      <w:lvlJc w:val="left"/>
    </w:lvl>
  </w:abstractNum>
  <w:abstractNum w:abstractNumId="1">
    <w:nsid w:val="EBA4A143"/>
    <w:multiLevelType w:val="singleLevel"/>
    <w:tmpl w:val="EBA4A143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2">
    <w:nsid w:val="FA2EC69D"/>
    <w:multiLevelType w:val="singleLevel"/>
    <w:tmpl w:val="FA2EC69D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abstractNum w:abstractNumId="3">
    <w:nsid w:val="45D1C145"/>
    <w:multiLevelType w:val="singleLevel"/>
    <w:tmpl w:val="45D1C14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20"/>
      </w:pPr>
      <w:rPr>
        <w:rFonts w:hint="default"/>
        <w:color w:val="auto"/>
      </w:rPr>
    </w:lvl>
  </w:abstractNum>
  <w:abstractNum w:abstractNumId="4">
    <w:nsid w:val="639AE376"/>
    <w:multiLevelType w:val="singleLevel"/>
    <w:tmpl w:val="639AE37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E565C7C"/>
    <w:rsid w:val="7857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2022-03-03T02:29:00Z</dcterms:created>
  <dc:creator>user</dc:creator>
  <cp:lastModifiedBy> MLY </cp:lastModifiedBy>
  <dcterms:modified xsi:type="dcterms:W3CDTF">2022-03-03T03:31:06Z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6104ED4D0C5C478B88C42B78576F516D</vt:lpwstr>
  </property>
</Properties>
</file>