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adjustRightInd/>
        <w:snapToGrid/>
        <w:spacing w:line="360" w:lineRule="auto"/>
        <w:ind w:right="0"/>
        <w:jc w:val="both"/>
        <w:textAlignment w:val="auto"/>
        <w:outlineLvl w:val="9"/>
        <w:rPr>
          <w:rFonts w:hint="eastAsia" w:ascii="仿宋" w:hAnsi="仿宋" w:eastAsia="仿宋" w:cs="仿宋"/>
          <w:b/>
          <w:bCs/>
          <w:sz w:val="44"/>
          <w:szCs w:val="44"/>
          <w:highlight w:val="none"/>
          <w:lang w:val="en-US" w:eastAsia="zh-CN"/>
        </w:rPr>
      </w:pPr>
    </w:p>
    <w:p>
      <w:pPr>
        <w:wordWrap/>
        <w:adjustRightInd/>
        <w:snapToGrid/>
        <w:spacing w:line="360" w:lineRule="auto"/>
        <w:ind w:right="0"/>
        <w:jc w:val="both"/>
        <w:textAlignment w:val="auto"/>
        <w:outlineLvl w:val="9"/>
        <w:rPr>
          <w:rFonts w:hint="eastAsia" w:ascii="仿宋" w:hAnsi="仿宋" w:eastAsia="仿宋" w:cs="仿宋"/>
          <w:b/>
          <w:bCs/>
          <w:sz w:val="44"/>
          <w:szCs w:val="44"/>
          <w:highlight w:val="none"/>
          <w:lang w:val="en-US" w:eastAsia="zh-CN"/>
        </w:rPr>
      </w:pP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val="en-US" w:eastAsia="zh-CN"/>
        </w:rPr>
      </w:pPr>
      <w:r>
        <w:rPr>
          <w:rFonts w:hint="eastAsia" w:ascii="仿宋" w:hAnsi="仿宋" w:eastAsia="仿宋" w:cs="仿宋"/>
          <w:b/>
          <w:bCs/>
          <w:sz w:val="44"/>
          <w:szCs w:val="44"/>
          <w:highlight w:val="none"/>
          <w:lang w:val="en-US" w:eastAsia="zh-CN"/>
        </w:rPr>
        <w:t>饶河县五林洞镇中心卫生院2019年度部门决算</w:t>
      </w:r>
    </w:p>
    <w:p>
      <w:pPr>
        <w:wordWrap/>
        <w:adjustRightInd/>
        <w:snapToGrid/>
        <w:spacing w:line="360" w:lineRule="auto"/>
        <w:ind w:right="0"/>
        <w:jc w:val="center"/>
        <w:textAlignment w:val="auto"/>
        <w:outlineLvl w:val="9"/>
        <w:rPr>
          <w:rFonts w:hint="eastAsia" w:ascii="仿宋" w:hAnsi="仿宋" w:eastAsia="仿宋" w:cs="仿宋"/>
          <w:b/>
          <w:bCs/>
          <w:sz w:val="52"/>
          <w:szCs w:val="52"/>
          <w:highlight w:val="none"/>
          <w:lang w:eastAsia="zh-CN"/>
        </w:rPr>
      </w:pPr>
      <w:r>
        <w:rPr>
          <w:rFonts w:hint="eastAsia" w:ascii="仿宋" w:hAnsi="仿宋" w:eastAsia="仿宋" w:cs="仿宋"/>
          <w:b/>
          <w:bCs/>
          <w:sz w:val="44"/>
          <w:szCs w:val="44"/>
          <w:highlight w:val="none"/>
          <w:lang w:val="en-US" w:eastAsia="zh-CN"/>
        </w:rPr>
        <w:t>信息及有关情况说明</w:t>
      </w:r>
    </w:p>
    <w:p>
      <w:pPr>
        <w:wordWrap/>
        <w:adjustRightInd/>
        <w:snapToGrid/>
        <w:spacing w:line="360" w:lineRule="auto"/>
        <w:ind w:right="0"/>
        <w:jc w:val="center"/>
        <w:textAlignment w:val="auto"/>
        <w:outlineLvl w:val="9"/>
        <w:rPr>
          <w:rFonts w:hint="eastAsia" w:ascii="仿宋" w:hAnsi="仿宋" w:eastAsia="仿宋" w:cs="仿宋"/>
          <w:b/>
          <w:bCs/>
          <w:sz w:val="44"/>
          <w:szCs w:val="44"/>
          <w:highlight w:val="none"/>
          <w:lang w:eastAsia="zh-CN"/>
        </w:rPr>
      </w:pP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sz w:val="44"/>
          <w:szCs w:val="44"/>
          <w:highlight w:val="none"/>
          <w:lang w:eastAsia="zh-CN"/>
        </w:rPr>
      </w:pPr>
      <w:r>
        <w:rPr>
          <w:rFonts w:hint="eastAsia" w:ascii="仿宋" w:hAnsi="仿宋" w:eastAsia="仿宋" w:cs="仿宋"/>
          <w:b/>
          <w:bCs/>
          <w:color w:val="auto"/>
          <w:sz w:val="44"/>
          <w:szCs w:val="44"/>
          <w:highlight w:val="none"/>
          <w:lang w:eastAsia="zh-CN"/>
        </w:rPr>
        <w:t>目录</w:t>
      </w:r>
    </w:p>
    <w:p>
      <w:pPr>
        <w:keepNext w:val="0"/>
        <w:keepLines w:val="0"/>
        <w:pageBreakBefore w:val="0"/>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sz w:val="18"/>
          <w:szCs w:val="18"/>
          <w:highlight w:val="none"/>
          <w:lang w:eastAsia="zh-CN"/>
        </w:rPr>
      </w:pPr>
    </w:p>
    <w:p>
      <w:pPr>
        <w:keepNext w:val="0"/>
        <w:keepLines w:val="0"/>
        <w:pageBreakBefore w:val="0"/>
        <w:widowControl/>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bCs/>
          <w:color w:val="auto"/>
          <w:kern w:val="0"/>
          <w:sz w:val="32"/>
          <w:szCs w:val="32"/>
          <w:highlight w:val="none"/>
        </w:rPr>
      </w:pPr>
      <w:r>
        <w:rPr>
          <w:rFonts w:hint="eastAsia" w:ascii="仿宋" w:hAnsi="仿宋" w:eastAsia="仿宋" w:cs="仿宋"/>
          <w:b/>
          <w:bCs/>
          <w:color w:val="auto"/>
          <w:kern w:val="0"/>
          <w:sz w:val="32"/>
          <w:szCs w:val="32"/>
          <w:highlight w:val="none"/>
        </w:rPr>
        <w:t>第一部分单位基本情况</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部门职责</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机构设置</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0"/>
          <w:szCs w:val="30"/>
          <w:highlight w:val="none"/>
          <w:lang w:val="en-US" w:eastAsia="zh-CN"/>
        </w:rPr>
      </w:pPr>
      <w:r>
        <w:rPr>
          <w:rFonts w:hint="eastAsia" w:ascii="仿宋" w:hAnsi="仿宋" w:eastAsia="仿宋" w:cs="仿宋"/>
          <w:color w:val="auto"/>
          <w:sz w:val="30"/>
          <w:szCs w:val="30"/>
          <w:highlight w:val="none"/>
          <w:lang w:val="en-US" w:eastAsia="zh-CN"/>
        </w:rPr>
        <w:t>三、部门决算编报范围及</w:t>
      </w:r>
      <w:r>
        <w:rPr>
          <w:rFonts w:hint="eastAsia" w:ascii="仿宋" w:hAnsi="仿宋" w:eastAsia="仿宋" w:cs="仿宋"/>
          <w:color w:val="auto"/>
          <w:sz w:val="32"/>
          <w:szCs w:val="32"/>
          <w:highlight w:val="none"/>
        </w:rPr>
        <w:t>人员构成</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firstLine="964" w:firstLineChars="300"/>
        <w:jc w:val="center"/>
        <w:textAlignment w:val="auto"/>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第二部分201</w:t>
      </w:r>
      <w:r>
        <w:rPr>
          <w:rFonts w:hint="eastAsia" w:ascii="仿宋" w:hAnsi="仿宋" w:eastAsia="仿宋" w:cs="仿宋"/>
          <w:b/>
          <w:color w:val="auto"/>
          <w:sz w:val="32"/>
          <w:szCs w:val="32"/>
          <w:highlight w:val="none"/>
          <w:lang w:val="en-US" w:eastAsia="zh-CN"/>
        </w:rPr>
        <w:t>9</w:t>
      </w:r>
      <w:r>
        <w:rPr>
          <w:rFonts w:hint="eastAsia" w:ascii="仿宋" w:hAnsi="仿宋" w:eastAsia="仿宋" w:cs="仿宋"/>
          <w:b/>
          <w:color w:val="auto"/>
          <w:sz w:val="32"/>
          <w:szCs w:val="32"/>
          <w:highlight w:val="none"/>
        </w:rPr>
        <w:t>年部门预算执行总体情况说明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二</w:t>
      </w:r>
      <w:r>
        <w:rPr>
          <w:rFonts w:hint="eastAsia" w:ascii="仿宋" w:hAnsi="仿宋" w:eastAsia="仿宋" w:cs="仿宋"/>
          <w:color w:val="auto"/>
          <w:sz w:val="32"/>
          <w:szCs w:val="32"/>
          <w:highlight w:val="none"/>
          <w:lang w:eastAsia="zh-CN"/>
        </w:rPr>
        <w:t>、</w:t>
      </w:r>
      <w:r>
        <w:rPr>
          <w:rFonts w:hint="eastAsia" w:ascii="仿宋" w:hAnsi="仿宋" w:eastAsia="仿宋" w:cs="仿宋"/>
          <w:color w:val="auto"/>
          <w:sz w:val="32"/>
          <w:szCs w:val="32"/>
          <w:highlight w:val="none"/>
        </w:rPr>
        <w:t>收入决算情况说明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三、支出决算情况说明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四、 财政拨款收入支出决算总体情况说明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五、一般公共预算财政拨款支出决算情况说明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六</w:t>
      </w:r>
      <w:r>
        <w:rPr>
          <w:rFonts w:hint="eastAsia" w:ascii="仿宋" w:hAnsi="仿宋" w:eastAsia="仿宋" w:cs="仿宋"/>
          <w:color w:val="auto"/>
          <w:sz w:val="32"/>
          <w:szCs w:val="32"/>
          <w:highlight w:val="none"/>
        </w:rPr>
        <w:t>、一般公共预算财政拨款基本支出情况说明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七</w:t>
      </w:r>
      <w:r>
        <w:rPr>
          <w:rFonts w:hint="eastAsia" w:ascii="仿宋" w:hAnsi="仿宋" w:eastAsia="仿宋" w:cs="仿宋"/>
          <w:color w:val="auto"/>
          <w:sz w:val="32"/>
          <w:szCs w:val="32"/>
          <w:highlight w:val="none"/>
        </w:rPr>
        <w:t>、一般公共预算财政拨款“三公”经费支出决算情况说明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lang w:eastAsia="zh-CN"/>
        </w:rPr>
        <w:t>八</w:t>
      </w:r>
      <w:r>
        <w:rPr>
          <w:rFonts w:hint="eastAsia" w:ascii="仿宋" w:hAnsi="仿宋" w:eastAsia="仿宋" w:cs="仿宋"/>
          <w:color w:val="auto"/>
          <w:sz w:val="32"/>
          <w:szCs w:val="32"/>
          <w:highlight w:val="none"/>
        </w:rPr>
        <w:t>、政府性基金预算财政拨款收入支出决算情况说明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九、</w:t>
      </w:r>
      <w:r>
        <w:rPr>
          <w:rFonts w:hint="eastAsia" w:ascii="仿宋" w:hAnsi="仿宋" w:eastAsia="仿宋" w:cs="仿宋"/>
          <w:b w:val="0"/>
          <w:bCs w:val="0"/>
          <w:color w:val="auto"/>
          <w:sz w:val="32"/>
          <w:szCs w:val="32"/>
          <w:highlight w:val="none"/>
        </w:rPr>
        <w:t>预算绩效管理工作开展情况说明。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2"/>
          <w:szCs w:val="32"/>
          <w:highlight w:val="none"/>
        </w:rPr>
      </w:pPr>
      <w:r>
        <w:rPr>
          <w:rFonts w:hint="eastAsia" w:ascii="仿宋" w:hAnsi="仿宋" w:eastAsia="仿宋" w:cs="仿宋"/>
          <w:b w:val="0"/>
          <w:bCs w:val="0"/>
          <w:color w:val="auto"/>
          <w:sz w:val="32"/>
          <w:szCs w:val="32"/>
          <w:highlight w:val="none"/>
          <w:lang w:eastAsia="zh-CN"/>
        </w:rPr>
        <w:t>十</w:t>
      </w:r>
      <w:r>
        <w:rPr>
          <w:rFonts w:hint="eastAsia" w:ascii="仿宋" w:hAnsi="仿宋" w:eastAsia="仿宋" w:cs="仿宋"/>
          <w:b w:val="0"/>
          <w:bCs w:val="0"/>
          <w:color w:val="auto"/>
          <w:sz w:val="32"/>
          <w:szCs w:val="32"/>
          <w:highlight w:val="none"/>
        </w:rPr>
        <w:t>、其他重要事项情况说明</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（一）机关运行经费支出情况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（二</w:t>
      </w:r>
      <w:r>
        <w:rPr>
          <w:rFonts w:hint="eastAsia" w:ascii="仿宋" w:hAnsi="仿宋" w:eastAsia="仿宋" w:cs="仿宋"/>
          <w:b w:val="0"/>
          <w:bCs w:val="0"/>
          <w:color w:val="auto"/>
          <w:sz w:val="30"/>
          <w:szCs w:val="30"/>
          <w:highlight w:val="none"/>
          <w:lang w:eastAsia="zh-CN"/>
        </w:rPr>
        <w:t>）</w:t>
      </w:r>
      <w:r>
        <w:rPr>
          <w:rFonts w:hint="eastAsia" w:ascii="仿宋" w:hAnsi="仿宋" w:eastAsia="仿宋" w:cs="仿宋"/>
          <w:b w:val="0"/>
          <w:bCs w:val="0"/>
          <w:color w:val="auto"/>
          <w:sz w:val="30"/>
          <w:szCs w:val="30"/>
          <w:highlight w:val="none"/>
        </w:rPr>
        <w:t>政府采购支出情况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0"/>
          <w:szCs w:val="30"/>
          <w:highlight w:val="none"/>
        </w:rPr>
      </w:pPr>
      <w:r>
        <w:rPr>
          <w:rFonts w:hint="eastAsia" w:ascii="仿宋" w:hAnsi="仿宋" w:eastAsia="仿宋" w:cs="仿宋"/>
          <w:b w:val="0"/>
          <w:bCs w:val="0"/>
          <w:color w:val="auto"/>
          <w:sz w:val="30"/>
          <w:szCs w:val="30"/>
          <w:highlight w:val="none"/>
        </w:rPr>
        <w:t>（三）国有资产占用情况</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Chars="0" w:right="0" w:rightChars="0"/>
        <w:jc w:val="left"/>
        <w:textAlignment w:val="auto"/>
        <w:outlineLvl w:val="9"/>
        <w:rPr>
          <w:rFonts w:hint="eastAsia" w:ascii="仿宋" w:hAnsi="仿宋" w:eastAsia="仿宋" w:cs="仿宋"/>
          <w:b w:val="0"/>
          <w:bCs w:val="0"/>
          <w:color w:val="auto"/>
          <w:sz w:val="30"/>
          <w:szCs w:val="30"/>
          <w:highlight w:val="none"/>
        </w:rPr>
      </w:pPr>
    </w:p>
    <w:p>
      <w:pPr>
        <w:keepNext w:val="0"/>
        <w:keepLines w:val="0"/>
        <w:pageBreakBefore w:val="0"/>
        <w:numPr>
          <w:ilvl w:val="0"/>
          <w:numId w:val="2"/>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color w:val="auto"/>
          <w:sz w:val="32"/>
          <w:szCs w:val="32"/>
          <w:highlight w:val="none"/>
        </w:rPr>
      </w:pPr>
      <w:r>
        <w:rPr>
          <w:rFonts w:hint="eastAsia" w:ascii="仿宋" w:hAnsi="仿宋" w:eastAsia="仿宋" w:cs="仿宋"/>
          <w:b/>
          <w:color w:val="auto"/>
          <w:sz w:val="32"/>
          <w:szCs w:val="32"/>
          <w:highlight w:val="none"/>
        </w:rPr>
        <w:t>名词解释</w:t>
      </w: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color w:val="auto"/>
          <w:sz w:val="11"/>
          <w:szCs w:val="11"/>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color w:val="auto"/>
          <w:sz w:val="11"/>
          <w:szCs w:val="11"/>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ascii="仿宋" w:hAnsi="仿宋" w:eastAsia="仿宋" w:cs="仿宋"/>
          <w:b/>
          <w:color w:val="auto"/>
          <w:sz w:val="11"/>
          <w:szCs w:val="11"/>
          <w:highlight w:val="none"/>
          <w:lang w:val="en-US" w:eastAsia="zh-CN"/>
        </w:rPr>
      </w:pPr>
    </w:p>
    <w:p>
      <w:pPr>
        <w:keepNext w:val="0"/>
        <w:keepLines w:val="0"/>
        <w:pageBreakBefore w:val="0"/>
        <w:numPr>
          <w:ilvl w:val="0"/>
          <w:numId w:val="0"/>
        </w:numPr>
        <w:kinsoku/>
        <w:wordWrap/>
        <w:overflowPunct/>
        <w:topLinePunct w:val="0"/>
        <w:autoSpaceDE/>
        <w:autoSpaceDN/>
        <w:bidi w:val="0"/>
        <w:adjustRightInd/>
        <w:snapToGrid/>
        <w:spacing w:line="360" w:lineRule="auto"/>
        <w:ind w:right="0" w:rightChars="0"/>
        <w:jc w:val="center"/>
        <w:textAlignment w:val="auto"/>
        <w:outlineLvl w:val="9"/>
        <w:rPr>
          <w:rFonts w:hint="eastAsia" w:ascii="仿宋" w:hAnsi="仿宋" w:eastAsia="仿宋" w:cs="仿宋"/>
          <w:b/>
          <w:color w:val="auto"/>
          <w:sz w:val="32"/>
          <w:szCs w:val="32"/>
          <w:highlight w:val="none"/>
          <w:lang w:eastAsia="zh-CN"/>
        </w:rPr>
      </w:pPr>
      <w:r>
        <w:rPr>
          <w:rFonts w:hint="eastAsia" w:ascii="仿宋" w:hAnsi="仿宋" w:eastAsia="仿宋" w:cs="仿宋"/>
          <w:b/>
          <w:color w:val="auto"/>
          <w:sz w:val="32"/>
          <w:szCs w:val="32"/>
          <w:highlight w:val="none"/>
          <w:lang w:eastAsia="zh-CN"/>
        </w:rPr>
        <w:t>第四部分</w:t>
      </w:r>
      <w:r>
        <w:rPr>
          <w:rFonts w:hint="eastAsia" w:ascii="仿宋" w:hAnsi="仿宋" w:eastAsia="仿宋" w:cs="仿宋"/>
          <w:b/>
          <w:color w:val="auto"/>
          <w:sz w:val="32"/>
          <w:szCs w:val="32"/>
          <w:highlight w:val="none"/>
          <w:lang w:val="en-US" w:eastAsia="zh-CN"/>
        </w:rPr>
        <w:t>2019年度部门决算公开表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收入决算表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财政拨款收入支出决算总表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一般公共预算财政拨款基本支出决算表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一般公共预算财政拨款“三公”经费支出决算表</w:t>
      </w:r>
    </w:p>
    <w:p>
      <w:pPr>
        <w:keepNext w:val="0"/>
        <w:keepLines w:val="0"/>
        <w:pageBreakBefore w:val="0"/>
        <w:numPr>
          <w:ilvl w:val="0"/>
          <w:numId w:val="3"/>
        </w:numPr>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r>
        <w:rPr>
          <w:rFonts w:hint="eastAsia" w:ascii="仿宋" w:hAnsi="仿宋" w:eastAsia="仿宋" w:cs="仿宋"/>
          <w:color w:val="auto"/>
          <w:sz w:val="32"/>
          <w:szCs w:val="32"/>
          <w:highlight w:val="none"/>
        </w:rPr>
        <w:t>政府性基金预算财政拨款收入支出决算表</w:t>
      </w: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p>
    <w:p>
      <w:pPr>
        <w:keepNext w:val="0"/>
        <w:keepLines w:val="0"/>
        <w:pageBreakBefore w:val="0"/>
        <w:kinsoku/>
        <w:wordWrap/>
        <w:overflowPunct/>
        <w:topLinePunct w:val="0"/>
        <w:autoSpaceDE/>
        <w:autoSpaceDN/>
        <w:bidi w:val="0"/>
        <w:adjustRightInd/>
        <w:snapToGrid/>
        <w:spacing w:line="360" w:lineRule="auto"/>
        <w:ind w:right="0" w:rightChars="0"/>
        <w:textAlignment w:val="auto"/>
        <w:outlineLvl w:val="9"/>
        <w:rPr>
          <w:rFonts w:hint="eastAsia" w:ascii="仿宋" w:hAnsi="仿宋" w:eastAsia="仿宋" w:cs="仿宋"/>
          <w:color w:val="auto"/>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第一部分</w:t>
      </w:r>
      <w:r>
        <w:rPr>
          <w:rFonts w:hint="eastAsia" w:ascii="仿宋" w:hAnsi="仿宋" w:eastAsia="仿宋" w:cs="仿宋"/>
          <w:b/>
          <w:bCs/>
          <w:sz w:val="32"/>
          <w:szCs w:val="32"/>
          <w:highlight w:val="none"/>
          <w:lang w:eastAsia="zh-CN"/>
        </w:rPr>
        <w:t>单位</w:t>
      </w:r>
      <w:r>
        <w:rPr>
          <w:rFonts w:hint="eastAsia" w:ascii="仿宋" w:hAnsi="仿宋" w:eastAsia="仿宋" w:cs="仿宋"/>
          <w:b/>
          <w:bCs/>
          <w:sz w:val="32"/>
          <w:szCs w:val="32"/>
          <w:highlight w:val="none"/>
        </w:rPr>
        <w:t>基本情况</w:t>
      </w:r>
    </w:p>
    <w:p>
      <w:pPr>
        <w:wordWrap/>
        <w:adjustRightInd/>
        <w:snapToGrid/>
        <w:spacing w:line="360" w:lineRule="auto"/>
        <w:ind w:right="0"/>
        <w:textAlignment w:val="auto"/>
        <w:outlineLvl w:val="9"/>
        <w:rPr>
          <w:rFonts w:hint="eastAsia" w:ascii="仿宋" w:hAnsi="仿宋" w:eastAsia="仿宋" w:cs="仿宋"/>
          <w:b/>
          <w:bCs/>
          <w:sz w:val="32"/>
          <w:szCs w:val="32"/>
          <w:highlight w:val="none"/>
        </w:rPr>
      </w:pPr>
    </w:p>
    <w:p>
      <w:pPr>
        <w:numPr>
          <w:ilvl w:val="0"/>
          <w:numId w:val="4"/>
        </w:num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部门职责</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一）负责全镇医疗卫生、公共卫生和计划生育工作。负责实施全镇疾病预防控制规划、免疫接种，公共卫生服务，组织开展职业卫生、放射卫生、环境卫生、学校卫生、公共场所卫生、饮用水卫生等相关监测、调查、评估和监督。</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（二）指导五林洞镇乡村医生基层卫生，公共卫生，和计划生育工作，推进五林洞镇基本公共卫生和计划生育服务均等化，负责五林洞镇镇医疗服务全行业管理办法。</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（三）组织实施医疗机构的医疗服务、医疗技术、医疗质量、医疗安全以及采供血机构的管理规范和标准，会同上级有关部门贯彻执行组织实施卫生专业技术人员执业规则和服务规范</w:t>
      </w:r>
      <w:r>
        <w:rPr>
          <w:rFonts w:hint="eastAsia" w:ascii="仿宋" w:hAnsi="仿宋" w:eastAsia="仿宋"/>
          <w:sz w:val="32"/>
          <w:szCs w:val="32"/>
          <w:highlight w:val="none"/>
          <w:lang w:eastAsia="zh-CN"/>
        </w:rPr>
        <w:t>，</w:t>
      </w:r>
      <w:r>
        <w:rPr>
          <w:rFonts w:hint="eastAsia" w:ascii="仿宋" w:hAnsi="仿宋" w:eastAsia="仿宋"/>
          <w:sz w:val="32"/>
          <w:szCs w:val="32"/>
          <w:highlight w:val="none"/>
        </w:rPr>
        <w:t>建立五林洞镇医疗服务评价和监督管理体系。</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（四）负责组织推进五林洞镇镇卫生院医疗体制改革。实施计划生育技术服务、管理制度、奖扶、特扶工作、推动建立流动人口卫生和计划生育信息共享和公共服务工作机制。</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五）指导各村卫生和计划生育工作，卫生和计划生育宣传、健康教育、健康促进和信息化建设等工作，依法组织实施统计调查。制定全镇中医药中长期发展规划、组织实施中医药技术，推进中医药的继承与创新，加强五林洞镇镇中医药行业监管。</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（六）承办上级交办的其他事项。</w:t>
      </w:r>
    </w:p>
    <w:p>
      <w:pPr>
        <w:numPr>
          <w:ilvl w:val="0"/>
          <w:numId w:val="4"/>
        </w:num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机构设置</w:t>
      </w:r>
    </w:p>
    <w:p>
      <w:pPr>
        <w:spacing w:line="660" w:lineRule="exact"/>
        <w:ind w:firstLine="630"/>
        <w:rPr>
          <w:rFonts w:hint="eastAsia" w:ascii="仿宋" w:hAnsi="仿宋" w:eastAsia="仿宋"/>
          <w:sz w:val="32"/>
          <w:szCs w:val="32"/>
          <w:highlight w:val="none"/>
        </w:rPr>
      </w:pPr>
      <w:r>
        <w:rPr>
          <w:rFonts w:hint="eastAsia" w:ascii="仿宋" w:hAnsi="仿宋" w:eastAsia="仿宋"/>
          <w:sz w:val="32"/>
          <w:szCs w:val="32"/>
          <w:highlight w:val="none"/>
        </w:rPr>
        <w:t>根据上述职责，</w:t>
      </w:r>
      <w:r>
        <w:rPr>
          <w:rFonts w:hint="eastAsia" w:ascii="仿宋" w:hAnsi="仿宋" w:eastAsia="仿宋"/>
          <w:sz w:val="32"/>
          <w:szCs w:val="32"/>
          <w:highlight w:val="none"/>
          <w:lang w:eastAsia="zh-CN"/>
        </w:rPr>
        <w:t>饶河县五林洞镇中心卫生院</w:t>
      </w:r>
      <w:r>
        <w:rPr>
          <w:rFonts w:hint="eastAsia" w:ascii="仿宋" w:hAnsi="仿宋" w:eastAsia="仿宋"/>
          <w:sz w:val="32"/>
          <w:szCs w:val="32"/>
          <w:highlight w:val="none"/>
        </w:rPr>
        <w:t>设</w:t>
      </w:r>
      <w:r>
        <w:rPr>
          <w:rFonts w:hint="eastAsia" w:ascii="仿宋" w:hAnsi="仿宋" w:eastAsia="仿宋"/>
          <w:sz w:val="32"/>
          <w:szCs w:val="32"/>
          <w:highlight w:val="none"/>
          <w:lang w:val="en-US" w:eastAsia="zh-CN"/>
        </w:rPr>
        <w:t>6</w:t>
      </w:r>
      <w:r>
        <w:rPr>
          <w:rFonts w:hint="eastAsia" w:ascii="仿宋" w:hAnsi="仿宋" w:eastAsia="仿宋"/>
          <w:sz w:val="32"/>
          <w:szCs w:val="32"/>
          <w:highlight w:val="none"/>
        </w:rPr>
        <w:t>个内设机构：</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外科，医疗、手术，外伤处理。</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内科，常见病多发病的诊疗工作。 </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防疫科，计划免疫、结核病防治、传染病报告、卫生监督协管 </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新农合，负责全镇新型农村合作医疗工作。 </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 xml:space="preserve">财会室，承担卫生院预决算、财务、资产管理和内部审计工作。 </w:t>
      </w:r>
    </w:p>
    <w:p>
      <w:pPr>
        <w:numPr>
          <w:ilvl w:val="0"/>
          <w:numId w:val="5"/>
        </w:numPr>
        <w:spacing w:line="660" w:lineRule="exact"/>
        <w:ind w:firstLine="630"/>
        <w:rPr>
          <w:rFonts w:hint="eastAsia" w:ascii="仿宋" w:hAnsi="仿宋" w:eastAsia="仿宋"/>
          <w:sz w:val="32"/>
          <w:szCs w:val="32"/>
          <w:highlight w:val="none"/>
          <w:lang w:val="en-US" w:eastAsia="zh-CN"/>
        </w:rPr>
      </w:pPr>
      <w:r>
        <w:rPr>
          <w:rFonts w:hint="eastAsia" w:ascii="仿宋" w:hAnsi="仿宋" w:eastAsia="仿宋"/>
          <w:sz w:val="32"/>
          <w:szCs w:val="32"/>
          <w:highlight w:val="none"/>
          <w:lang w:val="en-US" w:eastAsia="zh-CN"/>
        </w:rPr>
        <w:t>计生站，计划生育基层指导与宣传。</w:t>
      </w:r>
    </w:p>
    <w:p>
      <w:pPr>
        <w:wordWrap/>
        <w:adjustRightInd/>
        <w:snapToGrid/>
        <w:spacing w:line="360" w:lineRule="auto"/>
        <w:ind w:right="0" w:firstLine="643" w:firstLineChars="200"/>
        <w:textAlignment w:val="auto"/>
        <w:outlineLvl w:val="9"/>
        <w:rPr>
          <w:rFonts w:hint="eastAsia" w:ascii="仿宋" w:hAnsi="仿宋" w:eastAsia="仿宋" w:cs="仿宋"/>
          <w:b/>
          <w:bCs/>
          <w:sz w:val="32"/>
          <w:szCs w:val="32"/>
          <w:highlight w:val="none"/>
          <w:lang w:eastAsia="zh-CN"/>
        </w:rPr>
      </w:pPr>
      <w:r>
        <w:rPr>
          <w:rFonts w:hint="eastAsia" w:ascii="仿宋" w:hAnsi="仿宋" w:eastAsia="仿宋" w:cs="仿宋"/>
          <w:b/>
          <w:bCs/>
          <w:sz w:val="32"/>
          <w:szCs w:val="32"/>
          <w:highlight w:val="none"/>
        </w:rPr>
        <w:t>三、</w:t>
      </w:r>
      <w:r>
        <w:rPr>
          <w:rFonts w:hint="eastAsia" w:ascii="仿宋" w:hAnsi="仿宋" w:eastAsia="仿宋" w:cs="仿宋"/>
          <w:b/>
          <w:bCs/>
          <w:sz w:val="30"/>
          <w:szCs w:val="30"/>
          <w:highlight w:val="none"/>
          <w:lang w:val="en-US" w:eastAsia="zh-CN"/>
        </w:rPr>
        <w:t>部门决算编报范围及</w:t>
      </w:r>
      <w:r>
        <w:rPr>
          <w:rFonts w:hint="eastAsia" w:ascii="仿宋" w:hAnsi="仿宋" w:eastAsia="仿宋" w:cs="仿宋"/>
          <w:b/>
          <w:bCs/>
          <w:sz w:val="32"/>
          <w:szCs w:val="32"/>
          <w:highlight w:val="none"/>
        </w:rPr>
        <w:t>人员构成</w:t>
      </w:r>
    </w:p>
    <w:p>
      <w:pPr>
        <w:widowControl/>
        <w:spacing w:line="315" w:lineRule="atLeast"/>
        <w:ind w:firstLine="628"/>
        <w:rPr>
          <w:rFonts w:hint="eastAsia" w:ascii="仿宋" w:hAnsi="仿宋" w:eastAsia="仿宋" w:cs="仿宋"/>
          <w:color w:val="auto"/>
          <w:sz w:val="30"/>
          <w:szCs w:val="30"/>
          <w:highlight w:val="none"/>
          <w:lang w:eastAsia="zh-CN"/>
        </w:rPr>
      </w:pPr>
      <w:r>
        <w:rPr>
          <w:rFonts w:hint="eastAsia" w:ascii="仿宋" w:hAnsi="仿宋" w:eastAsia="仿宋" w:cs="仿宋"/>
          <w:color w:val="000000"/>
          <w:kern w:val="0"/>
          <w:sz w:val="30"/>
          <w:szCs w:val="30"/>
          <w:highlight w:val="none"/>
        </w:rPr>
        <w:t>201</w:t>
      </w:r>
      <w:r>
        <w:rPr>
          <w:rFonts w:hint="eastAsia" w:ascii="仿宋" w:hAnsi="仿宋" w:eastAsia="仿宋" w:cs="仿宋"/>
          <w:color w:val="000000"/>
          <w:kern w:val="0"/>
          <w:sz w:val="30"/>
          <w:szCs w:val="30"/>
          <w:highlight w:val="none"/>
          <w:lang w:val="en-US" w:eastAsia="zh-CN"/>
        </w:rPr>
        <w:t>9</w:t>
      </w:r>
      <w:r>
        <w:rPr>
          <w:rFonts w:hint="eastAsia" w:ascii="仿宋" w:hAnsi="仿宋" w:eastAsia="仿宋" w:cs="仿宋"/>
          <w:color w:val="000000"/>
          <w:kern w:val="0"/>
          <w:sz w:val="30"/>
          <w:szCs w:val="30"/>
          <w:highlight w:val="none"/>
        </w:rPr>
        <w:t>年</w:t>
      </w:r>
      <w:r>
        <w:rPr>
          <w:rFonts w:hint="eastAsia" w:ascii="仿宋" w:hAnsi="仿宋" w:eastAsia="仿宋" w:cs="仿宋"/>
          <w:color w:val="000000"/>
          <w:kern w:val="0"/>
          <w:sz w:val="30"/>
          <w:szCs w:val="30"/>
          <w:highlight w:val="none"/>
          <w:lang w:val="en-US" w:eastAsia="zh-CN"/>
        </w:rPr>
        <w:t>度纳入本</w:t>
      </w:r>
      <w:r>
        <w:rPr>
          <w:rFonts w:hint="eastAsia" w:ascii="仿宋" w:hAnsi="仿宋" w:eastAsia="仿宋" w:cs="仿宋"/>
          <w:color w:val="000000"/>
          <w:kern w:val="0"/>
          <w:sz w:val="30"/>
          <w:szCs w:val="30"/>
          <w:highlight w:val="none"/>
        </w:rPr>
        <w:t>部门</w:t>
      </w:r>
      <w:r>
        <w:rPr>
          <w:rFonts w:hint="eastAsia" w:ascii="仿宋" w:hAnsi="仿宋" w:eastAsia="仿宋" w:cs="仿宋"/>
          <w:color w:val="000000"/>
          <w:kern w:val="0"/>
          <w:sz w:val="30"/>
          <w:szCs w:val="30"/>
          <w:highlight w:val="none"/>
          <w:lang w:val="en-US" w:eastAsia="zh-CN"/>
        </w:rPr>
        <w:t>决算</w:t>
      </w:r>
      <w:r>
        <w:rPr>
          <w:rFonts w:hint="eastAsia" w:ascii="仿宋" w:hAnsi="仿宋" w:eastAsia="仿宋" w:cs="仿宋"/>
          <w:color w:val="000000"/>
          <w:kern w:val="0"/>
          <w:sz w:val="30"/>
          <w:szCs w:val="30"/>
          <w:highlight w:val="none"/>
        </w:rPr>
        <w:t>的编制范围</w:t>
      </w:r>
      <w:r>
        <w:rPr>
          <w:rFonts w:hint="eastAsia" w:ascii="仿宋" w:hAnsi="仿宋" w:eastAsia="仿宋" w:cs="仿宋"/>
          <w:color w:val="000000"/>
          <w:kern w:val="0"/>
          <w:sz w:val="30"/>
          <w:szCs w:val="30"/>
          <w:highlight w:val="none"/>
          <w:lang w:val="en-US" w:eastAsia="zh-CN"/>
        </w:rPr>
        <w:t>的单位有1个，为2019年末</w:t>
      </w:r>
      <w:r>
        <w:rPr>
          <w:rFonts w:hint="eastAsia" w:ascii="仿宋" w:hAnsi="仿宋" w:eastAsia="仿宋" w:cs="仿宋"/>
          <w:color w:val="auto"/>
          <w:sz w:val="30"/>
          <w:szCs w:val="30"/>
          <w:highlight w:val="none"/>
        </w:rPr>
        <w:t>事业编制</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rPr>
        <w:t>人；</w:t>
      </w:r>
      <w:r>
        <w:rPr>
          <w:rFonts w:hint="eastAsia" w:ascii="仿宋" w:hAnsi="仿宋" w:eastAsia="仿宋" w:cs="仿宋"/>
          <w:color w:val="auto"/>
          <w:sz w:val="30"/>
          <w:szCs w:val="30"/>
          <w:highlight w:val="none"/>
          <w:lang w:eastAsia="zh-CN"/>
        </w:rPr>
        <w:t>年末机构实有人数</w:t>
      </w:r>
      <w:r>
        <w:rPr>
          <w:rFonts w:hint="eastAsia" w:ascii="仿宋" w:hAnsi="仿宋" w:eastAsia="仿宋" w:cs="仿宋"/>
          <w:color w:val="auto"/>
          <w:sz w:val="30"/>
          <w:szCs w:val="30"/>
          <w:highlight w:val="none"/>
          <w:lang w:val="en-US" w:eastAsia="zh-CN"/>
        </w:rPr>
        <w:t>9人，其中：</w:t>
      </w:r>
      <w:r>
        <w:rPr>
          <w:rFonts w:hint="eastAsia" w:ascii="仿宋" w:hAnsi="仿宋" w:eastAsia="仿宋" w:cs="仿宋"/>
          <w:color w:val="auto"/>
          <w:sz w:val="30"/>
          <w:szCs w:val="30"/>
          <w:highlight w:val="none"/>
        </w:rPr>
        <w:t>在职人</w:t>
      </w:r>
      <w:r>
        <w:rPr>
          <w:rFonts w:hint="eastAsia" w:ascii="仿宋" w:hAnsi="仿宋" w:eastAsia="仿宋" w:cs="仿宋"/>
          <w:color w:val="auto"/>
          <w:sz w:val="30"/>
          <w:szCs w:val="30"/>
          <w:highlight w:val="none"/>
          <w:lang w:eastAsia="zh-CN"/>
        </w:rPr>
        <w:t>员</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rPr>
        <w:t>人。</w:t>
      </w:r>
    </w:p>
    <w:p>
      <w:pPr>
        <w:widowControl/>
        <w:wordWrap/>
        <w:adjustRightInd/>
        <w:snapToGrid/>
        <w:spacing w:line="360" w:lineRule="auto"/>
        <w:ind w:right="0" w:firstLine="640"/>
        <w:jc w:val="left"/>
        <w:textAlignment w:val="auto"/>
        <w:outlineLvl w:val="9"/>
        <w:rPr>
          <w:rFonts w:hint="eastAsia" w:ascii="仿宋" w:hAnsi="仿宋" w:eastAsia="仿宋" w:cs="仿宋"/>
          <w:color w:val="auto"/>
          <w:sz w:val="30"/>
          <w:szCs w:val="30"/>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第二部分201</w:t>
      </w:r>
      <w:r>
        <w:rPr>
          <w:rFonts w:hint="eastAsia" w:ascii="仿宋" w:hAnsi="仿宋" w:eastAsia="仿宋" w:cs="仿宋"/>
          <w:b/>
          <w:bCs/>
          <w:sz w:val="32"/>
          <w:szCs w:val="32"/>
          <w:highlight w:val="none"/>
          <w:lang w:val="en-US" w:eastAsia="zh-CN"/>
        </w:rPr>
        <w:t>9</w:t>
      </w:r>
      <w:r>
        <w:rPr>
          <w:rFonts w:hint="eastAsia" w:ascii="仿宋" w:hAnsi="仿宋" w:eastAsia="仿宋" w:cs="仿宋"/>
          <w:b/>
          <w:bCs/>
          <w:sz w:val="32"/>
          <w:szCs w:val="32"/>
          <w:highlight w:val="none"/>
        </w:rPr>
        <w:t>年部门预算执行总体情况说明</w:t>
      </w:r>
    </w:p>
    <w:p>
      <w:pPr>
        <w:wordWrap/>
        <w:adjustRightInd/>
        <w:snapToGrid/>
        <w:spacing w:line="360" w:lineRule="auto"/>
        <w:ind w:right="0"/>
        <w:jc w:val="left"/>
        <w:textAlignment w:val="auto"/>
        <w:outlineLvl w:val="9"/>
        <w:rPr>
          <w:rFonts w:hint="eastAsia" w:ascii="仿宋" w:hAnsi="仿宋" w:eastAsia="仿宋" w:cs="仿宋"/>
          <w:sz w:val="32"/>
          <w:szCs w:val="32"/>
          <w:highlight w:val="none"/>
        </w:rPr>
      </w:pPr>
    </w:p>
    <w:p>
      <w:pPr>
        <w:widowControl/>
        <w:numPr>
          <w:ilvl w:val="0"/>
          <w:numId w:val="0"/>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一、收入支出决算总体情况说明</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kern w:val="0"/>
          <w:sz w:val="30"/>
          <w:szCs w:val="30"/>
          <w:highlight w:val="none"/>
          <w:u w:val="none"/>
          <w:lang w:eastAsia="zh-CN"/>
        </w:rPr>
        <w:t>201</w:t>
      </w:r>
      <w:r>
        <w:rPr>
          <w:rFonts w:hint="eastAsia" w:ascii="仿宋" w:hAnsi="仿宋" w:eastAsia="仿宋" w:cs="仿宋"/>
          <w:kern w:val="0"/>
          <w:sz w:val="30"/>
          <w:szCs w:val="30"/>
          <w:highlight w:val="none"/>
          <w:u w:val="none"/>
          <w:lang w:val="en-US" w:eastAsia="zh-CN"/>
        </w:rPr>
        <w:t>9</w:t>
      </w:r>
      <w:r>
        <w:rPr>
          <w:rFonts w:hint="eastAsia" w:ascii="仿宋" w:hAnsi="仿宋" w:eastAsia="仿宋" w:cs="仿宋"/>
          <w:kern w:val="0"/>
          <w:sz w:val="30"/>
          <w:szCs w:val="30"/>
          <w:highlight w:val="none"/>
          <w:u w:val="none"/>
          <w:lang w:eastAsia="zh-CN"/>
        </w:rPr>
        <w:t>年</w:t>
      </w:r>
      <w:r>
        <w:rPr>
          <w:rFonts w:hint="eastAsia" w:ascii="仿宋" w:hAnsi="仿宋" w:eastAsia="仿宋" w:cs="仿宋"/>
          <w:kern w:val="0"/>
          <w:sz w:val="30"/>
          <w:szCs w:val="30"/>
          <w:highlight w:val="none"/>
          <w:u w:val="none"/>
        </w:rPr>
        <w:t>度部门决算</w:t>
      </w:r>
      <w:r>
        <w:rPr>
          <w:rFonts w:hint="eastAsia" w:ascii="仿宋" w:hAnsi="仿宋" w:eastAsia="仿宋" w:cs="仿宋"/>
          <w:kern w:val="0"/>
          <w:sz w:val="30"/>
          <w:szCs w:val="30"/>
          <w:highlight w:val="none"/>
          <w:u w:val="none"/>
          <w:lang w:eastAsia="zh-CN"/>
        </w:rPr>
        <w:t>收、支总计</w:t>
      </w:r>
      <w:r>
        <w:rPr>
          <w:rFonts w:hint="eastAsia" w:ascii="仿宋" w:hAnsi="仿宋" w:eastAsia="仿宋" w:cs="仿宋"/>
          <w:kern w:val="0"/>
          <w:sz w:val="30"/>
          <w:szCs w:val="30"/>
          <w:highlight w:val="none"/>
          <w:u w:val="none"/>
          <w:lang w:val="en-US" w:eastAsia="zh-CN"/>
        </w:rPr>
        <w:t>142.71万元，其中：</w:t>
      </w:r>
      <w:r>
        <w:rPr>
          <w:rFonts w:hint="eastAsia" w:ascii="仿宋" w:hAnsi="仿宋" w:eastAsia="仿宋" w:cs="仿宋"/>
          <w:kern w:val="0"/>
          <w:sz w:val="30"/>
          <w:szCs w:val="30"/>
          <w:highlight w:val="none"/>
          <w:u w:val="none"/>
        </w:rPr>
        <w:t>本年收入</w:t>
      </w:r>
      <w:r>
        <w:rPr>
          <w:rFonts w:hint="eastAsia" w:ascii="仿宋" w:hAnsi="仿宋" w:eastAsia="仿宋" w:cs="仿宋"/>
          <w:kern w:val="0"/>
          <w:sz w:val="30"/>
          <w:szCs w:val="30"/>
          <w:highlight w:val="none"/>
          <w:u w:val="none"/>
          <w:lang w:val="en-US" w:eastAsia="zh-CN"/>
        </w:rPr>
        <w:t>140.71</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年初结转和结余</w:t>
      </w:r>
      <w:r>
        <w:rPr>
          <w:rFonts w:hint="eastAsia" w:ascii="仿宋" w:hAnsi="仿宋" w:eastAsia="仿宋" w:cs="仿宋"/>
          <w:kern w:val="0"/>
          <w:sz w:val="30"/>
          <w:szCs w:val="30"/>
          <w:highlight w:val="none"/>
          <w:u w:val="none"/>
          <w:lang w:val="en-US" w:eastAsia="zh-CN"/>
        </w:rPr>
        <w:t>2</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kern w:val="0"/>
          <w:sz w:val="30"/>
          <w:szCs w:val="30"/>
          <w:highlight w:val="none"/>
          <w:u w:val="none"/>
        </w:rPr>
        <w:t>本年支出</w:t>
      </w:r>
      <w:r>
        <w:rPr>
          <w:rFonts w:hint="eastAsia" w:ascii="仿宋" w:hAnsi="仿宋" w:eastAsia="仿宋" w:cs="仿宋"/>
          <w:kern w:val="0"/>
          <w:sz w:val="30"/>
          <w:szCs w:val="30"/>
          <w:highlight w:val="none"/>
          <w:u w:val="none"/>
          <w:lang w:val="en-US" w:eastAsia="zh-CN"/>
        </w:rPr>
        <w:t>140.71</w:t>
      </w:r>
      <w:r>
        <w:rPr>
          <w:rFonts w:hint="eastAsia" w:ascii="仿宋" w:hAnsi="仿宋" w:eastAsia="仿宋" w:cs="仿宋"/>
          <w:kern w:val="0"/>
          <w:sz w:val="30"/>
          <w:szCs w:val="30"/>
          <w:highlight w:val="none"/>
          <w:u w:val="none"/>
        </w:rPr>
        <w:t>万元；年末结转和结余</w:t>
      </w:r>
      <w:r>
        <w:rPr>
          <w:rFonts w:hint="eastAsia" w:ascii="仿宋" w:hAnsi="仿宋" w:eastAsia="仿宋" w:cs="仿宋"/>
          <w:kern w:val="0"/>
          <w:sz w:val="30"/>
          <w:szCs w:val="30"/>
          <w:highlight w:val="none"/>
          <w:u w:val="none"/>
          <w:lang w:val="en-US" w:eastAsia="zh-CN"/>
        </w:rPr>
        <w:t>0</w:t>
      </w:r>
      <w:r>
        <w:rPr>
          <w:rFonts w:hint="eastAsia" w:ascii="仿宋" w:hAnsi="仿宋" w:eastAsia="仿宋" w:cs="仿宋"/>
          <w:kern w:val="0"/>
          <w:sz w:val="30"/>
          <w:szCs w:val="30"/>
          <w:highlight w:val="none"/>
          <w:u w:val="none"/>
        </w:rPr>
        <w:t>万元</w:t>
      </w:r>
      <w:r>
        <w:rPr>
          <w:rFonts w:hint="eastAsia" w:ascii="仿宋" w:hAnsi="仿宋" w:eastAsia="仿宋" w:cs="仿宋"/>
          <w:kern w:val="0"/>
          <w:sz w:val="30"/>
          <w:szCs w:val="30"/>
          <w:highlight w:val="none"/>
          <w:u w:val="none"/>
          <w:lang w:eastAsia="zh-CN"/>
        </w:rPr>
        <w:t>。</w:t>
      </w:r>
      <w:r>
        <w:rPr>
          <w:rFonts w:hint="eastAsia" w:ascii="仿宋" w:hAnsi="仿宋" w:eastAsia="仿宋" w:cs="仿宋"/>
          <w:sz w:val="30"/>
          <w:szCs w:val="30"/>
          <w:highlight w:val="none"/>
        </w:rPr>
        <w:t>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收、支总计</w:t>
      </w:r>
      <w:r>
        <w:rPr>
          <w:rFonts w:hint="eastAsia" w:ascii="仿宋" w:hAnsi="仿宋" w:eastAsia="仿宋" w:cs="仿宋"/>
          <w:sz w:val="30"/>
          <w:szCs w:val="30"/>
          <w:highlight w:val="none"/>
          <w:lang w:eastAsia="zh-CN"/>
        </w:rPr>
        <w:t>均减少</w:t>
      </w:r>
      <w:r>
        <w:rPr>
          <w:rFonts w:hint="eastAsia" w:ascii="仿宋" w:hAnsi="仿宋" w:eastAsia="仿宋" w:cs="仿宋"/>
          <w:sz w:val="30"/>
          <w:szCs w:val="30"/>
          <w:highlight w:val="none"/>
          <w:lang w:val="en-US" w:eastAsia="zh-CN"/>
        </w:rPr>
        <w:t>2.27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1.56%</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医疗卫生经费减少</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二、收入决算情况说明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本年收入合计</w:t>
      </w:r>
      <w:r>
        <w:rPr>
          <w:rFonts w:hint="eastAsia" w:ascii="仿宋" w:hAnsi="仿宋" w:eastAsia="仿宋" w:cs="仿宋"/>
          <w:kern w:val="0"/>
          <w:sz w:val="30"/>
          <w:szCs w:val="30"/>
          <w:highlight w:val="none"/>
          <w:u w:val="none"/>
          <w:lang w:val="en-US" w:eastAsia="zh-CN"/>
        </w:rPr>
        <w:t>140.71</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4.27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2.95</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医疗卫生经费减少。</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其中：财政拨款收入</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收入合计的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三、支出决算情况说明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rPr>
        <w:t>本年支出合计</w:t>
      </w:r>
      <w:r>
        <w:rPr>
          <w:rFonts w:hint="eastAsia" w:ascii="仿宋" w:hAnsi="仿宋" w:eastAsia="仿宋" w:cs="仿宋"/>
          <w:kern w:val="0"/>
          <w:sz w:val="30"/>
          <w:szCs w:val="30"/>
          <w:highlight w:val="none"/>
          <w:u w:val="none"/>
          <w:lang w:val="en-US" w:eastAsia="zh-CN"/>
        </w:rPr>
        <w:t>140.71</w:t>
      </w:r>
      <w:r>
        <w:rPr>
          <w:rFonts w:hint="eastAsia" w:ascii="仿宋" w:hAnsi="仿宋" w:eastAsia="仿宋" w:cs="仿宋"/>
          <w:sz w:val="30"/>
          <w:szCs w:val="30"/>
          <w:highlight w:val="none"/>
        </w:rPr>
        <w:t>万元，与201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w:t>
      </w:r>
      <w:r>
        <w:rPr>
          <w:rFonts w:hint="eastAsia" w:ascii="仿宋" w:hAnsi="仿宋" w:eastAsia="仿宋" w:cs="仿宋"/>
          <w:sz w:val="30"/>
          <w:szCs w:val="30"/>
          <w:highlight w:val="none"/>
          <w:lang w:eastAsia="zh-CN"/>
        </w:rPr>
        <w:t>度</w:t>
      </w:r>
      <w:r>
        <w:rPr>
          <w:rFonts w:hint="eastAsia" w:ascii="仿宋" w:hAnsi="仿宋" w:eastAsia="仿宋" w:cs="仿宋"/>
          <w:sz w:val="30"/>
          <w:szCs w:val="30"/>
          <w:highlight w:val="none"/>
        </w:rPr>
        <w:t>相比</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4.27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同比减少</w:t>
      </w:r>
      <w:r>
        <w:rPr>
          <w:rFonts w:hint="eastAsia" w:ascii="仿宋" w:hAnsi="仿宋" w:eastAsia="仿宋" w:cs="仿宋"/>
          <w:sz w:val="30"/>
          <w:szCs w:val="30"/>
          <w:highlight w:val="none"/>
          <w:lang w:val="en-US" w:eastAsia="zh-CN"/>
        </w:rPr>
        <w:t>2.95</w:t>
      </w:r>
      <w:r>
        <w:rPr>
          <w:rFonts w:hint="eastAsia" w:ascii="仿宋" w:hAnsi="仿宋" w:eastAsia="仿宋" w:cs="仿宋"/>
          <w:sz w:val="30"/>
          <w:szCs w:val="30"/>
          <w:highlight w:val="none"/>
        </w:rPr>
        <w:t>%。主要原因：</w:t>
      </w:r>
      <w:r>
        <w:rPr>
          <w:rFonts w:hint="eastAsia" w:ascii="仿宋" w:hAnsi="仿宋" w:eastAsia="仿宋" w:cs="仿宋"/>
          <w:sz w:val="30"/>
          <w:szCs w:val="30"/>
          <w:highlight w:val="none"/>
          <w:lang w:eastAsia="zh-CN"/>
        </w:rPr>
        <w:t>基层医疗卫生支出减少，医疗卫生经费减少</w:t>
      </w:r>
      <w:r>
        <w:rPr>
          <w:rFonts w:hint="eastAsia" w:ascii="仿宋" w:hAnsi="仿宋" w:eastAsia="仿宋" w:cs="仿宋"/>
          <w:sz w:val="30"/>
          <w:szCs w:val="30"/>
          <w:highlight w:val="none"/>
          <w:lang w:val="en-US" w:eastAsia="zh-CN"/>
        </w:rPr>
        <w:t>。</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其中：基本支出</w:t>
      </w:r>
      <w:r>
        <w:rPr>
          <w:rFonts w:hint="eastAsia" w:ascii="仿宋" w:hAnsi="仿宋" w:eastAsia="仿宋" w:cs="仿宋"/>
          <w:sz w:val="30"/>
          <w:szCs w:val="30"/>
          <w:highlight w:val="none"/>
          <w:lang w:val="en-US" w:eastAsia="zh-CN"/>
        </w:rPr>
        <w:t>113.07</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80</w:t>
      </w:r>
      <w:r>
        <w:rPr>
          <w:rFonts w:hint="eastAsia" w:ascii="仿宋" w:hAnsi="仿宋" w:eastAsia="仿宋" w:cs="仿宋"/>
          <w:sz w:val="30"/>
          <w:szCs w:val="30"/>
          <w:highlight w:val="none"/>
        </w:rPr>
        <w:t>%；项目支出</w:t>
      </w:r>
      <w:r>
        <w:rPr>
          <w:rFonts w:hint="eastAsia" w:ascii="仿宋" w:hAnsi="仿宋" w:eastAsia="仿宋" w:cs="仿宋"/>
          <w:sz w:val="30"/>
          <w:szCs w:val="30"/>
          <w:highlight w:val="none"/>
          <w:lang w:val="en-US" w:eastAsia="zh-CN"/>
        </w:rPr>
        <w:t>27.64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eastAsia="zh-CN"/>
        </w:rPr>
        <w:t>支出合计的</w:t>
      </w:r>
      <w:r>
        <w:rPr>
          <w:rFonts w:hint="eastAsia" w:ascii="仿宋" w:hAnsi="仿宋" w:eastAsia="仿宋" w:cs="仿宋"/>
          <w:sz w:val="30"/>
          <w:szCs w:val="30"/>
          <w:highlight w:val="none"/>
          <w:lang w:val="en-US" w:eastAsia="zh-CN"/>
        </w:rPr>
        <w:t>20</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四、财政拨款收入支出决算总体情况说明</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color w:val="auto"/>
          <w:sz w:val="30"/>
          <w:szCs w:val="30"/>
          <w:highlight w:val="none"/>
          <w:lang w:eastAsia="zh-CN"/>
        </w:rPr>
      </w:pPr>
      <w:r>
        <w:rPr>
          <w:rFonts w:hint="eastAsia" w:ascii="仿宋" w:hAnsi="仿宋" w:eastAsia="仿宋" w:cs="仿宋"/>
          <w:color w:val="auto"/>
          <w:sz w:val="30"/>
          <w:szCs w:val="30"/>
          <w:highlight w:val="none"/>
          <w:lang w:eastAsia="zh-CN"/>
        </w:rPr>
        <w:t>201</w:t>
      </w:r>
      <w:r>
        <w:rPr>
          <w:rFonts w:hint="eastAsia" w:ascii="仿宋" w:hAnsi="仿宋" w:eastAsia="仿宋" w:cs="仿宋"/>
          <w:color w:val="auto"/>
          <w:sz w:val="30"/>
          <w:szCs w:val="30"/>
          <w:highlight w:val="none"/>
          <w:lang w:val="en-US" w:eastAsia="zh-CN"/>
        </w:rPr>
        <w:t>9</w:t>
      </w:r>
      <w:r>
        <w:rPr>
          <w:rFonts w:hint="eastAsia" w:ascii="仿宋" w:hAnsi="仿宋" w:eastAsia="仿宋" w:cs="仿宋"/>
          <w:color w:val="auto"/>
          <w:sz w:val="30"/>
          <w:szCs w:val="30"/>
          <w:highlight w:val="none"/>
          <w:lang w:eastAsia="zh-CN"/>
        </w:rPr>
        <w:t>年</w:t>
      </w:r>
      <w:r>
        <w:rPr>
          <w:rFonts w:hint="eastAsia" w:ascii="仿宋" w:hAnsi="仿宋" w:eastAsia="仿宋" w:cs="仿宋"/>
          <w:color w:val="auto"/>
          <w:sz w:val="30"/>
          <w:szCs w:val="30"/>
          <w:highlight w:val="none"/>
        </w:rPr>
        <w:t>度财政拨款收、支总计</w:t>
      </w:r>
      <w:r>
        <w:rPr>
          <w:rFonts w:hint="eastAsia" w:ascii="仿宋" w:hAnsi="仿宋" w:eastAsia="仿宋" w:cs="仿宋"/>
          <w:kern w:val="0"/>
          <w:sz w:val="30"/>
          <w:szCs w:val="30"/>
          <w:highlight w:val="none"/>
          <w:u w:val="none"/>
          <w:lang w:val="en-US" w:eastAsia="zh-CN"/>
        </w:rPr>
        <w:t>142.71</w:t>
      </w:r>
      <w:r>
        <w:rPr>
          <w:rFonts w:hint="eastAsia" w:ascii="仿宋" w:hAnsi="仿宋" w:eastAsia="仿宋" w:cs="仿宋"/>
          <w:color w:val="auto"/>
          <w:sz w:val="30"/>
          <w:szCs w:val="30"/>
          <w:highlight w:val="none"/>
        </w:rPr>
        <w:t>万元。与201</w:t>
      </w:r>
      <w:r>
        <w:rPr>
          <w:rFonts w:hint="eastAsia" w:ascii="仿宋" w:hAnsi="仿宋" w:eastAsia="仿宋" w:cs="仿宋"/>
          <w:color w:val="auto"/>
          <w:sz w:val="30"/>
          <w:szCs w:val="30"/>
          <w:highlight w:val="none"/>
          <w:lang w:val="en-US" w:eastAsia="zh-CN"/>
        </w:rPr>
        <w:t>8年度</w:t>
      </w:r>
      <w:r>
        <w:rPr>
          <w:rFonts w:hint="eastAsia" w:ascii="仿宋" w:hAnsi="仿宋" w:eastAsia="仿宋" w:cs="仿宋"/>
          <w:color w:val="auto"/>
          <w:sz w:val="30"/>
          <w:szCs w:val="30"/>
          <w:highlight w:val="none"/>
        </w:rPr>
        <w:t>相比，财政拨款收、支总计各</w:t>
      </w:r>
      <w:r>
        <w:rPr>
          <w:rFonts w:hint="eastAsia" w:ascii="仿宋" w:hAnsi="仿宋" w:eastAsia="仿宋" w:cs="仿宋"/>
          <w:color w:val="auto"/>
          <w:sz w:val="30"/>
          <w:szCs w:val="30"/>
          <w:highlight w:val="none"/>
          <w:lang w:eastAsia="zh-CN"/>
        </w:rPr>
        <w:t>减少</w:t>
      </w:r>
      <w:r>
        <w:rPr>
          <w:rFonts w:hint="eastAsia" w:ascii="仿宋" w:hAnsi="仿宋" w:eastAsia="仿宋" w:cs="仿宋"/>
          <w:color w:val="auto"/>
          <w:sz w:val="30"/>
          <w:szCs w:val="30"/>
          <w:highlight w:val="none"/>
          <w:lang w:val="en-US" w:eastAsia="zh-CN"/>
        </w:rPr>
        <w:t>2.27</w:t>
      </w:r>
      <w:r>
        <w:rPr>
          <w:rFonts w:hint="eastAsia" w:ascii="仿宋" w:hAnsi="仿宋" w:eastAsia="仿宋" w:cs="仿宋"/>
          <w:color w:val="auto"/>
          <w:sz w:val="30"/>
          <w:szCs w:val="30"/>
          <w:highlight w:val="none"/>
        </w:rPr>
        <w:t>万元，</w:t>
      </w:r>
      <w:r>
        <w:rPr>
          <w:rFonts w:hint="eastAsia" w:ascii="仿宋" w:hAnsi="仿宋" w:eastAsia="仿宋" w:cs="仿宋"/>
          <w:sz w:val="30"/>
          <w:szCs w:val="30"/>
          <w:highlight w:val="none"/>
          <w:lang w:eastAsia="zh-CN"/>
        </w:rPr>
        <w:t>减少</w:t>
      </w:r>
      <w:r>
        <w:rPr>
          <w:rFonts w:hint="eastAsia" w:ascii="仿宋" w:hAnsi="仿宋" w:eastAsia="仿宋" w:cs="仿宋"/>
          <w:sz w:val="30"/>
          <w:szCs w:val="30"/>
          <w:highlight w:val="none"/>
          <w:lang w:val="en-US" w:eastAsia="zh-CN"/>
        </w:rPr>
        <w:t>1.56%</w:t>
      </w:r>
      <w:r>
        <w:rPr>
          <w:rFonts w:hint="eastAsia" w:ascii="仿宋" w:hAnsi="仿宋" w:eastAsia="仿宋" w:cs="仿宋"/>
          <w:color w:val="auto"/>
          <w:sz w:val="30"/>
          <w:szCs w:val="30"/>
          <w:highlight w:val="none"/>
        </w:rPr>
        <w:t>。主要原因：</w:t>
      </w:r>
      <w:r>
        <w:rPr>
          <w:rFonts w:hint="eastAsia" w:ascii="仿宋" w:hAnsi="仿宋" w:eastAsia="仿宋" w:cs="仿宋"/>
          <w:color w:val="auto"/>
          <w:sz w:val="30"/>
          <w:szCs w:val="30"/>
          <w:highlight w:val="none"/>
          <w:lang w:eastAsia="zh-CN"/>
        </w:rPr>
        <w:t>基层医疗卫生支出需求</w:t>
      </w:r>
      <w:r>
        <w:rPr>
          <w:rFonts w:hint="eastAsia" w:ascii="仿宋" w:hAnsi="仿宋" w:eastAsia="仿宋" w:cs="仿宋"/>
          <w:sz w:val="30"/>
          <w:szCs w:val="30"/>
          <w:highlight w:val="none"/>
          <w:lang w:val="en-US" w:eastAsia="zh-CN"/>
        </w:rPr>
        <w:t>减少，医疗卫生经费减少。。</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五、</w:t>
      </w:r>
      <w:r>
        <w:rPr>
          <w:rFonts w:hint="eastAsia" w:ascii="仿宋" w:hAnsi="仿宋" w:eastAsia="仿宋" w:cs="仿宋"/>
          <w:b/>
          <w:bCs/>
          <w:sz w:val="32"/>
          <w:szCs w:val="32"/>
          <w:highlight w:val="none"/>
        </w:rPr>
        <w:t>一般公共预算财政拨款支出决算情况说明</w:t>
      </w:r>
    </w:p>
    <w:p>
      <w:pPr>
        <w:widowControl/>
        <w:numPr>
          <w:ilvl w:val="0"/>
          <w:numId w:val="0"/>
        </w:numPr>
        <w:wordWrap/>
        <w:adjustRightInd/>
        <w:snapToGrid/>
        <w:spacing w:line="360" w:lineRule="auto"/>
        <w:ind w:right="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（一）一般公共预算财政拨款支出决算总体情况。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144.98</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与</w:t>
      </w:r>
      <w:r>
        <w:rPr>
          <w:rFonts w:hint="eastAsia" w:ascii="仿宋" w:hAnsi="仿宋" w:eastAsia="仿宋" w:cs="仿宋"/>
          <w:sz w:val="30"/>
          <w:szCs w:val="30"/>
          <w:highlight w:val="none"/>
          <w:lang w:val="en-US" w:eastAsia="zh-CN"/>
        </w:rPr>
        <w:t>2017年决算数相比，</w:t>
      </w:r>
      <w:r>
        <w:rPr>
          <w:rFonts w:hint="eastAsia" w:ascii="仿宋" w:hAnsi="仿宋" w:eastAsia="仿宋" w:cs="仿宋"/>
          <w:sz w:val="30"/>
          <w:szCs w:val="30"/>
          <w:highlight w:val="none"/>
          <w:lang w:eastAsia="zh-CN"/>
        </w:rPr>
        <w:t>增加</w:t>
      </w:r>
      <w:r>
        <w:rPr>
          <w:rFonts w:hint="eastAsia" w:ascii="仿宋" w:hAnsi="仿宋" w:eastAsia="仿宋" w:cs="仿宋"/>
          <w:sz w:val="30"/>
          <w:szCs w:val="30"/>
          <w:highlight w:val="none"/>
          <w:lang w:val="en-US" w:eastAsia="zh-CN"/>
        </w:rPr>
        <w:t>50.98万元，</w:t>
      </w:r>
      <w:r>
        <w:rPr>
          <w:rFonts w:hint="eastAsia" w:ascii="仿宋" w:hAnsi="仿宋" w:eastAsia="仿宋" w:cs="仿宋"/>
          <w:sz w:val="30"/>
          <w:szCs w:val="30"/>
          <w:highlight w:val="none"/>
          <w:lang w:eastAsia="zh-CN"/>
        </w:rPr>
        <w:t>增长</w:t>
      </w:r>
      <w:r>
        <w:rPr>
          <w:rFonts w:hint="eastAsia" w:ascii="仿宋" w:hAnsi="仿宋" w:eastAsia="仿宋" w:cs="仿宋"/>
          <w:sz w:val="30"/>
          <w:szCs w:val="30"/>
          <w:highlight w:val="none"/>
          <w:lang w:val="en-US" w:eastAsia="zh-CN"/>
        </w:rPr>
        <w:t>54</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主要原因</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基层医疗卫生支出增加，服务人口增加病患数量增加，医疗卫生经费加大</w:t>
      </w:r>
      <w:r>
        <w:rPr>
          <w:rFonts w:hint="eastAsia" w:ascii="仿宋" w:hAnsi="仿宋" w:eastAsia="仿宋" w:cs="仿宋"/>
          <w:sz w:val="30"/>
          <w:szCs w:val="30"/>
          <w:highlight w:val="none"/>
          <w:lang w:val="en-US" w:eastAsia="zh-CN"/>
        </w:rPr>
        <w:t>。</w:t>
      </w:r>
    </w:p>
    <w:p>
      <w:pPr>
        <w:widowControl/>
        <w:numPr>
          <w:ilvl w:val="0"/>
          <w:numId w:val="0"/>
        </w:numPr>
        <w:wordWrap/>
        <w:adjustRightInd/>
        <w:snapToGrid/>
        <w:spacing w:line="360" w:lineRule="auto"/>
        <w:ind w:right="0" w:firstLine="602" w:firstLineChars="200"/>
        <w:jc w:val="left"/>
        <w:textAlignment w:val="auto"/>
        <w:outlineLvl w:val="9"/>
        <w:rPr>
          <w:rFonts w:hint="eastAsia" w:ascii="仿宋" w:hAnsi="仿宋" w:eastAsia="仿宋" w:cs="仿宋"/>
          <w:b/>
          <w:bCs/>
          <w:sz w:val="30"/>
          <w:szCs w:val="30"/>
          <w:highlight w:val="none"/>
          <w:lang w:val="en-US" w:eastAsia="zh-CN"/>
        </w:rPr>
      </w:pPr>
      <w:r>
        <w:rPr>
          <w:rFonts w:hint="eastAsia" w:ascii="仿宋" w:hAnsi="仿宋" w:eastAsia="仿宋" w:cs="仿宋"/>
          <w:b/>
          <w:bCs/>
          <w:sz w:val="30"/>
          <w:szCs w:val="30"/>
          <w:highlight w:val="none"/>
          <w:lang w:val="en-US" w:eastAsia="zh-CN"/>
        </w:rPr>
        <w:t>（二）一般公共预算财政拨款支出决算结构情况。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rPr>
        <w:t>万元，主要用于以下方面：</w:t>
      </w:r>
      <w:r>
        <w:rPr>
          <w:rFonts w:hint="eastAsia" w:ascii="仿宋" w:hAnsi="仿宋" w:eastAsia="仿宋" w:cs="仿宋"/>
          <w:sz w:val="30"/>
          <w:szCs w:val="30"/>
          <w:highlight w:val="none"/>
          <w:lang w:eastAsia="zh-CN"/>
        </w:rPr>
        <w:t>医疗卫生与计划生育支出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115.14</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82</w:t>
      </w:r>
      <w:r>
        <w:rPr>
          <w:rFonts w:hint="eastAsia" w:ascii="仿宋" w:hAnsi="仿宋" w:eastAsia="仿宋" w:cs="仿宋"/>
          <w:sz w:val="30"/>
          <w:szCs w:val="30"/>
          <w:highlight w:val="none"/>
        </w:rPr>
        <w:t>%；社会保障和就业支出</w:t>
      </w:r>
      <w:r>
        <w:rPr>
          <w:rFonts w:hint="eastAsia" w:ascii="仿宋" w:hAnsi="仿宋" w:eastAsia="仿宋" w:cs="仿宋"/>
          <w:sz w:val="30"/>
          <w:szCs w:val="30"/>
          <w:highlight w:val="none"/>
          <w:lang w:eastAsia="zh-CN"/>
        </w:rPr>
        <w:t>（类）</w:t>
      </w:r>
      <w:r>
        <w:rPr>
          <w:rFonts w:hint="eastAsia" w:ascii="仿宋" w:hAnsi="仿宋" w:eastAsia="仿宋" w:cs="仿宋"/>
          <w:sz w:val="30"/>
          <w:szCs w:val="30"/>
          <w:highlight w:val="none"/>
          <w:lang w:val="en-US" w:eastAsia="zh-CN"/>
        </w:rPr>
        <w:t>11.68</w:t>
      </w:r>
      <w:r>
        <w:rPr>
          <w:rFonts w:hint="eastAsia" w:ascii="仿宋" w:hAnsi="仿宋" w:eastAsia="仿宋" w:cs="仿宋"/>
          <w:sz w:val="30"/>
          <w:szCs w:val="30"/>
          <w:highlight w:val="none"/>
          <w:lang w:eastAsia="zh-CN"/>
        </w:rPr>
        <w:t>万元，占</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lang w:eastAsia="zh-CN"/>
        </w:rPr>
        <w:t>住房保障支出</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13.89</w:t>
      </w:r>
      <w:r>
        <w:rPr>
          <w:rFonts w:hint="eastAsia" w:ascii="仿宋" w:hAnsi="仿宋" w:eastAsia="仿宋" w:cs="仿宋"/>
          <w:sz w:val="30"/>
          <w:szCs w:val="30"/>
          <w:highlight w:val="none"/>
        </w:rPr>
        <w:t>万元，占</w:t>
      </w:r>
      <w:r>
        <w:rPr>
          <w:rFonts w:hint="eastAsia" w:ascii="仿宋" w:hAnsi="仿宋" w:eastAsia="仿宋" w:cs="仿宋"/>
          <w:sz w:val="30"/>
          <w:szCs w:val="30"/>
          <w:highlight w:val="none"/>
          <w:lang w:val="en-US" w:eastAsia="zh-CN"/>
        </w:rPr>
        <w:t>10</w:t>
      </w:r>
      <w:r>
        <w:rPr>
          <w:rFonts w:hint="eastAsia" w:ascii="仿宋" w:hAnsi="仿宋" w:eastAsia="仿宋" w:cs="仿宋"/>
          <w:sz w:val="30"/>
          <w:szCs w:val="30"/>
          <w:highlight w:val="none"/>
        </w:rPr>
        <w:t>%。</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（三）一般公共预算财政拨款支出决算具体情况。</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度一般公共预算财政拨款支出年初预算为</w:t>
      </w:r>
      <w:r>
        <w:rPr>
          <w:rFonts w:hint="eastAsia" w:ascii="仿宋" w:hAnsi="仿宋" w:eastAsia="仿宋" w:cs="仿宋"/>
          <w:sz w:val="30"/>
          <w:szCs w:val="30"/>
          <w:highlight w:val="none"/>
          <w:lang w:val="en-US" w:eastAsia="zh-CN"/>
        </w:rPr>
        <w:t>144.98</w:t>
      </w:r>
      <w:r>
        <w:rPr>
          <w:rFonts w:hint="eastAsia" w:ascii="仿宋" w:hAnsi="仿宋" w:eastAsia="仿宋" w:cs="仿宋"/>
          <w:sz w:val="30"/>
          <w:szCs w:val="30"/>
          <w:highlight w:val="none"/>
        </w:rPr>
        <w:t>万元，支出决算为</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rPr>
        <w:t>万元，完成年初预算的</w:t>
      </w:r>
      <w:r>
        <w:rPr>
          <w:rFonts w:hint="eastAsia" w:ascii="仿宋" w:hAnsi="仿宋" w:eastAsia="仿宋" w:cs="仿宋"/>
          <w:sz w:val="30"/>
          <w:szCs w:val="30"/>
          <w:highlight w:val="none"/>
          <w:lang w:val="en-US" w:eastAsia="zh-CN"/>
        </w:rPr>
        <w:t>97%</w:t>
      </w:r>
      <w:r>
        <w:rPr>
          <w:rFonts w:hint="eastAsia" w:ascii="仿宋" w:hAnsi="仿宋" w:eastAsia="仿宋" w:cs="仿宋"/>
          <w:sz w:val="30"/>
          <w:szCs w:val="30"/>
          <w:highlight w:val="none"/>
        </w:rPr>
        <w:t>。其中：</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1、一般公共服务支出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财政事务</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行政运行</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both"/>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115.17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115.14万元，完成年初预算的99%</w:t>
      </w:r>
      <w:r>
        <w:rPr>
          <w:rFonts w:hint="eastAsia" w:ascii="仿宋" w:hAnsi="仿宋" w:eastAsia="仿宋" w:cs="仿宋"/>
          <w:sz w:val="30"/>
          <w:szCs w:val="30"/>
          <w:highlight w:val="none"/>
        </w:rPr>
        <w:t>。决算数</w:t>
      </w:r>
      <w:r>
        <w:rPr>
          <w:rFonts w:hint="eastAsia" w:ascii="仿宋" w:hAnsi="仿宋" w:eastAsia="仿宋" w:cs="仿宋"/>
          <w:sz w:val="30"/>
          <w:szCs w:val="30"/>
          <w:highlight w:val="none"/>
          <w:lang w:eastAsia="zh-CN"/>
        </w:rPr>
        <w:t>小于</w:t>
      </w:r>
      <w:r>
        <w:rPr>
          <w:rFonts w:hint="eastAsia" w:ascii="仿宋" w:hAnsi="仿宋" w:eastAsia="仿宋" w:cs="仿宋"/>
          <w:sz w:val="30"/>
          <w:szCs w:val="30"/>
          <w:highlight w:val="none"/>
        </w:rPr>
        <w:t>预算数的主要原因是</w:t>
      </w:r>
      <w:r>
        <w:rPr>
          <w:rFonts w:hint="eastAsia" w:ascii="仿宋" w:hAnsi="仿宋" w:eastAsia="仿宋" w:cs="仿宋"/>
          <w:sz w:val="30"/>
          <w:szCs w:val="30"/>
          <w:highlight w:val="none"/>
          <w:lang w:eastAsia="zh-CN"/>
        </w:rPr>
        <w:t>预算执行期间根据实际情况调整预算。</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2、社会保障和就业支出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行政事业单位离退休</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未归口管理的行政单位离退休</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12.66</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11.68万元，完成年初预算的92%</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val="en-US" w:eastAsia="zh-CN"/>
        </w:rPr>
        <w:t>3、住房保障支出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类）</w:t>
      </w:r>
      <w:r>
        <w:rPr>
          <w:rFonts w:hint="eastAsia" w:ascii="仿宋" w:hAnsi="仿宋" w:eastAsia="仿宋" w:cs="仿宋"/>
          <w:sz w:val="30"/>
          <w:szCs w:val="30"/>
          <w:highlight w:val="none"/>
          <w:lang w:val="en-US" w:eastAsia="zh-CN"/>
        </w:rPr>
        <w:t>住房改革支出</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款）</w:t>
      </w:r>
      <w:r>
        <w:rPr>
          <w:rFonts w:hint="eastAsia" w:ascii="仿宋" w:hAnsi="仿宋" w:eastAsia="仿宋" w:cs="仿宋"/>
          <w:sz w:val="30"/>
          <w:szCs w:val="30"/>
          <w:highlight w:val="none"/>
          <w:lang w:val="en-US" w:eastAsia="zh-CN"/>
        </w:rPr>
        <w:t>住房公积金</w:t>
      </w:r>
      <w:r>
        <w:rPr>
          <w:rFonts w:hint="eastAsia" w:ascii="仿宋" w:hAnsi="仿宋" w:eastAsia="仿宋" w:cs="仿宋"/>
          <w:sz w:val="30"/>
          <w:szCs w:val="30"/>
          <w:highlight w:val="none"/>
        </w:rPr>
        <w:t>（项）</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val="en-US" w:eastAsia="zh-CN"/>
        </w:rPr>
        <w:t>2019</w:t>
      </w:r>
      <w:r>
        <w:rPr>
          <w:rFonts w:hint="eastAsia" w:ascii="仿宋" w:hAnsi="仿宋" w:eastAsia="仿宋" w:cs="仿宋"/>
          <w:sz w:val="30"/>
          <w:szCs w:val="30"/>
          <w:highlight w:val="none"/>
        </w:rPr>
        <w:t>年初预算为</w:t>
      </w:r>
      <w:r>
        <w:rPr>
          <w:rFonts w:hint="eastAsia" w:ascii="仿宋" w:hAnsi="仿宋" w:eastAsia="仿宋" w:cs="仿宋"/>
          <w:sz w:val="30"/>
          <w:szCs w:val="30"/>
          <w:highlight w:val="none"/>
          <w:lang w:val="en-US" w:eastAsia="zh-CN"/>
        </w:rPr>
        <w:t>17.15</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支出决算为</w:t>
      </w:r>
      <w:r>
        <w:rPr>
          <w:rFonts w:hint="eastAsia" w:ascii="仿宋" w:hAnsi="仿宋" w:eastAsia="仿宋" w:cs="仿宋"/>
          <w:sz w:val="30"/>
          <w:szCs w:val="30"/>
          <w:highlight w:val="none"/>
          <w:lang w:val="en-US" w:eastAsia="zh-CN"/>
        </w:rPr>
        <w:t>13.89万元，完成年初预算的81%</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六、一般公共预算财政拨款基本支出决算情况说明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度一般公共预算财政拨款基本支出</w:t>
      </w:r>
      <w:r>
        <w:rPr>
          <w:rFonts w:hint="eastAsia" w:ascii="仿宋" w:hAnsi="仿宋" w:eastAsia="仿宋" w:cs="仿宋"/>
          <w:sz w:val="30"/>
          <w:szCs w:val="30"/>
          <w:highlight w:val="none"/>
          <w:lang w:val="en-US" w:eastAsia="zh-CN"/>
        </w:rPr>
        <w:t>113.07</w:t>
      </w:r>
      <w:r>
        <w:rPr>
          <w:rFonts w:hint="eastAsia" w:ascii="仿宋" w:hAnsi="仿宋" w:eastAsia="仿宋" w:cs="仿宋"/>
          <w:sz w:val="30"/>
          <w:szCs w:val="30"/>
          <w:highlight w:val="none"/>
        </w:rPr>
        <w:t>万元，其中：</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rPr>
        <w:t>人员经费</w:t>
      </w:r>
      <w:r>
        <w:rPr>
          <w:rFonts w:hint="eastAsia" w:ascii="仿宋" w:hAnsi="仿宋" w:eastAsia="仿宋" w:cs="仿宋"/>
          <w:sz w:val="30"/>
          <w:szCs w:val="30"/>
          <w:highlight w:val="none"/>
          <w:lang w:val="en-US" w:eastAsia="zh-CN"/>
        </w:rPr>
        <w:t>105.37</w:t>
      </w:r>
      <w:r>
        <w:rPr>
          <w:rFonts w:hint="eastAsia" w:ascii="仿宋" w:hAnsi="仿宋" w:eastAsia="仿宋" w:cs="仿宋"/>
          <w:sz w:val="30"/>
          <w:szCs w:val="30"/>
          <w:highlight w:val="none"/>
        </w:rPr>
        <w:t>万元，主要包括：基本工资、津贴补贴、奖金、伙食补助费</w:t>
      </w:r>
      <w:r>
        <w:rPr>
          <w:rFonts w:hint="eastAsia" w:ascii="仿宋" w:hAnsi="仿宋" w:eastAsia="仿宋" w:cs="仿宋"/>
          <w:sz w:val="30"/>
          <w:szCs w:val="30"/>
          <w:highlight w:val="none"/>
          <w:lang w:eastAsia="zh-CN"/>
        </w:rPr>
        <w:t>、住房公积金、</w:t>
      </w:r>
      <w:r>
        <w:rPr>
          <w:rFonts w:hint="eastAsia" w:ascii="仿宋" w:hAnsi="仿宋" w:eastAsia="仿宋" w:cs="仿宋"/>
          <w:sz w:val="30"/>
          <w:szCs w:val="30"/>
          <w:highlight w:val="none"/>
        </w:rPr>
        <w:t>其他</w:t>
      </w:r>
      <w:r>
        <w:rPr>
          <w:rFonts w:hint="eastAsia" w:ascii="仿宋" w:hAnsi="仿宋" w:eastAsia="仿宋" w:cs="仿宋"/>
          <w:sz w:val="30"/>
          <w:szCs w:val="30"/>
          <w:highlight w:val="none"/>
          <w:lang w:eastAsia="zh-CN"/>
        </w:rPr>
        <w:t>工资福利支出、</w:t>
      </w:r>
      <w:r>
        <w:rPr>
          <w:rFonts w:hint="eastAsia" w:ascii="仿宋" w:hAnsi="仿宋" w:eastAsia="仿宋" w:cs="仿宋"/>
          <w:sz w:val="30"/>
          <w:szCs w:val="30"/>
          <w:highlight w:val="none"/>
        </w:rPr>
        <w:t>退休费、抚恤金、生活补助、</w:t>
      </w:r>
      <w:r>
        <w:rPr>
          <w:rFonts w:hint="eastAsia" w:ascii="仿宋" w:hAnsi="仿宋" w:eastAsia="仿宋" w:cs="仿宋"/>
          <w:sz w:val="30"/>
          <w:szCs w:val="30"/>
          <w:highlight w:val="none"/>
          <w:lang w:eastAsia="zh-CN"/>
        </w:rPr>
        <w:t>助学金、</w:t>
      </w:r>
      <w:r>
        <w:rPr>
          <w:rFonts w:hint="eastAsia" w:ascii="仿宋" w:hAnsi="仿宋" w:eastAsia="仿宋" w:cs="仿宋"/>
          <w:sz w:val="30"/>
          <w:szCs w:val="30"/>
          <w:highlight w:val="none"/>
        </w:rPr>
        <w:t>奖励金、其他对个人和家庭的补助支出；</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公用经费</w:t>
      </w:r>
      <w:r>
        <w:rPr>
          <w:rFonts w:hint="eastAsia" w:ascii="仿宋" w:hAnsi="仿宋" w:eastAsia="仿宋" w:cs="仿宋"/>
          <w:sz w:val="30"/>
          <w:szCs w:val="30"/>
          <w:highlight w:val="none"/>
          <w:lang w:val="en-US" w:eastAsia="zh-CN"/>
        </w:rPr>
        <w:t>7.7</w:t>
      </w:r>
      <w:r>
        <w:rPr>
          <w:rFonts w:hint="eastAsia" w:ascii="仿宋" w:hAnsi="仿宋" w:eastAsia="仿宋" w:cs="仿宋"/>
          <w:sz w:val="30"/>
          <w:szCs w:val="30"/>
          <w:highlight w:val="none"/>
        </w:rPr>
        <w:t>万元，主要包括：办公费、印刷费、手续费</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水费、电费、邮电费、取暖费、差旅费、维修（护）费、租赁费、会议费、培训费、专用材料费、劳务费、委托业务费、其他商品和服务支出</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七、一般公共预算财政拨款“三公”经费支出决算情况说明</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（一）“三公”经费财政拨款支出决算总体情况说明</w:t>
      </w:r>
    </w:p>
    <w:p>
      <w:pPr>
        <w:widowControl/>
        <w:numPr>
          <w:ilvl w:val="0"/>
          <w:numId w:val="0"/>
        </w:numPr>
        <w:wordWrap/>
        <w:adjustRightInd/>
        <w:snapToGrid/>
        <w:spacing w:line="360" w:lineRule="auto"/>
        <w:ind w:right="0" w:firstLine="600" w:firstLineChars="200"/>
        <w:jc w:val="left"/>
        <w:textAlignment w:val="auto"/>
        <w:outlineLvl w:val="9"/>
        <w:rPr>
          <w:rFonts w:hint="eastAsia" w:ascii="仿宋" w:hAnsi="仿宋" w:eastAsia="仿宋" w:cs="仿宋"/>
          <w:sz w:val="30"/>
          <w:szCs w:val="30"/>
          <w:highlight w:val="none"/>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度“三公”经费财政拨款支出</w:t>
      </w:r>
      <w:r>
        <w:rPr>
          <w:rFonts w:hint="eastAsia" w:ascii="仿宋" w:hAnsi="仿宋" w:eastAsia="仿宋" w:cs="仿宋"/>
          <w:sz w:val="30"/>
          <w:szCs w:val="30"/>
          <w:highlight w:val="none"/>
          <w:lang w:eastAsia="zh-CN"/>
        </w:rPr>
        <w:t>决算</w:t>
      </w:r>
      <w:r>
        <w:rPr>
          <w:rFonts w:hint="eastAsia" w:ascii="仿宋" w:hAnsi="仿宋" w:eastAsia="仿宋" w:cs="仿宋"/>
          <w:sz w:val="30"/>
          <w:szCs w:val="30"/>
          <w:highlight w:val="none"/>
        </w:rPr>
        <w:t>为</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比</w:t>
      </w:r>
      <w:r>
        <w:rPr>
          <w:rFonts w:hint="eastAsia" w:ascii="仿宋" w:hAnsi="仿宋" w:eastAsia="仿宋" w:cs="仿宋"/>
          <w:sz w:val="30"/>
          <w:szCs w:val="30"/>
          <w:highlight w:val="none"/>
          <w:lang w:val="en-US" w:eastAsia="zh-CN"/>
        </w:rPr>
        <w:t>2018年增加0万元，增长0%。年初预算为4万元，</w:t>
      </w:r>
      <w:r>
        <w:rPr>
          <w:rFonts w:hint="eastAsia" w:ascii="仿宋" w:hAnsi="仿宋" w:eastAsia="仿宋" w:cs="仿宋"/>
          <w:sz w:val="30"/>
          <w:szCs w:val="30"/>
          <w:highlight w:val="none"/>
        </w:rPr>
        <w:t>完成预算的</w:t>
      </w:r>
      <w:r>
        <w:rPr>
          <w:rFonts w:hint="eastAsia" w:ascii="仿宋" w:hAnsi="仿宋" w:eastAsia="仿宋" w:cs="仿宋"/>
          <w:sz w:val="30"/>
          <w:szCs w:val="30"/>
          <w:highlight w:val="none"/>
          <w:lang w:val="en-US" w:eastAsia="zh-CN"/>
        </w:rPr>
        <w:t>100%。</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（二）“三公”经费财政拨款支出决算具体情况说明。</w:t>
      </w:r>
    </w:p>
    <w:p>
      <w:pPr>
        <w:widowControl/>
        <w:numPr>
          <w:ilvl w:val="0"/>
          <w:numId w:val="0"/>
        </w:numPr>
        <w:wordWrap/>
        <w:adjustRightInd/>
        <w:snapToGrid/>
        <w:spacing w:line="360" w:lineRule="auto"/>
        <w:ind w:left="0" w:leftChars="0" w:right="0" w:firstLine="602"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b/>
          <w:bCs/>
          <w:sz w:val="30"/>
          <w:szCs w:val="30"/>
          <w:highlight w:val="none"/>
        </w:rPr>
        <w:t>公务用车购置及运行费</w:t>
      </w:r>
      <w:r>
        <w:rPr>
          <w:rFonts w:hint="eastAsia" w:ascii="仿宋" w:hAnsi="仿宋" w:eastAsia="仿宋" w:cs="仿宋"/>
          <w:b w:val="0"/>
          <w:bCs w:val="0"/>
          <w:sz w:val="30"/>
          <w:szCs w:val="30"/>
          <w:highlight w:val="none"/>
          <w:lang w:eastAsia="zh-CN"/>
        </w:rPr>
        <w:t>年初预算为</w:t>
      </w:r>
      <w:r>
        <w:rPr>
          <w:rFonts w:hint="eastAsia" w:ascii="仿宋" w:hAnsi="仿宋" w:eastAsia="仿宋" w:cs="仿宋"/>
          <w:sz w:val="30"/>
          <w:szCs w:val="30"/>
          <w:highlight w:val="none"/>
          <w:lang w:val="en-US" w:eastAsia="zh-CN"/>
        </w:rPr>
        <w:t>4</w:t>
      </w:r>
      <w:r>
        <w:rPr>
          <w:rFonts w:hint="eastAsia" w:ascii="仿宋" w:hAnsi="仿宋" w:eastAsia="仿宋" w:cs="仿宋"/>
          <w:b w:val="0"/>
          <w:bCs w:val="0"/>
          <w:sz w:val="30"/>
          <w:szCs w:val="30"/>
          <w:highlight w:val="none"/>
          <w:lang w:val="en-US" w:eastAsia="zh-CN"/>
        </w:rPr>
        <w:t>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4</w:t>
      </w:r>
      <w:r>
        <w:rPr>
          <w:rFonts w:hint="eastAsia" w:ascii="仿宋" w:hAnsi="仿宋" w:eastAsia="仿宋" w:cs="仿宋"/>
          <w:sz w:val="30"/>
          <w:szCs w:val="30"/>
          <w:highlight w:val="none"/>
        </w:rPr>
        <w:t>万元，完成预算的</w:t>
      </w:r>
      <w:r>
        <w:rPr>
          <w:rFonts w:hint="eastAsia" w:ascii="仿宋" w:hAnsi="仿宋" w:eastAsia="仿宋" w:cs="仿宋"/>
          <w:sz w:val="30"/>
          <w:szCs w:val="30"/>
          <w:highlight w:val="none"/>
          <w:lang w:val="en-US" w:eastAsia="zh-CN"/>
        </w:rPr>
        <w:t>100</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；与上年决算增加</w:t>
      </w:r>
      <w:r>
        <w:rPr>
          <w:rFonts w:hint="eastAsia" w:ascii="仿宋" w:hAnsi="仿宋" w:eastAsia="仿宋" w:cs="仿宋"/>
          <w:sz w:val="30"/>
          <w:szCs w:val="30"/>
          <w:highlight w:val="none"/>
          <w:lang w:val="en-US" w:eastAsia="zh-CN"/>
        </w:rPr>
        <w:t>0万元，增长0%，主要原因是医疗活动增加，下乡扶贫救助工作量增加，患者救助活动增加，救护车经费加大。其中：公务用车运行维护费4万元，</w:t>
      </w:r>
      <w:r>
        <w:rPr>
          <w:rFonts w:hint="eastAsia" w:ascii="仿宋" w:hAnsi="仿宋" w:eastAsia="仿宋" w:cs="仿宋"/>
          <w:sz w:val="30"/>
          <w:szCs w:val="30"/>
          <w:highlight w:val="none"/>
          <w:lang w:eastAsia="zh-CN"/>
        </w:rPr>
        <w:t>与上年决算比增加</w:t>
      </w:r>
      <w:r>
        <w:rPr>
          <w:rFonts w:hint="eastAsia" w:ascii="仿宋" w:hAnsi="仿宋" w:eastAsia="仿宋" w:cs="仿宋"/>
          <w:sz w:val="30"/>
          <w:szCs w:val="30"/>
          <w:highlight w:val="none"/>
          <w:lang w:val="en-US" w:eastAsia="zh-CN"/>
        </w:rPr>
        <w:t>0万元，增长0%；</w:t>
      </w:r>
      <w:r>
        <w:rPr>
          <w:rFonts w:hint="eastAsia" w:ascii="仿宋" w:hAnsi="仿宋" w:eastAsia="仿宋" w:cs="仿宋"/>
          <w:sz w:val="30"/>
          <w:szCs w:val="30"/>
          <w:highlight w:val="none"/>
        </w:rPr>
        <w:t>公务用车保有量</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widowControl/>
        <w:numPr>
          <w:ilvl w:val="0"/>
          <w:numId w:val="0"/>
        </w:numPr>
        <w:wordWrap/>
        <w:adjustRightInd/>
        <w:snapToGrid/>
        <w:spacing w:line="360" w:lineRule="auto"/>
        <w:ind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八、政府性基金预算财政拨款收入支出决算情况说明</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val="en-US"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rPr>
        <w:t>年收入决算数</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rPr>
        <w:t>万元，本年支出决算数</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rPr>
        <w:t>万元，年末</w:t>
      </w:r>
      <w:r>
        <w:rPr>
          <w:rFonts w:hint="eastAsia" w:ascii="仿宋" w:hAnsi="仿宋" w:eastAsia="仿宋" w:cs="仿宋"/>
          <w:sz w:val="30"/>
          <w:szCs w:val="30"/>
          <w:highlight w:val="none"/>
          <w:lang w:eastAsia="zh-CN"/>
        </w:rPr>
        <w:t>无</w:t>
      </w:r>
      <w:r>
        <w:rPr>
          <w:rFonts w:hint="eastAsia" w:ascii="仿宋" w:hAnsi="仿宋" w:eastAsia="仿宋" w:cs="仿宋"/>
          <w:sz w:val="30"/>
          <w:szCs w:val="30"/>
          <w:highlight w:val="none"/>
        </w:rPr>
        <w:t>结转和结余。与201</w:t>
      </w:r>
      <w:r>
        <w:rPr>
          <w:rFonts w:hint="eastAsia" w:ascii="仿宋" w:hAnsi="仿宋" w:eastAsia="仿宋" w:cs="仿宋"/>
          <w:sz w:val="30"/>
          <w:szCs w:val="30"/>
          <w:highlight w:val="none"/>
          <w:lang w:val="en-US" w:eastAsia="zh-CN"/>
        </w:rPr>
        <w:t>8</w:t>
      </w:r>
      <w:r>
        <w:rPr>
          <w:rFonts w:hint="eastAsia" w:ascii="仿宋" w:hAnsi="仿宋" w:eastAsia="仿宋" w:cs="仿宋"/>
          <w:sz w:val="30"/>
          <w:szCs w:val="30"/>
          <w:highlight w:val="none"/>
        </w:rPr>
        <w:t>年相比，年初预算为</w:t>
      </w:r>
      <w:r>
        <w:rPr>
          <w:rFonts w:hint="eastAsia" w:ascii="仿宋" w:hAnsi="仿宋" w:eastAsia="仿宋" w:cs="仿宋"/>
          <w:sz w:val="30"/>
          <w:szCs w:val="30"/>
          <w:highlight w:val="none"/>
          <w:lang w:val="en-US" w:eastAsia="zh-CN"/>
        </w:rPr>
        <w:t>144.98万元</w:t>
      </w:r>
      <w:r>
        <w:rPr>
          <w:rFonts w:hint="eastAsia" w:ascii="仿宋" w:hAnsi="仿宋" w:eastAsia="仿宋" w:cs="仿宋"/>
          <w:sz w:val="30"/>
          <w:szCs w:val="30"/>
          <w:highlight w:val="none"/>
        </w:rPr>
        <w:t>，支出决算为</w:t>
      </w:r>
      <w:r>
        <w:rPr>
          <w:rFonts w:hint="eastAsia" w:ascii="仿宋" w:hAnsi="仿宋" w:eastAsia="仿宋" w:cs="仿宋"/>
          <w:sz w:val="30"/>
          <w:szCs w:val="30"/>
          <w:highlight w:val="none"/>
          <w:lang w:val="en-US" w:eastAsia="zh-CN"/>
        </w:rPr>
        <w:t>140.71</w:t>
      </w:r>
      <w:r>
        <w:rPr>
          <w:rFonts w:hint="eastAsia" w:ascii="仿宋" w:hAnsi="仿宋" w:eastAsia="仿宋" w:cs="仿宋"/>
          <w:sz w:val="30"/>
          <w:szCs w:val="30"/>
          <w:highlight w:val="none"/>
          <w:lang w:eastAsia="zh-CN"/>
        </w:rPr>
        <w:t>万</w:t>
      </w:r>
      <w:r>
        <w:rPr>
          <w:rFonts w:hint="eastAsia" w:ascii="仿宋" w:hAnsi="仿宋" w:eastAsia="仿宋" w:cs="仿宋"/>
          <w:sz w:val="30"/>
          <w:szCs w:val="30"/>
          <w:highlight w:val="none"/>
        </w:rPr>
        <w:t>元。</w:t>
      </w:r>
      <w:r>
        <w:rPr>
          <w:rFonts w:hint="eastAsia" w:ascii="仿宋" w:hAnsi="仿宋" w:eastAsia="仿宋" w:cs="仿宋"/>
          <w:sz w:val="30"/>
          <w:szCs w:val="30"/>
          <w:highlight w:val="none"/>
          <w:lang w:eastAsia="zh-CN"/>
        </w:rPr>
        <w:t>本年收入</w:t>
      </w:r>
      <w:r>
        <w:rPr>
          <w:rFonts w:hint="eastAsia" w:ascii="仿宋" w:hAnsi="仿宋" w:eastAsia="仿宋" w:cs="仿宋"/>
          <w:sz w:val="30"/>
          <w:szCs w:val="30"/>
          <w:highlight w:val="none"/>
          <w:lang w:val="en-US" w:eastAsia="zh-CN"/>
        </w:rPr>
        <w:t>140.71万元，已</w:t>
      </w:r>
      <w:r>
        <w:rPr>
          <w:rFonts w:hint="eastAsia" w:ascii="仿宋" w:hAnsi="仿宋" w:eastAsia="仿宋" w:cs="仿宋"/>
          <w:sz w:val="30"/>
          <w:szCs w:val="30"/>
          <w:highlight w:val="none"/>
          <w:lang w:eastAsia="zh-CN"/>
        </w:rPr>
        <w:t>结转下年。</w:t>
      </w:r>
    </w:p>
    <w:p>
      <w:pPr>
        <w:widowControl/>
        <w:numPr>
          <w:ilvl w:val="0"/>
          <w:numId w:val="6"/>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预算绩效管理工作开展情况说明。</w:t>
      </w:r>
    </w:p>
    <w:p>
      <w:pPr>
        <w:widowControl/>
        <w:numPr>
          <w:ilvl w:val="0"/>
          <w:numId w:val="0"/>
        </w:numPr>
        <w:wordWrap/>
        <w:adjustRightInd/>
        <w:snapToGrid/>
        <w:spacing w:line="360" w:lineRule="auto"/>
        <w:ind w:right="0" w:firstLine="640" w:firstLineChars="200"/>
        <w:jc w:val="left"/>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val="0"/>
          <w:bCs w:val="0"/>
          <w:sz w:val="32"/>
          <w:szCs w:val="32"/>
          <w:highlight w:val="none"/>
          <w:lang w:val="en-US" w:eastAsia="zh-CN"/>
        </w:rPr>
        <w:t>2019年度没有百万元以上项目、政府购买公共服务项目和市级以上专项，故没有开展绩效评价工作。</w:t>
      </w:r>
    </w:p>
    <w:p>
      <w:pPr>
        <w:widowControl/>
        <w:numPr>
          <w:ilvl w:val="0"/>
          <w:numId w:val="0"/>
        </w:numPr>
        <w:wordWrap/>
        <w:adjustRightInd/>
        <w:snapToGrid/>
        <w:spacing w:line="360" w:lineRule="auto"/>
        <w:ind w:leftChars="0" w:right="0" w:firstLine="643" w:firstLineChars="200"/>
        <w:jc w:val="left"/>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lang w:eastAsia="zh-CN"/>
        </w:rPr>
        <w:t>十、</w:t>
      </w:r>
      <w:r>
        <w:rPr>
          <w:rFonts w:hint="eastAsia" w:ascii="仿宋" w:hAnsi="仿宋" w:eastAsia="仿宋" w:cs="仿宋"/>
          <w:b/>
          <w:bCs/>
          <w:sz w:val="32"/>
          <w:szCs w:val="32"/>
          <w:highlight w:val="none"/>
        </w:rPr>
        <w:t>其他重要事项情况说明</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（一）机关运行经费支出情况</w:t>
      </w:r>
    </w:p>
    <w:p>
      <w:pPr>
        <w:widowControl/>
        <w:numPr>
          <w:ilvl w:val="0"/>
          <w:numId w:val="0"/>
        </w:numPr>
        <w:wordWrap/>
        <w:adjustRightInd/>
        <w:snapToGrid/>
        <w:spacing w:line="360" w:lineRule="auto"/>
        <w:ind w:left="0"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机关运行经费支出</w:t>
      </w:r>
      <w:r>
        <w:rPr>
          <w:rFonts w:hint="eastAsia" w:ascii="仿宋" w:hAnsi="仿宋" w:eastAsia="仿宋" w:cs="仿宋"/>
          <w:sz w:val="30"/>
          <w:szCs w:val="30"/>
          <w:highlight w:val="none"/>
          <w:lang w:val="en-US" w:eastAsia="zh-CN"/>
        </w:rPr>
        <w:t>7.7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较年初预算增加</w:t>
      </w:r>
      <w:r>
        <w:rPr>
          <w:rFonts w:hint="eastAsia" w:ascii="仿宋" w:hAnsi="仿宋" w:eastAsia="仿宋" w:cs="仿宋"/>
          <w:sz w:val="30"/>
          <w:szCs w:val="30"/>
          <w:highlight w:val="none"/>
          <w:lang w:val="en-US" w:eastAsia="zh-CN"/>
        </w:rPr>
        <w:t>14.4万元，减少46%，主要原因</w:t>
      </w:r>
      <w:r>
        <w:rPr>
          <w:rFonts w:hint="eastAsia" w:ascii="仿宋" w:hAnsi="仿宋" w:eastAsia="仿宋" w:cs="仿宋"/>
          <w:sz w:val="30"/>
          <w:szCs w:val="30"/>
          <w:highlight w:val="none"/>
          <w:lang w:eastAsia="zh-CN"/>
        </w:rPr>
        <w:t>预算执行期间根据实际情况调整预算</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lang w:eastAsia="zh-CN"/>
        </w:rPr>
        <w:t>较上年决算减少</w:t>
      </w:r>
      <w:r>
        <w:rPr>
          <w:rFonts w:hint="eastAsia" w:ascii="仿宋" w:hAnsi="仿宋" w:eastAsia="仿宋" w:cs="仿宋"/>
          <w:sz w:val="30"/>
          <w:szCs w:val="30"/>
          <w:highlight w:val="none"/>
          <w:lang w:val="en-US" w:eastAsia="zh-CN"/>
        </w:rPr>
        <w:t>6.7</w:t>
      </w:r>
      <w:r>
        <w:rPr>
          <w:rFonts w:hint="eastAsia" w:ascii="仿宋" w:hAnsi="仿宋" w:eastAsia="仿宋" w:cs="仿宋"/>
          <w:sz w:val="30"/>
          <w:szCs w:val="30"/>
          <w:highlight w:val="none"/>
        </w:rPr>
        <w:t>万元，</w:t>
      </w:r>
      <w:r>
        <w:rPr>
          <w:rFonts w:hint="eastAsia" w:ascii="仿宋" w:hAnsi="仿宋" w:eastAsia="仿宋" w:cs="仿宋"/>
          <w:sz w:val="30"/>
          <w:szCs w:val="30"/>
          <w:highlight w:val="none"/>
          <w:lang w:eastAsia="zh-CN"/>
        </w:rPr>
        <w:t>同比</w:t>
      </w:r>
      <w:r>
        <w:rPr>
          <w:rFonts w:hint="eastAsia" w:ascii="仿宋" w:hAnsi="仿宋" w:eastAsia="仿宋" w:cs="仿宋"/>
          <w:sz w:val="30"/>
          <w:szCs w:val="30"/>
          <w:highlight w:val="none"/>
          <w:lang w:val="en-US" w:eastAsia="zh-CN"/>
        </w:rPr>
        <w:t>减少46</w:t>
      </w:r>
      <w:r>
        <w:rPr>
          <w:rFonts w:hint="eastAsia" w:ascii="仿宋" w:hAnsi="仿宋" w:eastAsia="仿宋" w:cs="仿宋"/>
          <w:sz w:val="30"/>
          <w:szCs w:val="30"/>
          <w:highlight w:val="none"/>
        </w:rPr>
        <w:t>%</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主要原因是：</w:t>
      </w:r>
      <w:r>
        <w:rPr>
          <w:rFonts w:hint="eastAsia" w:ascii="仿宋" w:hAnsi="仿宋" w:eastAsia="仿宋" w:cs="仿宋"/>
          <w:sz w:val="30"/>
          <w:szCs w:val="30"/>
          <w:highlight w:val="none"/>
          <w:lang w:eastAsia="zh-CN"/>
        </w:rPr>
        <w:t>医疗工作量减少导致</w:t>
      </w:r>
      <w:r>
        <w:rPr>
          <w:rFonts w:hint="eastAsia" w:ascii="仿宋" w:hAnsi="仿宋" w:eastAsia="仿宋" w:cs="仿宋"/>
          <w:sz w:val="30"/>
          <w:szCs w:val="30"/>
          <w:highlight w:val="none"/>
        </w:rPr>
        <w:t>公用经费支出</w:t>
      </w:r>
      <w:r>
        <w:rPr>
          <w:rFonts w:hint="eastAsia" w:ascii="仿宋" w:hAnsi="仿宋" w:eastAsia="仿宋" w:cs="仿宋"/>
          <w:sz w:val="30"/>
          <w:szCs w:val="30"/>
          <w:highlight w:val="none"/>
          <w:lang w:eastAsia="zh-CN"/>
        </w:rPr>
        <w:t>减少。</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（二</w:t>
      </w:r>
      <w:r>
        <w:rPr>
          <w:rFonts w:hint="eastAsia" w:ascii="仿宋" w:hAnsi="仿宋" w:eastAsia="仿宋" w:cs="仿宋"/>
          <w:b/>
          <w:bCs/>
          <w:sz w:val="30"/>
          <w:szCs w:val="30"/>
          <w:highlight w:val="none"/>
          <w:lang w:eastAsia="zh-CN"/>
        </w:rPr>
        <w:t>）</w:t>
      </w:r>
      <w:r>
        <w:rPr>
          <w:rFonts w:hint="eastAsia" w:ascii="仿宋" w:hAnsi="仿宋" w:eastAsia="仿宋" w:cs="仿宋"/>
          <w:b/>
          <w:bCs/>
          <w:sz w:val="30"/>
          <w:szCs w:val="30"/>
          <w:highlight w:val="none"/>
        </w:rPr>
        <w:t>政府采购支出情况</w:t>
      </w:r>
    </w:p>
    <w:p>
      <w:pPr>
        <w:widowControl/>
        <w:numPr>
          <w:ilvl w:val="0"/>
          <w:numId w:val="0"/>
        </w:numPr>
        <w:wordWrap/>
        <w:adjustRightInd/>
        <w:snapToGrid/>
        <w:spacing w:line="360" w:lineRule="auto"/>
        <w:ind w:leftChars="0" w:right="0" w:firstLine="600" w:firstLineChars="200"/>
        <w:jc w:val="left"/>
        <w:textAlignment w:val="auto"/>
        <w:outlineLvl w:val="9"/>
        <w:rPr>
          <w:rFonts w:hint="eastAsia" w:ascii="仿宋" w:hAnsi="仿宋" w:eastAsia="仿宋" w:cs="仿宋"/>
          <w:b w:val="0"/>
          <w:bCs w:val="0"/>
          <w:sz w:val="30"/>
          <w:szCs w:val="30"/>
          <w:highlight w:val="none"/>
        </w:rPr>
      </w:pPr>
      <w:r>
        <w:rPr>
          <w:rFonts w:hint="eastAsia" w:ascii="仿宋" w:hAnsi="仿宋" w:eastAsia="仿宋" w:cs="仿宋"/>
          <w:b w:val="0"/>
          <w:bCs w:val="0"/>
          <w:sz w:val="30"/>
          <w:szCs w:val="30"/>
          <w:highlight w:val="none"/>
        </w:rPr>
        <w:t>本</w:t>
      </w:r>
      <w:r>
        <w:rPr>
          <w:rFonts w:hint="eastAsia" w:ascii="仿宋" w:hAnsi="仿宋" w:eastAsia="仿宋" w:cs="仿宋"/>
          <w:b w:val="0"/>
          <w:bCs w:val="0"/>
          <w:sz w:val="30"/>
          <w:szCs w:val="30"/>
          <w:highlight w:val="none"/>
          <w:lang w:eastAsia="zh-CN"/>
        </w:rPr>
        <w:t>单位</w:t>
      </w:r>
      <w:r>
        <w:rPr>
          <w:rFonts w:hint="eastAsia" w:ascii="仿宋" w:hAnsi="仿宋" w:eastAsia="仿宋" w:cs="仿宋"/>
          <w:b w:val="0"/>
          <w:bCs w:val="0"/>
          <w:sz w:val="30"/>
          <w:szCs w:val="30"/>
          <w:highlight w:val="none"/>
        </w:rPr>
        <w:t>201</w:t>
      </w:r>
      <w:r>
        <w:rPr>
          <w:rFonts w:hint="eastAsia" w:ascii="仿宋" w:hAnsi="仿宋" w:eastAsia="仿宋" w:cs="仿宋"/>
          <w:b w:val="0"/>
          <w:bCs w:val="0"/>
          <w:sz w:val="30"/>
          <w:szCs w:val="30"/>
          <w:highlight w:val="none"/>
          <w:lang w:val="en-US" w:eastAsia="zh-CN"/>
        </w:rPr>
        <w:t>9</w:t>
      </w:r>
      <w:r>
        <w:rPr>
          <w:rFonts w:hint="eastAsia" w:ascii="仿宋" w:hAnsi="仿宋" w:eastAsia="仿宋" w:cs="仿宋"/>
          <w:b w:val="0"/>
          <w:bCs w:val="0"/>
          <w:sz w:val="30"/>
          <w:szCs w:val="30"/>
          <w:highlight w:val="none"/>
        </w:rPr>
        <w:t>年</w:t>
      </w:r>
      <w:r>
        <w:rPr>
          <w:rFonts w:hint="eastAsia" w:ascii="仿宋" w:hAnsi="仿宋" w:eastAsia="仿宋" w:cs="仿宋"/>
          <w:b w:val="0"/>
          <w:bCs w:val="0"/>
          <w:sz w:val="30"/>
          <w:szCs w:val="30"/>
          <w:highlight w:val="none"/>
          <w:lang w:eastAsia="zh-CN"/>
        </w:rPr>
        <w:t>无</w:t>
      </w:r>
      <w:r>
        <w:rPr>
          <w:rFonts w:hint="eastAsia" w:ascii="仿宋" w:hAnsi="仿宋" w:eastAsia="仿宋" w:cs="仿宋"/>
          <w:b w:val="0"/>
          <w:bCs w:val="0"/>
          <w:sz w:val="30"/>
          <w:szCs w:val="30"/>
          <w:highlight w:val="none"/>
        </w:rPr>
        <w:t>政府采购支出。</w:t>
      </w:r>
    </w:p>
    <w:p>
      <w:pPr>
        <w:widowControl/>
        <w:numPr>
          <w:ilvl w:val="0"/>
          <w:numId w:val="0"/>
        </w:numPr>
        <w:wordWrap/>
        <w:adjustRightInd/>
        <w:snapToGrid/>
        <w:spacing w:line="360" w:lineRule="auto"/>
        <w:ind w:leftChars="0" w:right="0" w:firstLine="602" w:firstLineChars="200"/>
        <w:jc w:val="left"/>
        <w:textAlignment w:val="auto"/>
        <w:outlineLvl w:val="9"/>
        <w:rPr>
          <w:rFonts w:hint="eastAsia" w:ascii="仿宋" w:hAnsi="仿宋" w:eastAsia="仿宋" w:cs="仿宋"/>
          <w:b/>
          <w:bCs/>
          <w:sz w:val="30"/>
          <w:szCs w:val="30"/>
          <w:highlight w:val="none"/>
        </w:rPr>
      </w:pPr>
      <w:r>
        <w:rPr>
          <w:rFonts w:hint="eastAsia" w:ascii="仿宋" w:hAnsi="仿宋" w:eastAsia="仿宋" w:cs="仿宋"/>
          <w:b/>
          <w:bCs/>
          <w:sz w:val="30"/>
          <w:szCs w:val="30"/>
          <w:highlight w:val="none"/>
        </w:rPr>
        <w:t>（三）国有资产占用情况</w:t>
      </w:r>
    </w:p>
    <w:p>
      <w:pPr>
        <w:widowControl/>
        <w:numPr>
          <w:ilvl w:val="0"/>
          <w:numId w:val="0"/>
        </w:numPr>
        <w:wordWrap/>
        <w:adjustRightInd/>
        <w:snapToGrid/>
        <w:spacing w:line="360" w:lineRule="auto"/>
        <w:ind w:leftChars="0" w:right="0" w:firstLine="600" w:firstLineChars="200"/>
        <w:jc w:val="left"/>
        <w:textAlignment w:val="auto"/>
        <w:outlineLvl w:val="9"/>
        <w:rPr>
          <w:rFonts w:hint="eastAsia" w:ascii="仿宋" w:hAnsi="仿宋" w:eastAsia="仿宋" w:cs="仿宋"/>
          <w:sz w:val="30"/>
          <w:szCs w:val="30"/>
          <w:highlight w:val="none"/>
          <w:lang w:eastAsia="zh-CN"/>
        </w:rPr>
      </w:pPr>
      <w:r>
        <w:rPr>
          <w:rFonts w:hint="eastAsia" w:ascii="仿宋" w:hAnsi="仿宋" w:eastAsia="仿宋" w:cs="仿宋"/>
          <w:sz w:val="30"/>
          <w:szCs w:val="30"/>
          <w:highlight w:val="none"/>
        </w:rPr>
        <w:t>截至</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12月31日，本部门共有车辆</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辆，其中</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highlight w:val="none"/>
        </w:rPr>
        <w:t>特种专业技术用车</w:t>
      </w:r>
      <w:r>
        <w:rPr>
          <w:rFonts w:hint="eastAsia" w:ascii="仿宋" w:hAnsi="仿宋" w:eastAsia="仿宋" w:cs="仿宋"/>
          <w:sz w:val="30"/>
          <w:szCs w:val="30"/>
          <w:highlight w:val="none"/>
          <w:lang w:val="en-US" w:eastAsia="zh-CN"/>
        </w:rPr>
        <w:t>1</w:t>
      </w:r>
      <w:r>
        <w:rPr>
          <w:rFonts w:hint="eastAsia" w:ascii="仿宋" w:hAnsi="仿宋" w:eastAsia="仿宋" w:cs="仿宋"/>
          <w:sz w:val="30"/>
          <w:szCs w:val="30"/>
          <w:highlight w:val="none"/>
        </w:rPr>
        <w:t>辆</w:t>
      </w:r>
      <w:r>
        <w:rPr>
          <w:rFonts w:hint="eastAsia" w:ascii="仿宋" w:hAnsi="仿宋" w:eastAsia="仿宋" w:cs="仿宋"/>
          <w:sz w:val="30"/>
          <w:szCs w:val="30"/>
          <w:highlight w:val="none"/>
          <w:lang w:eastAsia="zh-CN"/>
        </w:rPr>
        <w:t>。</w:t>
      </w:r>
    </w:p>
    <w:p>
      <w:pPr>
        <w:wordWrap/>
        <w:adjustRightInd/>
        <w:snapToGrid/>
        <w:spacing w:line="360" w:lineRule="auto"/>
        <w:ind w:right="0"/>
        <w:textAlignment w:val="auto"/>
        <w:outlineLvl w:val="9"/>
        <w:rPr>
          <w:rFonts w:hint="eastAsia" w:ascii="仿宋" w:hAnsi="仿宋" w:eastAsia="仿宋" w:cs="仿宋"/>
          <w:sz w:val="32"/>
          <w:szCs w:val="32"/>
          <w:highlight w:val="none"/>
        </w:rPr>
      </w:pPr>
    </w:p>
    <w:p>
      <w:pPr>
        <w:wordWrap/>
        <w:adjustRightInd/>
        <w:snapToGrid/>
        <w:spacing w:line="360" w:lineRule="auto"/>
        <w:ind w:right="0"/>
        <w:jc w:val="center"/>
        <w:textAlignment w:val="auto"/>
        <w:outlineLvl w:val="9"/>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第三部分名词解释</w:t>
      </w:r>
    </w:p>
    <w:p>
      <w:pPr>
        <w:wordWrap/>
        <w:adjustRightInd/>
        <w:snapToGrid/>
        <w:spacing w:line="360" w:lineRule="auto"/>
        <w:ind w:right="0"/>
        <w:textAlignment w:val="auto"/>
        <w:outlineLvl w:val="9"/>
        <w:rPr>
          <w:rFonts w:hint="eastAsia" w:ascii="仿宋" w:hAnsi="仿宋" w:eastAsia="仿宋" w:cs="仿宋"/>
          <w:sz w:val="30"/>
          <w:szCs w:val="30"/>
          <w:highlight w:val="none"/>
        </w:rPr>
      </w:pPr>
    </w:p>
    <w:p>
      <w:pPr>
        <w:wordWrap/>
        <w:adjustRightInd/>
        <w:snapToGrid/>
        <w:spacing w:line="360" w:lineRule="auto"/>
        <w:ind w:right="0" w:firstLine="660"/>
        <w:textAlignment w:val="auto"/>
        <w:outlineLvl w:val="9"/>
        <w:rPr>
          <w:rFonts w:hint="eastAsia" w:ascii="仿宋" w:hAnsi="仿宋" w:eastAsia="仿宋" w:cs="仿宋"/>
          <w:sz w:val="32"/>
          <w:szCs w:val="32"/>
          <w:highlight w:val="none"/>
        </w:rPr>
      </w:pPr>
      <w:r>
        <w:rPr>
          <w:rFonts w:hint="eastAsia" w:ascii="仿宋" w:hAnsi="仿宋" w:eastAsia="仿宋" w:cs="仿宋"/>
          <w:sz w:val="30"/>
          <w:szCs w:val="30"/>
          <w:highlight w:val="none"/>
        </w:rPr>
        <w:t>根据《</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w:t>
      </w:r>
      <w:r>
        <w:rPr>
          <w:rFonts w:hint="eastAsia" w:ascii="仿宋" w:hAnsi="仿宋" w:eastAsia="仿宋" w:cs="仿宋"/>
          <w:sz w:val="30"/>
          <w:szCs w:val="30"/>
          <w:highlight w:val="none"/>
        </w:rPr>
        <w:t>政府收支分类科目》对</w:t>
      </w:r>
      <w:r>
        <w:rPr>
          <w:rFonts w:hint="eastAsia" w:ascii="仿宋" w:hAnsi="仿宋" w:eastAsia="仿宋" w:cs="仿宋"/>
          <w:sz w:val="30"/>
          <w:szCs w:val="30"/>
          <w:highlight w:val="none"/>
          <w:lang w:eastAsia="zh-CN"/>
        </w:rPr>
        <w:t>201</w:t>
      </w:r>
      <w:r>
        <w:rPr>
          <w:rFonts w:hint="eastAsia" w:ascii="仿宋" w:hAnsi="仿宋" w:eastAsia="仿宋" w:cs="仿宋"/>
          <w:sz w:val="30"/>
          <w:szCs w:val="30"/>
          <w:highlight w:val="none"/>
          <w:lang w:val="en-US" w:eastAsia="zh-CN"/>
        </w:rPr>
        <w:t>9</w:t>
      </w:r>
      <w:r>
        <w:rPr>
          <w:rFonts w:hint="eastAsia" w:ascii="仿宋" w:hAnsi="仿宋" w:eastAsia="仿宋" w:cs="仿宋"/>
          <w:sz w:val="30"/>
          <w:szCs w:val="30"/>
          <w:highlight w:val="none"/>
          <w:lang w:eastAsia="zh-CN"/>
        </w:rPr>
        <w:t>年度</w:t>
      </w:r>
      <w:r>
        <w:rPr>
          <w:rFonts w:hint="eastAsia" w:ascii="仿宋" w:hAnsi="仿宋" w:eastAsia="仿宋" w:cs="仿宋"/>
          <w:sz w:val="30"/>
          <w:szCs w:val="30"/>
          <w:highlight w:val="none"/>
        </w:rPr>
        <w:t>部门决算</w:t>
      </w:r>
      <w:r>
        <w:rPr>
          <w:rFonts w:hint="eastAsia" w:ascii="仿宋" w:hAnsi="仿宋" w:eastAsia="仿宋" w:cs="仿宋"/>
          <w:sz w:val="30"/>
          <w:szCs w:val="30"/>
          <w:highlight w:val="none"/>
          <w:lang w:eastAsia="zh-CN"/>
        </w:rPr>
        <w:t>公开</w:t>
      </w:r>
      <w:r>
        <w:rPr>
          <w:rFonts w:hint="eastAsia" w:ascii="仿宋" w:hAnsi="仿宋" w:eastAsia="仿宋" w:cs="仿宋"/>
          <w:sz w:val="30"/>
          <w:szCs w:val="30"/>
          <w:highlight w:val="none"/>
        </w:rPr>
        <w:t>中相关名词解释如下：</w:t>
      </w:r>
      <w:r>
        <w:rPr>
          <w:rFonts w:hint="eastAsia" w:ascii="仿宋" w:hAnsi="仿宋" w:eastAsia="仿宋" w:cs="仿宋"/>
          <w:sz w:val="30"/>
          <w:szCs w:val="30"/>
          <w:highlight w:val="none"/>
        </w:rPr>
        <w:br w:type="textWrapping"/>
      </w:r>
      <w:r>
        <w:rPr>
          <w:rFonts w:hint="eastAsia" w:ascii="仿宋" w:hAnsi="仿宋" w:eastAsia="仿宋" w:cs="仿宋"/>
          <w:sz w:val="30"/>
          <w:szCs w:val="30"/>
          <w:highlight w:val="none"/>
        </w:rPr>
        <w:t>　　财政拨款收入：反映财政部门用公共预算收入安排的预</w:t>
      </w:r>
      <w:r>
        <w:rPr>
          <w:rFonts w:hint="eastAsia" w:ascii="仿宋" w:hAnsi="仿宋" w:eastAsia="仿宋" w:cs="仿宋"/>
          <w:sz w:val="32"/>
          <w:szCs w:val="32"/>
          <w:highlight w:val="none"/>
        </w:rPr>
        <w:t>算单位资金。</w:t>
      </w:r>
    </w:p>
    <w:p>
      <w:pPr>
        <w:wordWrap/>
        <w:adjustRightInd/>
        <w:snapToGrid/>
        <w:spacing w:line="360" w:lineRule="auto"/>
        <w:ind w:right="0" w:firstLine="660"/>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sz w:val="30"/>
          <w:szCs w:val="30"/>
          <w:highlight w:val="none"/>
        </w:rPr>
        <w:t>一般公共预算拨款</w:t>
      </w:r>
      <w:r>
        <w:rPr>
          <w:rFonts w:hint="eastAsia" w:ascii="仿宋" w:hAnsi="仿宋" w:eastAsia="仿宋" w:cs="仿宋"/>
          <w:bCs/>
          <w:color w:val="111111"/>
          <w:kern w:val="0"/>
          <w:sz w:val="30"/>
          <w:szCs w:val="30"/>
          <w:highlight w:val="none"/>
        </w:rPr>
        <w:t>：</w:t>
      </w:r>
      <w:r>
        <w:rPr>
          <w:rFonts w:hint="eastAsia" w:ascii="仿宋" w:hAnsi="仿宋" w:eastAsia="仿宋" w:cs="仿宋"/>
          <w:color w:val="111111"/>
          <w:kern w:val="0"/>
          <w:sz w:val="30"/>
          <w:szCs w:val="30"/>
          <w:highlight w:val="none"/>
        </w:rPr>
        <w:t>指单位本年度从区级财政部门取得的财政拨款。</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i/>
          <w:iCs/>
          <w:color w:val="111111"/>
          <w:kern w:val="0"/>
          <w:sz w:val="30"/>
          <w:szCs w:val="30"/>
          <w:highlight w:val="none"/>
        </w:rPr>
      </w:pPr>
      <w:r>
        <w:rPr>
          <w:rFonts w:hint="eastAsia" w:ascii="仿宋" w:hAnsi="仿宋" w:eastAsia="仿宋" w:cs="仿宋"/>
          <w:bCs/>
          <w:color w:val="111111"/>
          <w:kern w:val="0"/>
          <w:sz w:val="30"/>
          <w:szCs w:val="30"/>
          <w:highlight w:val="none"/>
        </w:rPr>
        <w:t>事业收入：</w:t>
      </w:r>
      <w:r>
        <w:rPr>
          <w:rFonts w:hint="eastAsia" w:ascii="仿宋" w:hAnsi="仿宋" w:eastAsia="仿宋" w:cs="仿宋"/>
          <w:color w:val="111111"/>
          <w:kern w:val="0"/>
          <w:sz w:val="30"/>
          <w:szCs w:val="30"/>
          <w:highlight w:val="none"/>
        </w:rPr>
        <w:t>指事业单位开展专业业务活动及其辅助活动取得的收入，事业单位收到的财政专户实际核拨的教育收费等资金在此反映。</w:t>
      </w:r>
    </w:p>
    <w:p>
      <w:pPr>
        <w:widowControl/>
        <w:wordWrap/>
        <w:adjustRightInd/>
        <w:snapToGrid/>
        <w:spacing w:line="360" w:lineRule="auto"/>
        <w:ind w:right="0" w:firstLine="645"/>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bCs/>
          <w:color w:val="111111"/>
          <w:kern w:val="0"/>
          <w:sz w:val="30"/>
          <w:szCs w:val="30"/>
          <w:highlight w:val="none"/>
        </w:rPr>
        <w:t>其他收入：</w:t>
      </w:r>
      <w:r>
        <w:rPr>
          <w:rFonts w:hint="eastAsia" w:ascii="仿宋" w:hAnsi="仿宋" w:eastAsia="仿宋" w:cs="仿宋"/>
          <w:color w:val="111111"/>
          <w:kern w:val="0"/>
          <w:sz w:val="30"/>
          <w:szCs w:val="30"/>
          <w:highlight w:val="none"/>
        </w:rPr>
        <w:t>指单位取得的除上述“财政拨款收入”、“事业收入”、“经营收入”等以外的各项收入。</w:t>
      </w:r>
    </w:p>
    <w:p>
      <w:pPr>
        <w:widowControl/>
        <w:wordWrap/>
        <w:adjustRightInd/>
        <w:snapToGrid/>
        <w:spacing w:line="360" w:lineRule="auto"/>
        <w:ind w:right="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用事业基金弥补收支差额：</w:t>
      </w:r>
      <w:r>
        <w:rPr>
          <w:rFonts w:hint="eastAsia" w:ascii="仿宋" w:hAnsi="仿宋" w:eastAsia="仿宋" w:cs="仿宋"/>
          <w:color w:val="111111"/>
          <w:kern w:val="0"/>
          <w:sz w:val="30"/>
          <w:szCs w:val="30"/>
          <w:highlight w:val="none"/>
        </w:rPr>
        <w:t>指事业单位用事业基金弥补当年收支差额的数额。 </w:t>
      </w:r>
    </w:p>
    <w:p>
      <w:pPr>
        <w:widowControl/>
        <w:wordWrap/>
        <w:adjustRightInd/>
        <w:snapToGrid/>
        <w:spacing w:line="360" w:lineRule="auto"/>
        <w:ind w:right="0"/>
        <w:jc w:val="left"/>
        <w:textAlignment w:val="auto"/>
        <w:outlineLvl w:val="9"/>
        <w:rPr>
          <w:rFonts w:hint="eastAsia" w:ascii="仿宋" w:hAnsi="仿宋" w:eastAsia="仿宋" w:cs="仿宋"/>
          <w:color w:val="111111"/>
          <w:kern w:val="0"/>
          <w:sz w:val="30"/>
          <w:szCs w:val="30"/>
          <w:highlight w:val="none"/>
        </w:rPr>
      </w:pPr>
      <w:r>
        <w:rPr>
          <w:rFonts w:hint="eastAsia" w:ascii="仿宋" w:hAnsi="仿宋" w:eastAsia="仿宋" w:cs="仿宋"/>
          <w:color w:val="111111"/>
          <w:kern w:val="0"/>
          <w:sz w:val="30"/>
          <w:szCs w:val="30"/>
          <w:highlight w:val="none"/>
        </w:rPr>
        <w:t>　　</w:t>
      </w:r>
      <w:r>
        <w:rPr>
          <w:rFonts w:hint="eastAsia" w:ascii="仿宋" w:hAnsi="仿宋" w:eastAsia="仿宋" w:cs="仿宋"/>
          <w:bCs/>
          <w:color w:val="111111"/>
          <w:kern w:val="0"/>
          <w:sz w:val="30"/>
          <w:szCs w:val="30"/>
          <w:highlight w:val="none"/>
        </w:rPr>
        <w:t>年初结转和结余：</w:t>
      </w:r>
      <w:r>
        <w:rPr>
          <w:rFonts w:hint="eastAsia" w:ascii="仿宋" w:hAnsi="仿宋" w:eastAsia="仿宋" w:cs="仿宋"/>
          <w:color w:val="111111"/>
          <w:kern w:val="0"/>
          <w:sz w:val="30"/>
          <w:szCs w:val="30"/>
          <w:highlight w:val="none"/>
        </w:rPr>
        <w:t>指单位上年结转本年使用的基本支出结转、项目支出结转和结余和经营结余。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年末结转和结余资金：指本年度或以前年度预算安排、因客观条件发生变化无法按原计划实施，需要延迟到以后年度按有关规定继续使用的资金。</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一般公共财政预算支出：反映公共财政预算收入安排的支出。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对个人和家庭的补助：反映政府用于对个人和家庭的补助支出。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政府性基金预算：对依照法律、行政法规的规定，在一定期限内向特定对象征收、收取或者其他方式筹集的资金，专项用于特定公共事业发展的收支预算。</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　　政府性基金支出：反映政府基金收入</w:t>
      </w:r>
      <w:r>
        <w:rPr>
          <w:rFonts w:hint="eastAsia" w:ascii="仿宋" w:hAnsi="仿宋" w:eastAsia="仿宋" w:cs="仿宋"/>
          <w:bCs/>
          <w:color w:val="111111"/>
          <w:kern w:val="0"/>
          <w:sz w:val="30"/>
          <w:szCs w:val="30"/>
          <w:highlight w:val="none"/>
          <w:lang w:eastAsia="zh-CN"/>
        </w:rPr>
        <w:t>安</w:t>
      </w:r>
      <w:bookmarkStart w:id="0" w:name="_GoBack"/>
      <w:bookmarkEnd w:id="0"/>
      <w:r>
        <w:rPr>
          <w:rFonts w:hint="eastAsia" w:ascii="仿宋" w:hAnsi="仿宋" w:eastAsia="仿宋" w:cs="仿宋"/>
          <w:bCs/>
          <w:color w:val="111111"/>
          <w:kern w:val="0"/>
          <w:sz w:val="30"/>
          <w:szCs w:val="30"/>
          <w:highlight w:val="none"/>
        </w:rPr>
        <w:t>排的支出。</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rPr>
        <w:t>基本支出：指为保障机构正常运转、完成日常工作任务而发生的人员支出和公用支出。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项目支出：指在基本支出之外为完成特定的行政任务或事业发展目标所发生的支出。</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政府采购：指国家各级政府为从事日常的政务活动或为了满足公共服务的目的，利用国家</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"http://baike.so.com/doc/5716834-5929560.html"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财政性资金</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和政府借款购买货物、工程和服务的行为。政府采购不仅是指具体的</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"http://baike.so.com/doc/4796448-5012566.html"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采购过程</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，而且是采购政策、采购程序、采购过程及采购管理的总称，是一种对公共采购管理的制度。</w:t>
      </w:r>
      <w:r>
        <w:rPr>
          <w:rFonts w:hint="eastAsia" w:ascii="仿宋" w:hAnsi="仿宋" w:eastAsia="仿宋" w:cs="仿宋"/>
          <w:bCs/>
          <w:color w:val="111111"/>
          <w:kern w:val="0"/>
          <w:sz w:val="30"/>
          <w:szCs w:val="30"/>
          <w:highlight w:val="none"/>
        </w:rPr>
        <w:br w:type="textWrapping"/>
      </w:r>
      <w:r>
        <w:rPr>
          <w:rFonts w:hint="eastAsia" w:ascii="仿宋" w:hAnsi="仿宋" w:eastAsia="仿宋" w:cs="仿宋"/>
          <w:bCs/>
          <w:color w:val="111111"/>
          <w:kern w:val="0"/>
          <w:sz w:val="30"/>
          <w:szCs w:val="30"/>
          <w:highlight w:val="none"/>
          <w:lang w:val="en-US" w:eastAsia="zh-CN"/>
        </w:rPr>
        <w:t xml:space="preserve">    </w:t>
      </w:r>
      <w:r>
        <w:rPr>
          <w:rFonts w:hint="eastAsia" w:ascii="仿宋" w:hAnsi="仿宋" w:eastAsia="仿宋" w:cs="仿宋"/>
          <w:bCs/>
          <w:color w:val="111111"/>
          <w:kern w:val="0"/>
          <w:sz w:val="30"/>
          <w:szCs w:val="30"/>
          <w:highlight w:val="none"/>
        </w:rPr>
        <w:t>国有资产：国有资产是法律上确定为国家所有并能为国家提供经济和</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"http://baike.so.com/doc/741806-785246.html"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社会效益</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的各种</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"http://baike.so.com/doc/7798608-8072703.html"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经济资源</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的总和。就是属于国家所有的一切</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"http://baike.so.com/doc/5368106-5603892.html"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财产</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和财</w:t>
      </w:r>
      <w:r>
        <w:rPr>
          <w:rFonts w:hint="eastAsia" w:ascii="仿宋" w:hAnsi="仿宋" w:eastAsia="仿宋" w:cs="仿宋"/>
          <w:bCs/>
          <w:color w:val="111111"/>
          <w:kern w:val="0"/>
          <w:sz w:val="30"/>
          <w:szCs w:val="30"/>
          <w:highlight w:val="none"/>
        </w:rPr>
        <w:fldChar w:fldCharType="begin"/>
      </w:r>
      <w:r>
        <w:rPr>
          <w:rFonts w:hint="eastAsia" w:ascii="仿宋" w:hAnsi="仿宋" w:eastAsia="仿宋" w:cs="仿宋"/>
          <w:bCs/>
          <w:color w:val="111111"/>
          <w:kern w:val="0"/>
          <w:sz w:val="30"/>
          <w:szCs w:val="30"/>
          <w:highlight w:val="none"/>
        </w:rPr>
        <w:instrText xml:space="preserve"> HYPERLINK "http://baike.so.com/doc/5399886-5637441.html" \t "_blank" </w:instrText>
      </w:r>
      <w:r>
        <w:rPr>
          <w:rFonts w:hint="eastAsia" w:ascii="仿宋" w:hAnsi="仿宋" w:eastAsia="仿宋" w:cs="仿宋"/>
          <w:bCs/>
          <w:color w:val="111111"/>
          <w:kern w:val="0"/>
          <w:sz w:val="30"/>
          <w:szCs w:val="30"/>
          <w:highlight w:val="none"/>
        </w:rPr>
        <w:fldChar w:fldCharType="separate"/>
      </w:r>
      <w:r>
        <w:rPr>
          <w:rFonts w:hint="eastAsia" w:ascii="仿宋" w:hAnsi="仿宋" w:eastAsia="仿宋" w:cs="仿宋"/>
          <w:bCs/>
          <w:color w:val="111111"/>
          <w:kern w:val="0"/>
          <w:sz w:val="30"/>
          <w:szCs w:val="30"/>
          <w:highlight w:val="none"/>
        </w:rPr>
        <w:t>产权</w:t>
      </w:r>
      <w:r>
        <w:rPr>
          <w:rFonts w:hint="eastAsia" w:ascii="仿宋" w:hAnsi="仿宋" w:eastAsia="仿宋" w:cs="仿宋"/>
          <w:bCs/>
          <w:color w:val="111111"/>
          <w:kern w:val="0"/>
          <w:sz w:val="30"/>
          <w:szCs w:val="30"/>
          <w:highlight w:val="none"/>
        </w:rPr>
        <w:fldChar w:fldCharType="end"/>
      </w:r>
      <w:r>
        <w:rPr>
          <w:rFonts w:hint="eastAsia" w:ascii="仿宋" w:hAnsi="仿宋" w:eastAsia="仿宋" w:cs="仿宋"/>
          <w:bCs/>
          <w:color w:val="111111"/>
          <w:kern w:val="0"/>
          <w:sz w:val="30"/>
          <w:szCs w:val="30"/>
          <w:highlight w:val="none"/>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附件：2019年度部门决算公开表格</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lang w:val="en-US" w:eastAsia="zh-CN"/>
        </w:rPr>
      </w:pPr>
      <w:r>
        <w:rPr>
          <w:rFonts w:hint="eastAsia" w:ascii="仿宋" w:hAnsi="仿宋" w:eastAsia="仿宋" w:cs="仿宋"/>
          <w:bCs/>
          <w:color w:val="111111"/>
          <w:kern w:val="0"/>
          <w:sz w:val="30"/>
          <w:szCs w:val="30"/>
          <w:highlight w:val="none"/>
          <w:lang w:val="en-US" w:eastAsia="zh-CN"/>
        </w:rPr>
        <w:t>收入支出决算总表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收入决算表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财政拨款收入支出决算总表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一般公共预算财政拨款基本支出决算表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bCs/>
          <w:color w:val="111111"/>
          <w:kern w:val="0"/>
          <w:sz w:val="30"/>
          <w:szCs w:val="30"/>
          <w:highlight w:val="none"/>
        </w:rPr>
      </w:pPr>
      <w:r>
        <w:rPr>
          <w:rFonts w:hint="eastAsia" w:ascii="仿宋" w:hAnsi="仿宋" w:eastAsia="仿宋" w:cs="仿宋"/>
          <w:bCs/>
          <w:color w:val="111111"/>
          <w:kern w:val="0"/>
          <w:sz w:val="30"/>
          <w:szCs w:val="30"/>
          <w:highlight w:val="none"/>
        </w:rPr>
        <w:t>一般公共预算财政拨款“三公”经费支出决算表</w:t>
      </w:r>
    </w:p>
    <w:p>
      <w:pPr>
        <w:widowControl/>
        <w:wordWrap/>
        <w:adjustRightInd/>
        <w:snapToGrid/>
        <w:spacing w:line="360" w:lineRule="auto"/>
        <w:ind w:right="0" w:firstLine="600" w:firstLineChars="200"/>
        <w:jc w:val="left"/>
        <w:textAlignment w:val="auto"/>
        <w:outlineLvl w:val="9"/>
        <w:rPr>
          <w:rFonts w:hint="eastAsia" w:ascii="仿宋" w:hAnsi="仿宋" w:eastAsia="仿宋" w:cs="仿宋"/>
          <w:highlight w:val="none"/>
        </w:rPr>
      </w:pPr>
      <w:r>
        <w:rPr>
          <w:rFonts w:hint="eastAsia" w:ascii="仿宋" w:hAnsi="仿宋" w:eastAsia="仿宋" w:cs="仿宋"/>
          <w:bCs/>
          <w:color w:val="111111"/>
          <w:kern w:val="0"/>
          <w:sz w:val="30"/>
          <w:szCs w:val="30"/>
          <w:highlight w:val="none"/>
        </w:rPr>
        <w:t>政府性基金预算财政拨款收入支出决算表</w:t>
      </w: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Fonts w:ascii="宋体" w:hAnsi="宋体"/>
        <w:sz w:val="24"/>
        <w:szCs w:val="24"/>
      </w:rPr>
    </w:pPr>
    <w:r>
      <w:rPr>
        <w:rFonts w:ascii="宋体" w:hAnsi="宋体"/>
        <w:sz w:val="24"/>
        <w:szCs w:val="24"/>
      </w:rPr>
      <w:fldChar w:fldCharType="begin"/>
    </w:r>
    <w:r>
      <w:rPr>
        <w:rStyle w:val="7"/>
        <w:rFonts w:ascii="宋体" w:hAnsi="宋体"/>
        <w:sz w:val="24"/>
        <w:szCs w:val="24"/>
      </w:rPr>
      <w:instrText xml:space="preserve">PAGE  </w:instrText>
    </w:r>
    <w:r>
      <w:rPr>
        <w:rFonts w:ascii="宋体" w:hAnsi="宋体"/>
        <w:sz w:val="24"/>
        <w:szCs w:val="24"/>
      </w:rPr>
      <w:fldChar w:fldCharType="separate"/>
    </w:r>
    <w:r>
      <w:rPr>
        <w:rStyle w:val="7"/>
        <w:rFonts w:ascii="宋体" w:hAnsi="宋体"/>
        <w:sz w:val="24"/>
        <w:szCs w:val="24"/>
      </w:rPr>
      <w:t>- 14 -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7"/>
      </w:rPr>
    </w:pPr>
    <w:r>
      <w:fldChar w:fldCharType="begin"/>
    </w:r>
    <w:r>
      <w:rPr>
        <w:rStyle w:val="7"/>
      </w:rPr>
      <w:instrText xml:space="preserve">PAGE  </w:instrText>
    </w:r>
    <w:r>
      <w:fldChar w:fldCharType="separate"/>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53AA4C5C"/>
    <w:multiLevelType w:val="singleLevel"/>
    <w:tmpl w:val="53AA4C5C"/>
    <w:lvl w:ilvl="0" w:tentative="0">
      <w:start w:val="3"/>
      <w:numFmt w:val="chineseCounting"/>
      <w:suff w:val="space"/>
      <w:lvlText w:val="第%1部分"/>
      <w:lvlJc w:val="left"/>
      <w:rPr>
        <w:rFonts w:hint="eastAsia"/>
      </w:rPr>
    </w:lvl>
  </w:abstractNum>
  <w:abstractNum w:abstractNumId="3">
    <w:nsid w:val="5D75BB9F"/>
    <w:multiLevelType w:val="singleLevel"/>
    <w:tmpl w:val="5D75BB9F"/>
    <w:lvl w:ilvl="0" w:tentative="0">
      <w:start w:val="1"/>
      <w:numFmt w:val="chineseCounting"/>
      <w:suff w:val="nothing"/>
      <w:lvlText w:val="%1、"/>
      <w:lvlJc w:val="left"/>
    </w:lvl>
  </w:abstractNum>
  <w:abstractNum w:abstractNumId="4">
    <w:nsid w:val="5D7EDA3B"/>
    <w:multiLevelType w:val="singleLevel"/>
    <w:tmpl w:val="5D7EDA3B"/>
    <w:lvl w:ilvl="0" w:tentative="0">
      <w:start w:val="9"/>
      <w:numFmt w:val="chineseCounting"/>
      <w:suff w:val="nothing"/>
      <w:lvlText w:val="%1、"/>
      <w:lvlJc w:val="left"/>
    </w:lvl>
  </w:abstractNum>
  <w:abstractNum w:abstractNumId="5">
    <w:nsid w:val="5DA40ECE"/>
    <w:multiLevelType w:val="singleLevel"/>
    <w:tmpl w:val="5DA40ECE"/>
    <w:lvl w:ilvl="0" w:tentative="0">
      <w:start w:val="1"/>
      <w:numFmt w:val="chineseCounting"/>
      <w:suff w:val="nothing"/>
      <w:lvlText w:val="（%1）"/>
      <w:lvlJc w:val="left"/>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attachedTemplate r:id="rId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docVars>
    <w:docVar w:name="commondata" w:val="eyJoZGlkIjoiMjc5ODAyNTBjYjhjYmQwMWYwNzA1MjI4M2NhOGM0MTEifQ=="/>
  </w:docVars>
  <w:rsids>
    <w:rsidRoot w:val="00000000"/>
    <w:rsid w:val="04D67FF3"/>
    <w:rsid w:val="0A1A3A0D"/>
    <w:rsid w:val="0A7B2D3E"/>
    <w:rsid w:val="0D5B35A5"/>
    <w:rsid w:val="0E6A1BCF"/>
    <w:rsid w:val="0FE03CEC"/>
    <w:rsid w:val="14BC550B"/>
    <w:rsid w:val="163B1974"/>
    <w:rsid w:val="3C1F32F9"/>
    <w:rsid w:val="3D253FC1"/>
    <w:rsid w:val="4E737C40"/>
    <w:rsid w:val="534B384B"/>
    <w:rsid w:val="5459321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6">
    <w:name w:val="Strong"/>
    <w:basedOn w:val="5"/>
    <w:qFormat/>
    <w:uiPriority w:val="0"/>
    <w:rPr>
      <w:b/>
    </w:rPr>
  </w:style>
  <w:style w:type="character" w:styleId="7">
    <w:name w:val="page number"/>
    <w:basedOn w:val="5"/>
    <w:qFormat/>
    <w:uiPriority w:val="0"/>
  </w:style>
  <w:style w:type="character" w:styleId="8">
    <w:name w:val="Hyperlink"/>
    <w:qFormat/>
    <w:uiPriority w:val="0"/>
    <w:rPr>
      <w:color w:val="141414"/>
      <w:u w:val="none"/>
    </w:rPr>
  </w:style>
  <w:style w:type="character" w:customStyle="1" w:styleId="9">
    <w:name w:val="apple-converted-space"/>
    <w:basedOn w:val="5"/>
    <w:qFormat/>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5</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2024-03-14T01:01:37Z</dcterms:modified>
  <dc:title>双鸭山市饶河县五林洞镇中心卫生院2018年度部门决算</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C0CCE9AD178C4D5BBA1B39FB462DBC53_12</vt:lpwstr>
  </property>
</Properties>
</file>