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饶河县医疗保</w:t>
      </w:r>
      <w:r>
        <w:rPr>
          <w:rFonts w:hint="eastAsia" w:ascii="仿宋" w:hAnsi="仿宋" w:eastAsia="仿宋" w:cs="仿宋"/>
          <w:b/>
          <w:bCs/>
          <w:sz w:val="44"/>
          <w:szCs w:val="44"/>
          <w:lang w:eastAsia="zh-CN"/>
        </w:rPr>
        <w:t>障</w:t>
      </w:r>
      <w:r>
        <w:rPr>
          <w:rFonts w:hint="eastAsia" w:ascii="仿宋" w:hAnsi="仿宋" w:eastAsia="仿宋" w:cs="仿宋"/>
          <w:b/>
          <w:bCs/>
          <w:sz w:val="44"/>
          <w:szCs w:val="44"/>
        </w:rPr>
        <w:t>局201</w:t>
      </w:r>
      <w:r>
        <w:rPr>
          <w:rFonts w:hint="eastAsia" w:ascii="仿宋" w:hAnsi="仿宋" w:eastAsia="仿宋" w:cs="仿宋"/>
          <w:b/>
          <w:bCs/>
          <w:sz w:val="44"/>
          <w:szCs w:val="44"/>
          <w:lang w:val="en-US" w:eastAsia="zh-CN"/>
        </w:rPr>
        <w:t>9</w:t>
      </w:r>
      <w:r>
        <w:rPr>
          <w:rFonts w:hint="eastAsia" w:ascii="仿宋" w:hAnsi="仿宋" w:eastAsia="仿宋" w:cs="仿宋"/>
          <w:b/>
          <w:bCs/>
          <w:sz w:val="44"/>
          <w:szCs w:val="44"/>
        </w:rPr>
        <w:t>年度部门决算</w:t>
      </w:r>
    </w:p>
    <w:p>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信息及有关情况说明</w:t>
      </w:r>
    </w:p>
    <w:p>
      <w:pPr>
        <w:spacing w:line="360" w:lineRule="auto"/>
        <w:jc w:val="both"/>
        <w:rPr>
          <w:rFonts w:hint="eastAsia" w:ascii="仿宋" w:hAnsi="仿宋" w:eastAsia="仿宋" w:cs="仿宋"/>
          <w:b/>
          <w:bCs/>
          <w:sz w:val="44"/>
          <w:szCs w:val="44"/>
        </w:rPr>
      </w:pPr>
    </w:p>
    <w:p>
      <w:pPr>
        <w:wordWrap/>
        <w:adjustRightInd/>
        <w:snapToGrid/>
        <w:spacing w:line="360" w:lineRule="auto"/>
        <w:ind w:right="0"/>
        <w:jc w:val="center"/>
        <w:textAlignment w:val="auto"/>
        <w:outlineLvl w:val="9"/>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目录</w:t>
      </w:r>
    </w:p>
    <w:p>
      <w:pPr>
        <w:wordWrap/>
        <w:adjustRightInd/>
        <w:snapToGrid/>
        <w:spacing w:line="360" w:lineRule="auto"/>
        <w:ind w:right="0"/>
        <w:jc w:val="center"/>
        <w:textAlignment w:val="auto"/>
        <w:outlineLvl w:val="9"/>
        <w:rPr>
          <w:rFonts w:hint="eastAsia" w:ascii="仿宋" w:hAnsi="仿宋" w:eastAsia="仿宋" w:cs="仿宋"/>
          <w:b/>
          <w:bCs/>
          <w:color w:val="auto"/>
          <w:sz w:val="18"/>
          <w:szCs w:val="18"/>
          <w:highlight w:val="none"/>
          <w:lang w:eastAsia="zh-CN"/>
        </w:rPr>
      </w:pPr>
    </w:p>
    <w:p>
      <w:pPr>
        <w:widowControl/>
        <w:wordWrap/>
        <w:adjustRightInd/>
        <w:snapToGrid/>
        <w:spacing w:line="360" w:lineRule="auto"/>
        <w:ind w:right="0"/>
        <w:jc w:val="center"/>
        <w:textAlignment w:val="auto"/>
        <w:outlineLvl w:val="9"/>
        <w:rPr>
          <w:rFonts w:hint="eastAsia" w:ascii="仿宋" w:hAnsi="仿宋" w:eastAsia="仿宋" w:cs="仿宋"/>
          <w:b/>
          <w:bCs/>
          <w:color w:val="auto"/>
          <w:kern w:val="0"/>
          <w:sz w:val="32"/>
          <w:szCs w:val="32"/>
          <w:highlight w:val="none"/>
        </w:rPr>
      </w:pPr>
      <w:r>
        <w:rPr>
          <w:rFonts w:hint="eastAsia" w:ascii="仿宋" w:hAnsi="仿宋" w:eastAsia="仿宋" w:cs="仿宋"/>
          <w:b/>
          <w:bCs/>
          <w:color w:val="auto"/>
          <w:kern w:val="0"/>
          <w:sz w:val="32"/>
          <w:szCs w:val="32"/>
          <w:highlight w:val="none"/>
        </w:rPr>
        <w:t>第一部分单位基本情况</w:t>
      </w:r>
    </w:p>
    <w:p>
      <w:pPr>
        <w:widowControl/>
        <w:numPr>
          <w:ilvl w:val="0"/>
          <w:numId w:val="1"/>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部门职责</w:t>
      </w:r>
    </w:p>
    <w:p>
      <w:pPr>
        <w:widowControl/>
        <w:numPr>
          <w:ilvl w:val="0"/>
          <w:numId w:val="1"/>
        </w:numPr>
        <w:wordWrap/>
        <w:adjustRightInd/>
        <w:snapToGrid/>
        <w:spacing w:line="360" w:lineRule="auto"/>
        <w:ind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机构设置</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三、部门决算编报范围及</w:t>
      </w:r>
      <w:r>
        <w:rPr>
          <w:rFonts w:hint="eastAsia" w:ascii="仿宋" w:hAnsi="仿宋" w:eastAsia="仿宋" w:cs="仿宋"/>
          <w:color w:val="auto"/>
          <w:sz w:val="32"/>
          <w:szCs w:val="32"/>
          <w:highlight w:val="none"/>
        </w:rPr>
        <w:t>人员构成</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p>
    <w:p>
      <w:pPr>
        <w:wordWrap/>
        <w:adjustRightInd/>
        <w:snapToGrid/>
        <w:spacing w:line="360" w:lineRule="auto"/>
        <w:ind w:right="0" w:firstLine="964" w:firstLineChars="300"/>
        <w:textAlignment w:val="auto"/>
        <w:outlineLvl w:val="9"/>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第二部分201</w:t>
      </w:r>
      <w:r>
        <w:rPr>
          <w:rFonts w:hint="eastAsia" w:ascii="仿宋" w:hAnsi="仿宋" w:eastAsia="仿宋" w:cs="仿宋"/>
          <w:b/>
          <w:color w:val="auto"/>
          <w:sz w:val="32"/>
          <w:szCs w:val="32"/>
          <w:highlight w:val="none"/>
          <w:lang w:val="en-US" w:eastAsia="zh-CN"/>
        </w:rPr>
        <w:t>9</w:t>
      </w:r>
      <w:r>
        <w:rPr>
          <w:rFonts w:hint="eastAsia" w:ascii="仿宋" w:hAnsi="仿宋" w:eastAsia="仿宋" w:cs="仿宋"/>
          <w:b/>
          <w:color w:val="auto"/>
          <w:sz w:val="32"/>
          <w:szCs w:val="32"/>
          <w:highlight w:val="none"/>
        </w:rPr>
        <w:t>年部门预算执行总体情况说明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一、收入支出决算总体情况说明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收入决算情况说明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三、支出决算情况说明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 财政拨款收入支出决算总体情况说明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五、一般公共预算财政拨款支出决算情况说明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六</w:t>
      </w:r>
      <w:r>
        <w:rPr>
          <w:rFonts w:hint="eastAsia" w:ascii="仿宋" w:hAnsi="仿宋" w:eastAsia="仿宋" w:cs="仿宋"/>
          <w:color w:val="auto"/>
          <w:sz w:val="32"/>
          <w:szCs w:val="32"/>
          <w:highlight w:val="none"/>
        </w:rPr>
        <w:t>、一般公共预算财政拨款基本支出情况说明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七</w:t>
      </w:r>
      <w:r>
        <w:rPr>
          <w:rFonts w:hint="eastAsia" w:ascii="仿宋" w:hAnsi="仿宋" w:eastAsia="仿宋" w:cs="仿宋"/>
          <w:color w:val="auto"/>
          <w:sz w:val="32"/>
          <w:szCs w:val="32"/>
          <w:highlight w:val="none"/>
        </w:rPr>
        <w:t>、一般公共预算财政拨款“三公”经费支出决算情况说明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八</w:t>
      </w:r>
      <w:r>
        <w:rPr>
          <w:rFonts w:hint="eastAsia" w:ascii="仿宋" w:hAnsi="仿宋" w:eastAsia="仿宋" w:cs="仿宋"/>
          <w:color w:val="auto"/>
          <w:sz w:val="32"/>
          <w:szCs w:val="32"/>
          <w:highlight w:val="none"/>
        </w:rPr>
        <w:t>、政府性基金预算财政拨款收入支出决算情况说明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eastAsia="zh-CN"/>
        </w:rPr>
        <w:t>九、</w:t>
      </w:r>
      <w:r>
        <w:rPr>
          <w:rFonts w:hint="eastAsia" w:ascii="仿宋" w:hAnsi="仿宋" w:eastAsia="仿宋" w:cs="仿宋"/>
          <w:b w:val="0"/>
          <w:bCs w:val="0"/>
          <w:color w:val="auto"/>
          <w:sz w:val="32"/>
          <w:szCs w:val="32"/>
          <w:highlight w:val="none"/>
        </w:rPr>
        <w:t>预算绩效管理工作开展情况说明。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eastAsia="zh-CN"/>
        </w:rPr>
        <w:t>十</w:t>
      </w:r>
      <w:r>
        <w:rPr>
          <w:rFonts w:hint="eastAsia" w:ascii="仿宋" w:hAnsi="仿宋" w:eastAsia="仿宋" w:cs="仿宋"/>
          <w:b w:val="0"/>
          <w:bCs w:val="0"/>
          <w:color w:val="auto"/>
          <w:sz w:val="32"/>
          <w:szCs w:val="32"/>
          <w:highlight w:val="none"/>
        </w:rPr>
        <w:t>、其他重要事项情况说明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rPr>
        <w:t>（一）机关运行经费支出情况</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rPr>
        <w:t>（二</w:t>
      </w:r>
      <w:r>
        <w:rPr>
          <w:rFonts w:hint="eastAsia" w:ascii="仿宋" w:hAnsi="仿宋" w:eastAsia="仿宋" w:cs="仿宋"/>
          <w:b w:val="0"/>
          <w:bCs w:val="0"/>
          <w:color w:val="auto"/>
          <w:sz w:val="30"/>
          <w:szCs w:val="30"/>
          <w:highlight w:val="none"/>
          <w:lang w:eastAsia="zh-CN"/>
        </w:rPr>
        <w:t>）</w:t>
      </w:r>
      <w:r>
        <w:rPr>
          <w:rFonts w:hint="eastAsia" w:ascii="仿宋" w:hAnsi="仿宋" w:eastAsia="仿宋" w:cs="仿宋"/>
          <w:b w:val="0"/>
          <w:bCs w:val="0"/>
          <w:color w:val="auto"/>
          <w:sz w:val="30"/>
          <w:szCs w:val="30"/>
          <w:highlight w:val="none"/>
        </w:rPr>
        <w:t>政府采购支出情况</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rPr>
        <w:t>（三）国有资产占用情况</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color w:val="auto"/>
          <w:sz w:val="30"/>
          <w:szCs w:val="30"/>
          <w:highlight w:val="none"/>
        </w:rPr>
      </w:pPr>
    </w:p>
    <w:p>
      <w:pPr>
        <w:numPr>
          <w:ilvl w:val="0"/>
          <w:numId w:val="2"/>
        </w:numPr>
        <w:wordWrap/>
        <w:adjustRightInd/>
        <w:snapToGrid/>
        <w:spacing w:line="360" w:lineRule="auto"/>
        <w:ind w:right="0"/>
        <w:jc w:val="center"/>
        <w:textAlignment w:val="auto"/>
        <w:outlineLvl w:val="9"/>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名词解释</w:t>
      </w:r>
    </w:p>
    <w:p>
      <w:pPr>
        <w:numPr>
          <w:ilvl w:val="0"/>
          <w:numId w:val="0"/>
        </w:numPr>
        <w:wordWrap/>
        <w:adjustRightInd/>
        <w:snapToGrid/>
        <w:spacing w:line="360" w:lineRule="auto"/>
        <w:ind w:right="0"/>
        <w:jc w:val="both"/>
        <w:textAlignment w:val="auto"/>
        <w:outlineLvl w:val="9"/>
        <w:rPr>
          <w:rFonts w:hint="eastAsia" w:ascii="仿宋" w:hAnsi="仿宋" w:eastAsia="仿宋" w:cs="仿宋"/>
          <w:b/>
          <w:color w:val="auto"/>
          <w:sz w:val="11"/>
          <w:szCs w:val="11"/>
          <w:highlight w:val="none"/>
          <w:lang w:val="en-US" w:eastAsia="zh-CN"/>
        </w:rPr>
      </w:pPr>
    </w:p>
    <w:p>
      <w:pPr>
        <w:numPr>
          <w:ilvl w:val="0"/>
          <w:numId w:val="0"/>
        </w:numPr>
        <w:wordWrap/>
        <w:adjustRightInd/>
        <w:snapToGrid/>
        <w:spacing w:line="360" w:lineRule="auto"/>
        <w:ind w:right="0"/>
        <w:jc w:val="both"/>
        <w:textAlignment w:val="auto"/>
        <w:outlineLvl w:val="9"/>
        <w:rPr>
          <w:rFonts w:hint="eastAsia" w:ascii="仿宋" w:hAnsi="仿宋" w:eastAsia="仿宋" w:cs="仿宋"/>
          <w:b/>
          <w:color w:val="auto"/>
          <w:sz w:val="11"/>
          <w:szCs w:val="11"/>
          <w:highlight w:val="none"/>
          <w:lang w:val="en-US" w:eastAsia="zh-CN"/>
        </w:rPr>
      </w:pPr>
    </w:p>
    <w:p>
      <w:pPr>
        <w:numPr>
          <w:ilvl w:val="0"/>
          <w:numId w:val="0"/>
        </w:numPr>
        <w:wordWrap/>
        <w:adjustRightInd/>
        <w:snapToGrid/>
        <w:spacing w:line="360" w:lineRule="auto"/>
        <w:ind w:right="0"/>
        <w:jc w:val="both"/>
        <w:textAlignment w:val="auto"/>
        <w:outlineLvl w:val="9"/>
        <w:rPr>
          <w:rFonts w:hint="eastAsia" w:ascii="仿宋" w:hAnsi="仿宋" w:eastAsia="仿宋" w:cs="仿宋"/>
          <w:b/>
          <w:color w:val="auto"/>
          <w:sz w:val="11"/>
          <w:szCs w:val="11"/>
          <w:highlight w:val="none"/>
          <w:lang w:val="en-US" w:eastAsia="zh-CN"/>
        </w:rPr>
      </w:pPr>
    </w:p>
    <w:p>
      <w:pPr>
        <w:numPr>
          <w:ilvl w:val="0"/>
          <w:numId w:val="0"/>
        </w:numPr>
        <w:wordWrap/>
        <w:adjustRightInd/>
        <w:snapToGrid/>
        <w:spacing w:line="360" w:lineRule="auto"/>
        <w:ind w:right="0"/>
        <w:jc w:val="center"/>
        <w:textAlignment w:val="auto"/>
        <w:outlineLvl w:val="9"/>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第四部分</w:t>
      </w:r>
      <w:r>
        <w:rPr>
          <w:rFonts w:hint="eastAsia" w:ascii="仿宋" w:hAnsi="仿宋" w:eastAsia="仿宋" w:cs="仿宋"/>
          <w:b/>
          <w:color w:val="auto"/>
          <w:sz w:val="32"/>
          <w:szCs w:val="32"/>
          <w:highlight w:val="none"/>
          <w:lang w:val="en-US" w:eastAsia="zh-CN"/>
        </w:rPr>
        <w:t>2019年度部门决算公开表</w:t>
      </w:r>
    </w:p>
    <w:p>
      <w:pPr>
        <w:numPr>
          <w:ilvl w:val="0"/>
          <w:numId w:val="3"/>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收入支出决算总表</w:t>
      </w:r>
    </w:p>
    <w:p>
      <w:pPr>
        <w:numPr>
          <w:ilvl w:val="0"/>
          <w:numId w:val="3"/>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收入决算表</w:t>
      </w:r>
    </w:p>
    <w:p>
      <w:pPr>
        <w:numPr>
          <w:ilvl w:val="0"/>
          <w:numId w:val="3"/>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支出决算表</w:t>
      </w:r>
    </w:p>
    <w:p>
      <w:pPr>
        <w:numPr>
          <w:ilvl w:val="0"/>
          <w:numId w:val="3"/>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财政拨款收入支出决算总表</w:t>
      </w:r>
    </w:p>
    <w:p>
      <w:pPr>
        <w:numPr>
          <w:ilvl w:val="0"/>
          <w:numId w:val="3"/>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一般公共预算财政拨款支出决算表</w:t>
      </w:r>
    </w:p>
    <w:p>
      <w:pPr>
        <w:numPr>
          <w:ilvl w:val="0"/>
          <w:numId w:val="3"/>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一般公共预算财政拨款基本支出决算表</w:t>
      </w:r>
    </w:p>
    <w:p>
      <w:pPr>
        <w:numPr>
          <w:ilvl w:val="0"/>
          <w:numId w:val="3"/>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一般公共预算财政拨款“三公”经费支出决算表</w:t>
      </w:r>
    </w:p>
    <w:p>
      <w:pPr>
        <w:numPr>
          <w:ilvl w:val="0"/>
          <w:numId w:val="3"/>
        </w:numPr>
        <w:wordWrap/>
        <w:adjustRightInd/>
        <w:snapToGrid/>
        <w:spacing w:line="360" w:lineRule="auto"/>
        <w:ind w:right="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政府性基金预算财政拨款收入支出决算表</w:t>
      </w:r>
    </w:p>
    <w:p>
      <w:pPr>
        <w:wordWrap/>
        <w:adjustRightInd/>
        <w:snapToGrid/>
        <w:spacing w:line="360" w:lineRule="auto"/>
        <w:ind w:right="0"/>
        <w:textAlignment w:val="auto"/>
        <w:outlineLvl w:val="9"/>
        <w:rPr>
          <w:rFonts w:hint="eastAsia" w:ascii="仿宋" w:hAnsi="仿宋" w:eastAsia="仿宋" w:cs="仿宋"/>
          <w:color w:val="auto"/>
          <w:sz w:val="32"/>
          <w:szCs w:val="32"/>
          <w:highlight w:val="none"/>
        </w:rPr>
      </w:pPr>
    </w:p>
    <w:p>
      <w:pPr>
        <w:wordWrap/>
        <w:adjustRightInd/>
        <w:snapToGrid/>
        <w:spacing w:line="360" w:lineRule="auto"/>
        <w:ind w:right="0"/>
        <w:textAlignment w:val="auto"/>
        <w:outlineLvl w:val="9"/>
        <w:rPr>
          <w:rFonts w:hint="eastAsia" w:ascii="仿宋" w:hAnsi="仿宋" w:eastAsia="仿宋" w:cs="仿宋"/>
          <w:color w:val="auto"/>
          <w:sz w:val="32"/>
          <w:szCs w:val="32"/>
          <w:highlight w:val="none"/>
        </w:rPr>
      </w:pPr>
    </w:p>
    <w:p>
      <w:pPr>
        <w:wordWrap/>
        <w:adjustRightInd/>
        <w:snapToGrid/>
        <w:spacing w:line="360" w:lineRule="auto"/>
        <w:ind w:right="0"/>
        <w:textAlignment w:val="auto"/>
        <w:outlineLvl w:val="9"/>
        <w:rPr>
          <w:rFonts w:hint="eastAsia" w:ascii="仿宋" w:hAnsi="仿宋" w:eastAsia="仿宋" w:cs="仿宋"/>
          <w:color w:val="auto"/>
          <w:sz w:val="32"/>
          <w:szCs w:val="32"/>
          <w:highlight w:val="none"/>
        </w:rPr>
      </w:pPr>
    </w:p>
    <w:p>
      <w:pPr>
        <w:wordWrap/>
        <w:adjustRightInd/>
        <w:snapToGrid/>
        <w:spacing w:line="360" w:lineRule="auto"/>
        <w:ind w:right="0"/>
        <w:textAlignment w:val="auto"/>
        <w:outlineLvl w:val="9"/>
        <w:rPr>
          <w:rFonts w:hint="eastAsia" w:ascii="仿宋" w:hAnsi="仿宋" w:eastAsia="仿宋" w:cs="仿宋"/>
          <w:color w:val="auto"/>
          <w:sz w:val="32"/>
          <w:szCs w:val="32"/>
          <w:highlight w:val="none"/>
        </w:rPr>
      </w:pPr>
    </w:p>
    <w:p>
      <w:pPr>
        <w:wordWrap/>
        <w:adjustRightInd/>
        <w:snapToGrid/>
        <w:spacing w:line="360" w:lineRule="auto"/>
        <w:ind w:right="0"/>
        <w:textAlignment w:val="auto"/>
        <w:outlineLvl w:val="9"/>
        <w:rPr>
          <w:rFonts w:hint="eastAsia" w:ascii="仿宋" w:hAnsi="仿宋" w:eastAsia="仿宋" w:cs="仿宋"/>
          <w:color w:val="auto"/>
          <w:sz w:val="32"/>
          <w:szCs w:val="32"/>
          <w:highlight w:val="none"/>
        </w:rPr>
      </w:pPr>
    </w:p>
    <w:p>
      <w:pPr>
        <w:wordWrap/>
        <w:adjustRightInd/>
        <w:snapToGrid/>
        <w:spacing w:line="360" w:lineRule="auto"/>
        <w:ind w:right="0"/>
        <w:textAlignment w:val="auto"/>
        <w:outlineLvl w:val="9"/>
        <w:rPr>
          <w:rFonts w:hint="eastAsia" w:ascii="仿宋" w:hAnsi="仿宋" w:eastAsia="仿宋" w:cs="仿宋"/>
          <w:color w:val="auto"/>
          <w:sz w:val="32"/>
          <w:szCs w:val="32"/>
          <w:highlight w:val="none"/>
        </w:rPr>
      </w:pPr>
    </w:p>
    <w:p>
      <w:pPr>
        <w:widowControl/>
        <w:spacing w:line="360" w:lineRule="auto"/>
        <w:jc w:val="center"/>
        <w:rPr>
          <w:rFonts w:hint="eastAsia"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spacing w:line="360" w:lineRule="auto"/>
        <w:jc w:val="center"/>
        <w:rPr>
          <w:rFonts w:hint="eastAsia" w:ascii="仿宋" w:hAnsi="仿宋" w:eastAsia="仿宋" w:cs="仿宋"/>
          <w:b/>
          <w:bCs/>
          <w:color w:val="000000"/>
          <w:kern w:val="0"/>
          <w:sz w:val="32"/>
          <w:szCs w:val="32"/>
        </w:rPr>
      </w:pP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部门职责</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1.负责</w:t>
      </w:r>
      <w:r>
        <w:rPr>
          <w:rFonts w:hint="eastAsia" w:ascii="仿宋" w:hAnsi="仿宋" w:eastAsia="仿宋" w:cs="仿宋"/>
          <w:b w:val="0"/>
          <w:bCs w:val="0"/>
          <w:color w:val="000000"/>
          <w:sz w:val="32"/>
          <w:szCs w:val="32"/>
          <w:shd w:val="clear" w:color="auto" w:fill="FFFFFF"/>
          <w:lang w:eastAsia="zh-CN"/>
        </w:rPr>
        <w:t>负责贯彻执行国家、省、市、县关于医疗保险、生育保险、医疗救助等医疗保障制度的法律法规、政策规划和标准。</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rPr>
        <w:t>2.</w:t>
      </w:r>
      <w:r>
        <w:rPr>
          <w:rFonts w:hint="eastAsia" w:ascii="仿宋" w:hAnsi="仿宋" w:eastAsia="仿宋" w:cs="仿宋"/>
          <w:b w:val="0"/>
          <w:bCs w:val="0"/>
          <w:color w:val="000000"/>
          <w:sz w:val="32"/>
          <w:szCs w:val="32"/>
          <w:shd w:val="clear" w:color="auto" w:fill="FFFFFF"/>
          <w:lang w:eastAsia="zh-CN"/>
        </w:rPr>
        <w:t>负责贯彻落实并实施医疗保障基金监督管理办法，建立健全医疗保障基金安全防控机制、推进医疗保障基金支付方式改革。</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3.</w:t>
      </w:r>
      <w:r>
        <w:rPr>
          <w:rFonts w:hint="eastAsia" w:ascii="仿宋" w:hAnsi="仿宋" w:eastAsia="仿宋" w:cs="仿宋"/>
          <w:b w:val="0"/>
          <w:bCs w:val="0"/>
          <w:color w:val="000000"/>
          <w:sz w:val="32"/>
          <w:szCs w:val="32"/>
          <w:shd w:val="clear" w:color="auto" w:fill="FFFFFF"/>
          <w:lang w:eastAsia="zh-CN"/>
        </w:rPr>
        <w:t>负责贯彻落实医疗保障筹资和待遇政策，完善动态调整和区域调剂平衡机制，统筹城乡医疗保障待遇标准，建立健全与筹资水平相适应的待遇调整机制，负责贯彻落实并实施长期护理保险制度改革方案。</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rPr>
        <w:t>4.</w:t>
      </w:r>
      <w:r>
        <w:rPr>
          <w:rFonts w:hint="eastAsia" w:ascii="仿宋" w:hAnsi="仿宋" w:eastAsia="仿宋" w:cs="仿宋"/>
          <w:b w:val="0"/>
          <w:bCs w:val="0"/>
          <w:color w:val="000000"/>
          <w:sz w:val="32"/>
          <w:szCs w:val="32"/>
          <w:shd w:val="clear" w:color="auto" w:fill="FFFFFF"/>
          <w:lang w:eastAsia="zh-CN"/>
        </w:rPr>
        <w:t>负责贯彻落实城乡统一的药品、医用耗材、医疗服务项目、医疗服务设施等医保目录和支付标准，建立动态调整机制，负责组织实施医保目录准入相关工作。</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rPr>
        <w:t>5.</w:t>
      </w:r>
      <w:r>
        <w:rPr>
          <w:rFonts w:hint="eastAsia" w:ascii="仿宋" w:hAnsi="仿宋" w:eastAsia="仿宋" w:cs="仿宋"/>
          <w:b w:val="0"/>
          <w:bCs w:val="0"/>
          <w:color w:val="000000"/>
          <w:sz w:val="32"/>
          <w:szCs w:val="32"/>
          <w:shd w:val="clear" w:color="auto" w:fill="FFFFFF"/>
          <w:lang w:eastAsia="zh-CN"/>
        </w:rPr>
        <w:t>负责贯彻落实药品、医用耗材价格和医疗服务项目、医疗服务设施收费等政策、负责彻落实医保支付医药服务价格合理确定和动态调整机制，推动建立市场主导的社会医药服务价格形成机制，负责贯彻落实价格信息监测和信息发布制度。</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6.</w:t>
      </w:r>
      <w:r>
        <w:rPr>
          <w:rFonts w:hint="eastAsia" w:ascii="仿宋" w:hAnsi="仿宋" w:eastAsia="仿宋" w:cs="仿宋"/>
          <w:b w:val="0"/>
          <w:bCs w:val="0"/>
          <w:color w:val="000000"/>
          <w:sz w:val="32"/>
          <w:szCs w:val="32"/>
          <w:shd w:val="clear" w:color="auto" w:fill="FFFFFF"/>
          <w:lang w:eastAsia="zh-CN"/>
        </w:rPr>
        <w:t>负概落实药品、医用耗材的招标采购政策并监督实施。</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7.</w:t>
      </w:r>
      <w:r>
        <w:rPr>
          <w:rFonts w:hint="eastAsia" w:ascii="仿宋" w:hAnsi="仿宋" w:eastAsia="仿宋" w:cs="仿宋"/>
          <w:b w:val="0"/>
          <w:bCs w:val="0"/>
          <w:color w:val="000000"/>
          <w:sz w:val="32"/>
          <w:szCs w:val="32"/>
          <w:shd w:val="clear" w:color="auto" w:fill="FFFFFF"/>
          <w:lang w:eastAsia="zh-CN"/>
        </w:rPr>
        <w:t>负责贯彻落实定点医药机构服务协议和支付管理办法并组织实施，建立建全医保障信用评价体系和信息披露制度，监督管理纳入医保范围内的医疗服务行为和医疗费用，依法查处医疗保障领域违法违规行为。</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8.</w:t>
      </w:r>
      <w:r>
        <w:rPr>
          <w:rFonts w:hint="eastAsia" w:ascii="仿宋" w:hAnsi="仿宋" w:eastAsia="仿宋" w:cs="仿宋"/>
          <w:b w:val="0"/>
          <w:bCs w:val="0"/>
          <w:color w:val="000000"/>
          <w:sz w:val="32"/>
          <w:szCs w:val="32"/>
          <w:shd w:val="clear" w:color="auto" w:fill="FFFFFF"/>
          <w:lang w:eastAsia="zh-CN"/>
        </w:rPr>
        <w:t>负置贯彻落实医疗保障经办管理，公共服务体系和信息化建设。负责落实和完善异地就医管理和费用结算政策，建立建全医疗保障关系转移接续制度。并展医保障领域市际间和县际间合作交流。</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9.</w:t>
      </w:r>
      <w:r>
        <w:rPr>
          <w:rFonts w:hint="eastAsia" w:ascii="仿宋" w:hAnsi="仿宋" w:eastAsia="仿宋" w:cs="仿宋"/>
          <w:b w:val="0"/>
          <w:bCs w:val="0"/>
          <w:color w:val="000000"/>
          <w:sz w:val="32"/>
          <w:szCs w:val="32"/>
          <w:shd w:val="clear" w:color="auto" w:fill="FFFFFF"/>
          <w:lang w:eastAsia="zh-CN"/>
        </w:rPr>
        <w:t>负责贯物落实并组织实施全县医疗保险，生育保险医疗救助等政策规定，指导全县医疗保障经办业务。</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10.</w:t>
      </w:r>
      <w:r>
        <w:rPr>
          <w:rFonts w:hint="eastAsia" w:ascii="仿宋" w:hAnsi="仿宋" w:eastAsia="仿宋" w:cs="仿宋"/>
          <w:b w:val="0"/>
          <w:bCs w:val="0"/>
          <w:color w:val="000000"/>
          <w:sz w:val="32"/>
          <w:szCs w:val="32"/>
          <w:shd w:val="clear" w:color="auto" w:fill="FFFFFF"/>
          <w:lang w:eastAsia="zh-CN"/>
        </w:rPr>
        <w:t>完成县委，县政所交办的其他任务</w:t>
      </w:r>
    </w:p>
    <w:p>
      <w:pPr>
        <w:shd w:val="solid" w:color="FFFFFF" w:fill="auto"/>
        <w:autoSpaceDN w:val="0"/>
        <w:spacing w:line="420" w:lineRule="atLeast"/>
        <w:ind w:firstLine="640" w:firstLineChars="200"/>
        <w:jc w:val="left"/>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11.</w:t>
      </w:r>
      <w:r>
        <w:rPr>
          <w:rFonts w:hint="eastAsia" w:ascii="仿宋" w:hAnsi="仿宋" w:eastAsia="仿宋" w:cs="仿宋"/>
          <w:b w:val="0"/>
          <w:bCs w:val="0"/>
          <w:color w:val="000000"/>
          <w:sz w:val="32"/>
          <w:szCs w:val="32"/>
          <w:shd w:val="clear" w:color="auto" w:fill="FFFFFF"/>
          <w:lang w:eastAsia="zh-CN"/>
        </w:rPr>
        <w:t>职能转变。县医疗保障局负实先善统一的城多居民基本医保险制度和大病保验险制度，建立健全覆盖全民，城乡统筹的多层次医疗保障体系，不断提高医疗保找障水平，衡保医保资金合理使用、安全可控，推进医疗，医保、医药“三医联动”改革，更好保障人民群众就医需求，减轻医药用负担。</w:t>
      </w:r>
    </w:p>
    <w:p>
      <w:pPr>
        <w:shd w:val="solid" w:color="FFFFFF" w:fill="auto"/>
        <w:autoSpaceDN w:val="0"/>
        <w:spacing w:line="420" w:lineRule="atLeast"/>
        <w:ind w:firstLine="640" w:firstLineChars="200"/>
        <w:jc w:val="left"/>
        <w:rPr>
          <w:rFonts w:hint="eastAsia" w:ascii="仿宋" w:hAnsi="仿宋" w:eastAsia="仿宋" w:cs="仿宋"/>
          <w:sz w:val="32"/>
          <w:szCs w:val="32"/>
        </w:rPr>
      </w:pPr>
      <w:r>
        <w:rPr>
          <w:rFonts w:hint="eastAsia" w:ascii="仿宋" w:hAnsi="仿宋" w:eastAsia="仿宋" w:cs="仿宋"/>
          <w:b w:val="0"/>
          <w:bCs w:val="0"/>
          <w:color w:val="000000"/>
          <w:sz w:val="32"/>
          <w:szCs w:val="32"/>
          <w:shd w:val="clear" w:color="auto" w:fill="FFFFFF"/>
          <w:lang w:val="en-US" w:eastAsia="zh-CN"/>
        </w:rPr>
        <w:t>12.</w:t>
      </w:r>
      <w:r>
        <w:rPr>
          <w:rFonts w:hint="eastAsia" w:ascii="仿宋" w:hAnsi="仿宋" w:eastAsia="仿宋" w:cs="仿宋"/>
          <w:b w:val="0"/>
          <w:bCs w:val="0"/>
          <w:color w:val="000000"/>
          <w:sz w:val="32"/>
          <w:szCs w:val="32"/>
          <w:shd w:val="clear" w:color="auto" w:fill="FFFFFF"/>
          <w:lang w:eastAsia="zh-CN"/>
        </w:rPr>
        <w:t>与县卫生健康局的有关职责分工，县卫生健康局、县医疗保障局等部门在医疗，医保，医药等方面加强制度、政策衔接，建立沟通</w:t>
      </w:r>
      <w:r>
        <w:rPr>
          <w:rFonts w:hint="eastAsia" w:ascii="仿宋" w:hAnsi="仿宋" w:eastAsia="仿宋" w:cs="仿宋"/>
          <w:color w:val="000000"/>
          <w:sz w:val="32"/>
          <w:szCs w:val="32"/>
          <w:shd w:val="clear" w:color="auto" w:fill="FFFFFF"/>
          <w:lang w:eastAsia="zh-CN"/>
        </w:rPr>
        <w:t>协商机制，协同推进改革，提高医疗资源使用效率和医疗保障水平。</w:t>
      </w:r>
    </w:p>
    <w:p>
      <w:pPr>
        <w:widowControl/>
        <w:numPr>
          <w:ilvl w:val="0"/>
          <w:numId w:val="0"/>
        </w:numPr>
        <w:spacing w:line="360" w:lineRule="auto"/>
        <w:ind w:leftChars="0"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机构设置</w:t>
      </w:r>
    </w:p>
    <w:p>
      <w:pPr>
        <w:shd w:val="solid" w:color="FFFFFF" w:fill="auto"/>
        <w:autoSpaceDN w:val="0"/>
        <w:spacing w:line="420" w:lineRule="atLeast"/>
        <w:ind w:firstLine="420"/>
        <w:jc w:val="left"/>
        <w:rPr>
          <w:rFonts w:hint="eastAsia" w:ascii="仿宋" w:hAnsi="仿宋" w:eastAsia="仿宋" w:cs="黑体"/>
          <w:color w:val="000000"/>
          <w:spacing w:val="1"/>
          <w:sz w:val="32"/>
          <w:szCs w:val="32"/>
          <w:lang w:eastAsia="zh-CN"/>
        </w:rPr>
      </w:pPr>
      <w:r>
        <w:rPr>
          <w:rFonts w:hint="eastAsia" w:ascii="仿宋" w:hAnsi="仿宋" w:eastAsia="仿宋" w:cs="黑体"/>
          <w:color w:val="000000"/>
          <w:spacing w:val="1"/>
          <w:sz w:val="32"/>
          <w:szCs w:val="32"/>
          <w:lang w:eastAsia="zh-CN"/>
        </w:rPr>
        <w:t>从预算单位构成看，饶河县</w:t>
      </w:r>
      <w:r>
        <w:rPr>
          <w:rFonts w:hint="eastAsia" w:ascii="仿宋" w:hAnsi="仿宋" w:eastAsia="仿宋" w:cs="黑体"/>
          <w:color w:val="000000"/>
          <w:spacing w:val="1"/>
          <w:sz w:val="32"/>
          <w:szCs w:val="32"/>
          <w:lang w:val="en-US" w:eastAsia="zh-CN"/>
        </w:rPr>
        <w:t>医疗保障局</w:t>
      </w:r>
      <w:r>
        <w:rPr>
          <w:rFonts w:hint="eastAsia" w:ascii="仿宋" w:hAnsi="仿宋" w:eastAsia="仿宋" w:cs="黑体"/>
          <w:color w:val="000000"/>
          <w:spacing w:val="1"/>
          <w:sz w:val="32"/>
          <w:szCs w:val="32"/>
          <w:lang w:eastAsia="zh-CN"/>
        </w:rPr>
        <w:t>部门预算只设本级预算，无二级预算单位。</w:t>
      </w:r>
    </w:p>
    <w:p>
      <w:pPr>
        <w:pStyle w:val="14"/>
        <w:keepNext w:val="0"/>
        <w:keepLines w:val="0"/>
        <w:pageBreakBefore w:val="0"/>
        <w:widowControl/>
        <w:kinsoku/>
        <w:wordWrap/>
        <w:overflowPunct/>
        <w:topLinePunct w:val="0"/>
        <w:autoSpaceDE/>
        <w:autoSpaceDN/>
        <w:bidi w:val="0"/>
        <w:adjustRightInd/>
        <w:snapToGrid/>
        <w:spacing w:before="295" w:beforeLines="0" w:after="1561" w:afterLines="500" w:line="329" w:lineRule="exact"/>
        <w:ind w:firstLine="629"/>
        <w:jc w:val="left"/>
        <w:textAlignment w:val="auto"/>
        <w:rPr>
          <w:rFonts w:hint="eastAsia" w:ascii="仿宋" w:hAnsi="仿宋" w:eastAsia="仿宋" w:cs="仿宋"/>
          <w:sz w:val="32"/>
          <w:szCs w:val="32"/>
        </w:rPr>
      </w:pPr>
      <w:r>
        <w:rPr>
          <w:rFonts w:hint="eastAsia" w:ascii="仿宋" w:hAnsi="仿宋" w:eastAsia="仿宋" w:cs="楷体_GB2312"/>
          <w:color w:val="000000"/>
          <w:sz w:val="32"/>
          <w:szCs w:val="32"/>
          <w:lang w:eastAsia="zh-CN"/>
        </w:rPr>
        <w:t>本单位</w:t>
      </w:r>
      <w:r>
        <w:rPr>
          <w:rFonts w:hint="eastAsia" w:ascii="仿宋" w:hAnsi="仿宋" w:eastAsia="仿宋"/>
          <w:color w:val="000000"/>
          <w:sz w:val="32"/>
          <w:szCs w:val="32"/>
          <w:lang w:eastAsia="zh-CN"/>
        </w:rPr>
        <w:t>内设机构：</w:t>
      </w:r>
      <w:r>
        <w:rPr>
          <w:rFonts w:hint="eastAsia" w:ascii="仿宋_GB2312" w:eastAsia="仿宋_GB2312"/>
          <w:sz w:val="32"/>
          <w:lang w:eastAsia="zh-CN"/>
        </w:rPr>
        <w:t>根据上述职责，</w:t>
      </w:r>
      <w:r>
        <w:rPr>
          <w:rFonts w:hint="eastAsia" w:ascii="仿宋_GB2312" w:eastAsia="仿宋_GB2312"/>
          <w:sz w:val="32"/>
          <w:lang w:val="en-US" w:eastAsia="zh-CN"/>
        </w:rPr>
        <w:t>饶河县医疗保障局  1</w:t>
      </w:r>
      <w:r>
        <w:rPr>
          <w:rFonts w:hint="eastAsia" w:ascii="仿宋_GB2312" w:eastAsia="仿宋_GB2312"/>
          <w:sz w:val="32"/>
          <w:lang w:eastAsia="zh-CN"/>
        </w:rPr>
        <w:t>个内设机构：</w:t>
      </w:r>
      <w:r>
        <w:rPr>
          <w:rFonts w:hint="eastAsia" w:ascii="楷体_GB2312" w:eastAsia="楷体_GB2312"/>
          <w:b/>
          <w:bCs/>
          <w:sz w:val="32"/>
          <w:lang w:val="en-US" w:eastAsia="zh-CN"/>
        </w:rPr>
        <w:t xml:space="preserve"> </w:t>
      </w:r>
      <w:r>
        <w:rPr>
          <w:rFonts w:hint="eastAsia" w:ascii="仿宋" w:hAnsi="仿宋" w:eastAsia="仿宋" w:cs="仿宋"/>
          <w:b w:val="0"/>
          <w:bCs w:val="0"/>
          <w:sz w:val="32"/>
          <w:lang w:val="en-US" w:eastAsia="zh-CN"/>
        </w:rPr>
        <w:t>综合业务股</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三、部门决算编报范围及人员构成</w:t>
      </w:r>
    </w:p>
    <w:p>
      <w:pPr>
        <w:widowControl/>
        <w:spacing w:line="315" w:lineRule="atLeast"/>
        <w:ind w:firstLine="628"/>
        <w:rPr>
          <w:rFonts w:hint="eastAsia" w:ascii="仿宋" w:hAnsi="仿宋" w:eastAsia="仿宋" w:cs="仿宋"/>
          <w:sz w:val="32"/>
          <w:szCs w:val="32"/>
        </w:rPr>
      </w:pP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年度纳入本部门决算的编制范围的单位有1个，</w:t>
      </w:r>
      <w:r>
        <w:rPr>
          <w:rFonts w:hint="eastAsia" w:ascii="仿宋" w:hAnsi="仿宋" w:eastAsia="仿宋" w:cs="仿宋"/>
          <w:color w:val="000000"/>
          <w:kern w:val="0"/>
          <w:sz w:val="32"/>
          <w:szCs w:val="32"/>
          <w:lang w:eastAsia="zh-CN"/>
        </w:rPr>
        <w:t>行政编制</w:t>
      </w:r>
      <w:r>
        <w:rPr>
          <w:rFonts w:hint="eastAsia" w:ascii="仿宋" w:hAnsi="仿宋" w:eastAsia="仿宋" w:cs="仿宋"/>
          <w:color w:val="000000"/>
          <w:kern w:val="0"/>
          <w:sz w:val="32"/>
          <w:szCs w:val="32"/>
          <w:lang w:val="en-US" w:eastAsia="zh-CN"/>
        </w:rPr>
        <w:t>3人，</w:t>
      </w:r>
      <w:r>
        <w:rPr>
          <w:rFonts w:hint="eastAsia" w:ascii="仿宋" w:hAnsi="仿宋" w:eastAsia="仿宋" w:cs="仿宋"/>
          <w:sz w:val="32"/>
          <w:szCs w:val="32"/>
        </w:rPr>
        <w:t>事业编制12人；年末机构实有人数</w:t>
      </w:r>
      <w:r>
        <w:rPr>
          <w:rFonts w:hint="eastAsia" w:ascii="仿宋" w:hAnsi="仿宋" w:eastAsia="仿宋" w:cs="仿宋"/>
          <w:sz w:val="32"/>
          <w:szCs w:val="32"/>
          <w:lang w:val="en-US" w:eastAsia="zh-CN"/>
        </w:rPr>
        <w:t>18</w:t>
      </w:r>
      <w:r>
        <w:rPr>
          <w:rFonts w:hint="eastAsia" w:ascii="仿宋" w:hAnsi="仿宋" w:eastAsia="仿宋" w:cs="仿宋"/>
          <w:sz w:val="32"/>
          <w:szCs w:val="32"/>
        </w:rPr>
        <w:t>人，其中：在职人员</w:t>
      </w:r>
      <w:r>
        <w:rPr>
          <w:rFonts w:hint="eastAsia" w:ascii="仿宋" w:hAnsi="仿宋" w:eastAsia="仿宋" w:cs="仿宋"/>
          <w:sz w:val="32"/>
          <w:szCs w:val="32"/>
          <w:lang w:val="en-US" w:eastAsia="zh-CN"/>
        </w:rPr>
        <w:t>15</w:t>
      </w:r>
      <w:r>
        <w:rPr>
          <w:rFonts w:hint="eastAsia" w:ascii="仿宋" w:hAnsi="仿宋" w:eastAsia="仿宋" w:cs="仿宋"/>
          <w:sz w:val="32"/>
          <w:szCs w:val="32"/>
        </w:rPr>
        <w:t>人</w:t>
      </w:r>
      <w:r>
        <w:rPr>
          <w:rFonts w:hint="eastAsia" w:ascii="仿宋" w:hAnsi="仿宋" w:eastAsia="仿宋" w:cs="仿宋"/>
          <w:sz w:val="32"/>
          <w:szCs w:val="32"/>
          <w:lang w:eastAsia="zh-CN"/>
        </w:rPr>
        <w:t>，退休</w:t>
      </w:r>
      <w:r>
        <w:rPr>
          <w:rFonts w:hint="eastAsia" w:ascii="仿宋" w:hAnsi="仿宋" w:eastAsia="仿宋" w:cs="仿宋"/>
          <w:sz w:val="32"/>
          <w:szCs w:val="32"/>
          <w:lang w:val="en-US" w:eastAsia="zh-CN"/>
        </w:rPr>
        <w:t>3人</w:t>
      </w:r>
    </w:p>
    <w:p>
      <w:pPr>
        <w:widowControl/>
        <w:spacing w:line="360" w:lineRule="auto"/>
        <w:ind w:firstLine="640"/>
        <w:jc w:val="left"/>
        <w:rPr>
          <w:rFonts w:hint="eastAsia" w:ascii="仿宋" w:hAnsi="仿宋" w:eastAsia="仿宋" w:cs="仿宋"/>
          <w:sz w:val="32"/>
          <w:szCs w:val="32"/>
        </w:rPr>
      </w:pP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第二部分201</w:t>
      </w:r>
      <w:r>
        <w:rPr>
          <w:rFonts w:hint="eastAsia" w:ascii="仿宋" w:hAnsi="仿宋" w:eastAsia="仿宋" w:cs="仿宋"/>
          <w:b/>
          <w:bCs/>
          <w:sz w:val="32"/>
          <w:szCs w:val="32"/>
          <w:lang w:val="en-US" w:eastAsia="zh-CN"/>
        </w:rPr>
        <w:t>9</w:t>
      </w:r>
      <w:r>
        <w:rPr>
          <w:rFonts w:hint="eastAsia" w:ascii="仿宋" w:hAnsi="仿宋" w:eastAsia="仿宋" w:cs="仿宋"/>
          <w:b/>
          <w:bCs/>
          <w:sz w:val="32"/>
          <w:szCs w:val="32"/>
        </w:rPr>
        <w:t>年部门预算执行总体情况说明</w:t>
      </w:r>
    </w:p>
    <w:p>
      <w:pPr>
        <w:spacing w:line="360" w:lineRule="auto"/>
        <w:jc w:val="left"/>
        <w:rPr>
          <w:rFonts w:hint="eastAsia" w:ascii="仿宋" w:hAnsi="仿宋" w:eastAsia="仿宋" w:cs="仿宋"/>
          <w:sz w:val="32"/>
          <w:szCs w:val="32"/>
        </w:rPr>
      </w:pP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kern w:val="0"/>
          <w:sz w:val="32"/>
          <w:szCs w:val="32"/>
        </w:rPr>
        <w:t>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年度部门决算收、支总计</w:t>
      </w:r>
      <w:r>
        <w:rPr>
          <w:rFonts w:hint="eastAsia" w:ascii="仿宋" w:hAnsi="仿宋" w:eastAsia="仿宋" w:cs="仿宋"/>
          <w:kern w:val="0"/>
          <w:sz w:val="32"/>
          <w:szCs w:val="32"/>
          <w:lang w:val="en-US" w:eastAsia="zh-CN"/>
        </w:rPr>
        <w:t>5230.79</w:t>
      </w:r>
      <w:r>
        <w:rPr>
          <w:rFonts w:hint="eastAsia" w:ascii="仿宋" w:hAnsi="仿宋" w:eastAsia="仿宋" w:cs="仿宋"/>
          <w:kern w:val="0"/>
          <w:sz w:val="32"/>
          <w:szCs w:val="32"/>
        </w:rPr>
        <w:t>万元，其中：本年收入</w:t>
      </w:r>
      <w:r>
        <w:rPr>
          <w:rFonts w:hint="eastAsia" w:ascii="仿宋" w:hAnsi="仿宋" w:eastAsia="仿宋" w:cs="仿宋"/>
          <w:kern w:val="0"/>
          <w:sz w:val="32"/>
          <w:szCs w:val="32"/>
          <w:lang w:val="en-US" w:eastAsia="zh-CN"/>
        </w:rPr>
        <w:t>5230.79</w:t>
      </w:r>
      <w:r>
        <w:rPr>
          <w:rFonts w:hint="eastAsia" w:ascii="仿宋" w:hAnsi="仿宋" w:eastAsia="仿宋" w:cs="仿宋"/>
          <w:kern w:val="0"/>
          <w:sz w:val="32"/>
          <w:szCs w:val="32"/>
        </w:rPr>
        <w:t>万元；用事业基金弥补收支差额0万元；年初结转和结余0万元；本年支出</w:t>
      </w:r>
      <w:r>
        <w:rPr>
          <w:rFonts w:hint="eastAsia" w:ascii="仿宋" w:hAnsi="仿宋" w:eastAsia="仿宋" w:cs="仿宋"/>
          <w:kern w:val="0"/>
          <w:sz w:val="32"/>
          <w:szCs w:val="32"/>
          <w:lang w:val="en-US" w:eastAsia="zh-CN"/>
        </w:rPr>
        <w:t>5230.79</w:t>
      </w:r>
      <w:r>
        <w:rPr>
          <w:rFonts w:hint="eastAsia" w:ascii="仿宋" w:hAnsi="仿宋" w:eastAsia="仿宋" w:cs="仿宋"/>
          <w:kern w:val="0"/>
          <w:sz w:val="32"/>
          <w:szCs w:val="32"/>
        </w:rPr>
        <w:t>万元；结余分配0万元，年末结转和结余0万元。</w:t>
      </w:r>
      <w:r>
        <w:rPr>
          <w:rFonts w:hint="eastAsia" w:ascii="仿宋" w:hAnsi="仿宋" w:eastAsia="仿宋" w:cs="仿宋"/>
          <w:sz w:val="32"/>
          <w:szCs w:val="32"/>
        </w:rPr>
        <w:t>与201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年度相比，收、支总计均增加</w:t>
      </w:r>
      <w:r>
        <w:rPr>
          <w:rFonts w:hint="eastAsia" w:ascii="仿宋" w:hAnsi="仿宋" w:eastAsia="仿宋" w:cs="仿宋"/>
          <w:sz w:val="32"/>
          <w:szCs w:val="32"/>
          <w:lang w:val="en-US" w:eastAsia="zh-CN"/>
        </w:rPr>
        <w:t>2722.57</w:t>
      </w:r>
      <w:r>
        <w:rPr>
          <w:rFonts w:hint="eastAsia" w:ascii="仿宋" w:hAnsi="仿宋" w:eastAsia="仿宋" w:cs="仿宋"/>
          <w:sz w:val="32"/>
          <w:szCs w:val="32"/>
        </w:rPr>
        <w:t>万元，同比增长</w:t>
      </w:r>
      <w:r>
        <w:rPr>
          <w:rFonts w:hint="eastAsia" w:ascii="仿宋" w:hAnsi="仿宋" w:eastAsia="仿宋" w:cs="仿宋"/>
          <w:sz w:val="32"/>
          <w:szCs w:val="32"/>
          <w:lang w:val="en-US" w:eastAsia="zh-CN"/>
        </w:rPr>
        <w:t>108.55</w:t>
      </w:r>
      <w:r>
        <w:rPr>
          <w:rFonts w:hint="eastAsia" w:ascii="仿宋" w:hAnsi="仿宋" w:eastAsia="仿宋" w:cs="仿宋"/>
          <w:sz w:val="32"/>
          <w:szCs w:val="32"/>
        </w:rPr>
        <w:t>%。主要原因：医疗、生育基金增长。</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本年收入合计</w:t>
      </w:r>
      <w:r>
        <w:rPr>
          <w:rFonts w:hint="eastAsia" w:ascii="仿宋" w:hAnsi="仿宋" w:eastAsia="仿宋" w:cs="仿宋"/>
          <w:kern w:val="0"/>
          <w:sz w:val="32"/>
          <w:szCs w:val="32"/>
          <w:lang w:val="en-US" w:eastAsia="zh-CN"/>
        </w:rPr>
        <w:t>5230.79</w:t>
      </w:r>
      <w:r>
        <w:rPr>
          <w:rFonts w:hint="eastAsia" w:ascii="仿宋" w:hAnsi="仿宋" w:eastAsia="仿宋" w:cs="仿宋"/>
          <w:sz w:val="32"/>
          <w:szCs w:val="32"/>
        </w:rPr>
        <w:t>万元，与201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年度相比，增加</w:t>
      </w:r>
      <w:r>
        <w:rPr>
          <w:rFonts w:hint="eastAsia" w:ascii="仿宋" w:hAnsi="仿宋" w:eastAsia="仿宋" w:cs="仿宋"/>
          <w:sz w:val="32"/>
          <w:szCs w:val="32"/>
          <w:lang w:val="en-US" w:eastAsia="zh-CN"/>
        </w:rPr>
        <w:t>2722.57</w:t>
      </w:r>
      <w:r>
        <w:rPr>
          <w:rFonts w:hint="eastAsia" w:ascii="仿宋" w:hAnsi="仿宋" w:eastAsia="仿宋" w:cs="仿宋"/>
          <w:sz w:val="32"/>
          <w:szCs w:val="32"/>
        </w:rPr>
        <w:t>万元，同比增长</w:t>
      </w:r>
      <w:r>
        <w:rPr>
          <w:rFonts w:hint="eastAsia" w:ascii="仿宋" w:hAnsi="仿宋" w:eastAsia="仿宋" w:cs="仿宋"/>
          <w:sz w:val="32"/>
          <w:szCs w:val="32"/>
          <w:lang w:val="en-US" w:eastAsia="zh-CN"/>
        </w:rPr>
        <w:t>108.55</w:t>
      </w:r>
      <w:r>
        <w:rPr>
          <w:rFonts w:hint="eastAsia" w:ascii="仿宋" w:hAnsi="仿宋" w:eastAsia="仿宋" w:cs="仿宋"/>
          <w:sz w:val="32"/>
          <w:szCs w:val="32"/>
        </w:rPr>
        <w:t>%。主要原因：医疗、生育基金增长。</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其中：财政拨款收入</w:t>
      </w:r>
      <w:r>
        <w:rPr>
          <w:rFonts w:hint="eastAsia" w:ascii="仿宋" w:hAnsi="仿宋" w:eastAsia="仿宋" w:cs="仿宋"/>
          <w:sz w:val="32"/>
          <w:szCs w:val="32"/>
          <w:lang w:val="en-US" w:eastAsia="zh-CN"/>
        </w:rPr>
        <w:t>5230.79</w:t>
      </w:r>
      <w:r>
        <w:rPr>
          <w:rFonts w:hint="eastAsia" w:ascii="仿宋" w:hAnsi="仿宋" w:eastAsia="仿宋" w:cs="仿宋"/>
          <w:sz w:val="32"/>
          <w:szCs w:val="32"/>
        </w:rPr>
        <w:t>万元，占收入合计的100%；事业收入0万元，占0%；其他收入0万元，占收入合计的0%。</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本年支出合计</w:t>
      </w:r>
      <w:r>
        <w:rPr>
          <w:rFonts w:hint="eastAsia" w:ascii="仿宋" w:hAnsi="仿宋" w:eastAsia="仿宋" w:cs="仿宋"/>
          <w:sz w:val="32"/>
          <w:szCs w:val="32"/>
          <w:lang w:val="en-US" w:eastAsia="zh-CN"/>
        </w:rPr>
        <w:t>5230.79</w:t>
      </w:r>
      <w:r>
        <w:rPr>
          <w:rFonts w:hint="eastAsia" w:ascii="仿宋" w:hAnsi="仿宋" w:eastAsia="仿宋" w:cs="仿宋"/>
          <w:sz w:val="32"/>
          <w:szCs w:val="32"/>
        </w:rPr>
        <w:t>万元，与201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年度相比，增加</w:t>
      </w:r>
      <w:r>
        <w:rPr>
          <w:rFonts w:hint="eastAsia" w:ascii="仿宋" w:hAnsi="仿宋" w:eastAsia="仿宋" w:cs="仿宋"/>
          <w:sz w:val="32"/>
          <w:szCs w:val="32"/>
          <w:lang w:val="en-US" w:eastAsia="zh-CN"/>
        </w:rPr>
        <w:t>2722.57</w:t>
      </w:r>
      <w:r>
        <w:rPr>
          <w:rFonts w:hint="eastAsia" w:ascii="仿宋" w:hAnsi="仿宋" w:eastAsia="仿宋" w:cs="仿宋"/>
          <w:sz w:val="32"/>
          <w:szCs w:val="32"/>
        </w:rPr>
        <w:t>万元，同比增长</w:t>
      </w:r>
      <w:r>
        <w:rPr>
          <w:rFonts w:hint="eastAsia" w:ascii="仿宋" w:hAnsi="仿宋" w:eastAsia="仿宋" w:cs="仿宋"/>
          <w:sz w:val="32"/>
          <w:szCs w:val="32"/>
          <w:lang w:val="en-US" w:eastAsia="zh-CN"/>
        </w:rPr>
        <w:t>108.55</w:t>
      </w:r>
      <w:r>
        <w:rPr>
          <w:rFonts w:hint="eastAsia" w:ascii="仿宋" w:hAnsi="仿宋" w:eastAsia="仿宋" w:cs="仿宋"/>
          <w:sz w:val="32"/>
          <w:szCs w:val="32"/>
        </w:rPr>
        <w:t>%。主要原因：医疗、生育基金增长。其中：基本支出</w:t>
      </w:r>
      <w:r>
        <w:rPr>
          <w:rFonts w:hint="eastAsia" w:ascii="仿宋" w:hAnsi="仿宋" w:eastAsia="仿宋" w:cs="仿宋"/>
          <w:sz w:val="32"/>
          <w:szCs w:val="32"/>
          <w:lang w:val="en-US" w:eastAsia="zh-CN"/>
        </w:rPr>
        <w:t>130.79</w:t>
      </w:r>
      <w:r>
        <w:rPr>
          <w:rFonts w:hint="eastAsia" w:ascii="仿宋" w:hAnsi="仿宋" w:eastAsia="仿宋" w:cs="仿宋"/>
          <w:sz w:val="32"/>
          <w:szCs w:val="32"/>
        </w:rPr>
        <w:t>万元，占支出合计的</w:t>
      </w:r>
      <w:r>
        <w:rPr>
          <w:rFonts w:hint="eastAsia" w:ascii="仿宋" w:hAnsi="仿宋" w:eastAsia="仿宋" w:cs="仿宋"/>
          <w:sz w:val="32"/>
          <w:szCs w:val="32"/>
          <w:lang w:val="en-US" w:eastAsia="zh-CN"/>
        </w:rPr>
        <w:t>2.50</w:t>
      </w:r>
      <w:r>
        <w:rPr>
          <w:rFonts w:hint="eastAsia" w:ascii="仿宋" w:hAnsi="仿宋" w:eastAsia="仿宋" w:cs="仿宋"/>
          <w:sz w:val="32"/>
          <w:szCs w:val="32"/>
        </w:rPr>
        <w:t>%；项目支出</w:t>
      </w:r>
      <w:r>
        <w:rPr>
          <w:rFonts w:hint="eastAsia" w:ascii="仿宋" w:hAnsi="仿宋" w:eastAsia="仿宋" w:cs="仿宋"/>
          <w:sz w:val="32"/>
          <w:szCs w:val="32"/>
          <w:lang w:val="en-US" w:eastAsia="zh-CN"/>
        </w:rPr>
        <w:t>5100.00</w:t>
      </w:r>
      <w:r>
        <w:rPr>
          <w:rFonts w:hint="eastAsia" w:ascii="仿宋" w:hAnsi="仿宋" w:eastAsia="仿宋" w:cs="仿宋"/>
          <w:sz w:val="32"/>
          <w:szCs w:val="32"/>
        </w:rPr>
        <w:t>万元，占支出合计的</w:t>
      </w:r>
      <w:r>
        <w:rPr>
          <w:rFonts w:hint="eastAsia" w:ascii="仿宋" w:hAnsi="仿宋" w:eastAsia="仿宋" w:cs="仿宋"/>
          <w:sz w:val="32"/>
          <w:szCs w:val="32"/>
          <w:lang w:val="en-US" w:eastAsia="zh-CN"/>
        </w:rPr>
        <w:t>97.50</w:t>
      </w:r>
      <w:r>
        <w:rPr>
          <w:rFonts w:hint="eastAsia" w:ascii="仿宋" w:hAnsi="仿宋" w:eastAsia="仿宋" w:cs="仿宋"/>
          <w:sz w:val="32"/>
          <w:szCs w:val="32"/>
        </w:rPr>
        <w:t>。</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年度财政拨款收、支总计</w:t>
      </w:r>
      <w:r>
        <w:rPr>
          <w:rFonts w:hint="eastAsia" w:ascii="仿宋" w:hAnsi="仿宋" w:eastAsia="仿宋" w:cs="仿宋"/>
          <w:sz w:val="32"/>
          <w:szCs w:val="32"/>
          <w:lang w:val="en-US" w:eastAsia="zh-CN"/>
        </w:rPr>
        <w:t>5230.79</w:t>
      </w:r>
      <w:r>
        <w:rPr>
          <w:rFonts w:hint="eastAsia" w:ascii="仿宋" w:hAnsi="仿宋" w:eastAsia="仿宋" w:cs="仿宋"/>
          <w:sz w:val="32"/>
          <w:szCs w:val="32"/>
        </w:rPr>
        <w:t>万元。与201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年度相比，财政拨款收、支总计各增加</w:t>
      </w:r>
      <w:r>
        <w:rPr>
          <w:rFonts w:hint="eastAsia" w:ascii="仿宋" w:hAnsi="仿宋" w:eastAsia="仿宋" w:cs="仿宋"/>
          <w:sz w:val="32"/>
          <w:szCs w:val="32"/>
          <w:lang w:val="en-US" w:eastAsia="zh-CN"/>
        </w:rPr>
        <w:t>2722.57</w:t>
      </w:r>
      <w:r>
        <w:rPr>
          <w:rFonts w:hint="eastAsia" w:ascii="仿宋" w:hAnsi="仿宋" w:eastAsia="仿宋" w:cs="仿宋"/>
          <w:sz w:val="32"/>
          <w:szCs w:val="32"/>
        </w:rPr>
        <w:t>万元，增长</w:t>
      </w:r>
      <w:r>
        <w:rPr>
          <w:rFonts w:hint="eastAsia" w:ascii="仿宋" w:hAnsi="仿宋" w:eastAsia="仿宋" w:cs="仿宋"/>
          <w:sz w:val="32"/>
          <w:szCs w:val="32"/>
          <w:lang w:val="en-US" w:eastAsia="zh-CN"/>
        </w:rPr>
        <w:t>108.55</w:t>
      </w:r>
      <w:r>
        <w:rPr>
          <w:rFonts w:hint="eastAsia" w:ascii="仿宋" w:hAnsi="仿宋" w:eastAsia="仿宋" w:cs="仿宋"/>
          <w:sz w:val="32"/>
          <w:szCs w:val="32"/>
        </w:rPr>
        <w:t>%。主要原因：医疗、生育基金增长。</w:t>
      </w:r>
    </w:p>
    <w:p>
      <w:pPr>
        <w:widowControl/>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（一）一般公共预算财政拨款支出决算总体情况。</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w:t>
      </w:r>
      <w:r>
        <w:rPr>
          <w:rFonts w:hint="eastAsia" w:ascii="仿宋" w:hAnsi="仿宋" w:eastAsia="仿宋" w:cs="仿宋"/>
          <w:sz w:val="32"/>
          <w:szCs w:val="32"/>
          <w:lang w:val="en-US" w:eastAsia="zh-CN"/>
        </w:rPr>
        <w:t>5230.79</w:t>
      </w:r>
      <w:r>
        <w:rPr>
          <w:rFonts w:hint="eastAsia" w:ascii="仿宋" w:hAnsi="仿宋" w:eastAsia="仿宋" w:cs="仿宋"/>
          <w:sz w:val="32"/>
          <w:szCs w:val="32"/>
        </w:rPr>
        <w:t>万元，与201</w:t>
      </w:r>
      <w:r>
        <w:rPr>
          <w:rFonts w:hint="eastAsia" w:ascii="仿宋" w:hAnsi="仿宋" w:eastAsia="仿宋" w:cs="仿宋"/>
          <w:sz w:val="32"/>
          <w:szCs w:val="32"/>
          <w:lang w:val="en-US" w:eastAsia="zh-CN"/>
        </w:rPr>
        <w:t>8</w:t>
      </w:r>
      <w:r>
        <w:rPr>
          <w:rFonts w:hint="eastAsia" w:ascii="仿宋" w:hAnsi="仿宋" w:eastAsia="仿宋" w:cs="仿宋"/>
          <w:sz w:val="32"/>
          <w:szCs w:val="32"/>
        </w:rPr>
        <w:t>年决算数相比，增加</w:t>
      </w:r>
      <w:r>
        <w:rPr>
          <w:rFonts w:hint="eastAsia" w:ascii="仿宋" w:hAnsi="仿宋" w:eastAsia="仿宋" w:cs="仿宋"/>
          <w:sz w:val="32"/>
          <w:szCs w:val="32"/>
          <w:lang w:val="en-US" w:eastAsia="zh-CN"/>
        </w:rPr>
        <w:t>2722.57</w:t>
      </w:r>
      <w:r>
        <w:rPr>
          <w:rFonts w:hint="eastAsia" w:ascii="仿宋" w:hAnsi="仿宋" w:eastAsia="仿宋" w:cs="仿宋"/>
          <w:sz w:val="32"/>
          <w:szCs w:val="32"/>
        </w:rPr>
        <w:t>万元，增长</w:t>
      </w:r>
      <w:r>
        <w:rPr>
          <w:rFonts w:hint="eastAsia" w:ascii="仿宋" w:hAnsi="仿宋" w:eastAsia="仿宋" w:cs="仿宋"/>
          <w:sz w:val="32"/>
          <w:szCs w:val="32"/>
          <w:lang w:val="en-US" w:eastAsia="zh-CN"/>
        </w:rPr>
        <w:t>108.55</w:t>
      </w:r>
      <w:r>
        <w:rPr>
          <w:rFonts w:hint="eastAsia" w:ascii="仿宋" w:hAnsi="仿宋" w:eastAsia="仿宋" w:cs="仿宋"/>
          <w:sz w:val="32"/>
          <w:szCs w:val="32"/>
        </w:rPr>
        <w:t>%，医疗、生育基金增长。</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（二）一般公共预算财政拨款支出决算结构情况。</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w:t>
      </w:r>
      <w:r>
        <w:rPr>
          <w:rFonts w:hint="eastAsia" w:ascii="仿宋" w:hAnsi="仿宋" w:eastAsia="仿宋" w:cs="仿宋"/>
          <w:sz w:val="32"/>
          <w:szCs w:val="32"/>
          <w:lang w:val="en-US" w:eastAsia="zh-CN"/>
        </w:rPr>
        <w:t>5230.79</w:t>
      </w:r>
      <w:r>
        <w:rPr>
          <w:rFonts w:hint="eastAsia" w:ascii="仿宋" w:hAnsi="仿宋" w:eastAsia="仿宋" w:cs="仿宋"/>
          <w:sz w:val="32"/>
          <w:szCs w:val="32"/>
        </w:rPr>
        <w:t>万元，主要用于以下方面：一般公共服务支出（类）</w:t>
      </w:r>
      <w:r>
        <w:rPr>
          <w:rFonts w:hint="eastAsia" w:ascii="仿宋" w:hAnsi="仿宋" w:eastAsia="仿宋" w:cs="仿宋"/>
          <w:sz w:val="32"/>
          <w:szCs w:val="32"/>
          <w:lang w:val="en-US" w:eastAsia="zh-CN"/>
        </w:rPr>
        <w:t>130.79</w:t>
      </w:r>
      <w:r>
        <w:rPr>
          <w:rFonts w:hint="eastAsia" w:ascii="仿宋" w:hAnsi="仿宋" w:eastAsia="仿宋" w:cs="仿宋"/>
          <w:sz w:val="32"/>
          <w:szCs w:val="32"/>
        </w:rPr>
        <w:t>万元，占</w:t>
      </w:r>
      <w:r>
        <w:rPr>
          <w:rFonts w:hint="eastAsia" w:ascii="仿宋" w:hAnsi="仿宋" w:eastAsia="仿宋" w:cs="仿宋"/>
          <w:sz w:val="32"/>
          <w:szCs w:val="32"/>
          <w:lang w:val="en-US" w:eastAsia="zh-CN"/>
        </w:rPr>
        <w:t>2.50</w:t>
      </w:r>
      <w:r>
        <w:rPr>
          <w:rFonts w:hint="eastAsia" w:ascii="仿宋" w:hAnsi="仿宋" w:eastAsia="仿宋" w:cs="仿宋"/>
          <w:sz w:val="32"/>
          <w:szCs w:val="32"/>
        </w:rPr>
        <w:t>；社会保障和就业支出（类）</w:t>
      </w:r>
      <w:r>
        <w:rPr>
          <w:rFonts w:hint="eastAsia" w:ascii="仿宋" w:hAnsi="仿宋" w:eastAsia="仿宋" w:cs="仿宋"/>
          <w:sz w:val="32"/>
          <w:szCs w:val="32"/>
          <w:lang w:val="en-US" w:eastAsia="zh-CN"/>
        </w:rPr>
        <w:t>107.49</w:t>
      </w:r>
      <w:r>
        <w:rPr>
          <w:rFonts w:hint="eastAsia" w:ascii="仿宋" w:hAnsi="仿宋" w:eastAsia="仿宋" w:cs="仿宋"/>
          <w:sz w:val="32"/>
          <w:szCs w:val="32"/>
        </w:rPr>
        <w:t>万元，占</w:t>
      </w:r>
      <w:r>
        <w:rPr>
          <w:rFonts w:hint="eastAsia" w:ascii="仿宋" w:hAnsi="仿宋" w:eastAsia="仿宋" w:cs="仿宋"/>
          <w:sz w:val="32"/>
          <w:szCs w:val="32"/>
          <w:lang w:val="en-US" w:eastAsia="zh-CN"/>
        </w:rPr>
        <w:t>86.47</w:t>
      </w:r>
      <w:r>
        <w:rPr>
          <w:rFonts w:hint="eastAsia" w:ascii="仿宋" w:hAnsi="仿宋" w:eastAsia="仿宋" w:cs="仿宋"/>
          <w:sz w:val="32"/>
          <w:szCs w:val="32"/>
        </w:rPr>
        <w:t>%；农林水支出（类）0万元，占0%；资源勘探信息等支出（类）0万元，占0%；住房保障支出（类）</w:t>
      </w:r>
      <w:r>
        <w:rPr>
          <w:rFonts w:hint="eastAsia" w:ascii="仿宋" w:hAnsi="仿宋" w:eastAsia="仿宋" w:cs="仿宋"/>
          <w:sz w:val="32"/>
          <w:szCs w:val="32"/>
          <w:lang w:val="en-US" w:eastAsia="zh-CN"/>
        </w:rPr>
        <w:t>16.82</w:t>
      </w:r>
      <w:r>
        <w:rPr>
          <w:rFonts w:hint="eastAsia" w:ascii="仿宋" w:hAnsi="仿宋" w:eastAsia="仿宋" w:cs="仿宋"/>
          <w:sz w:val="32"/>
          <w:szCs w:val="32"/>
        </w:rPr>
        <w:t>万元，占</w:t>
      </w:r>
      <w:r>
        <w:rPr>
          <w:rFonts w:hint="eastAsia" w:ascii="仿宋" w:hAnsi="仿宋" w:eastAsia="仿宋" w:cs="仿宋"/>
          <w:sz w:val="32"/>
          <w:szCs w:val="32"/>
          <w:lang w:val="en-US" w:eastAsia="zh-CN"/>
        </w:rPr>
        <w:t>13.53</w:t>
      </w:r>
      <w:r>
        <w:rPr>
          <w:rFonts w:hint="eastAsia" w:ascii="仿宋" w:hAnsi="仿宋" w:eastAsia="仿宋" w:cs="仿宋"/>
          <w:sz w:val="32"/>
          <w:szCs w:val="32"/>
        </w:rPr>
        <w:t>%。</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（三）一般公共预算财政拨款支出决算具体情况。</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年度一般公共预算财政拨款支出年初预算为</w:t>
      </w:r>
      <w:r>
        <w:rPr>
          <w:rFonts w:hint="eastAsia" w:ascii="仿宋" w:hAnsi="仿宋" w:eastAsia="仿宋" w:cs="仿宋"/>
          <w:sz w:val="32"/>
          <w:szCs w:val="32"/>
          <w:lang w:val="en-US" w:eastAsia="zh-CN"/>
        </w:rPr>
        <w:t>130.79</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130.79</w:t>
      </w:r>
      <w:r>
        <w:rPr>
          <w:rFonts w:hint="eastAsia" w:ascii="仿宋" w:hAnsi="仿宋" w:eastAsia="仿宋" w:cs="仿宋"/>
          <w:sz w:val="32"/>
          <w:szCs w:val="32"/>
        </w:rPr>
        <w:t>万元，完成年初预算的100%。其中：</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1、一般公共服务支出（类）财政事务（）行政运行（项）</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年初预算为0万元，支出决算为0万元，完成年初预算的0%。</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2、一般公共服务支出（类）财政事务（款）一般行政管理事务（项）</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年初预算为0万元，支出决算为0万元，完成年初预算的0%。</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3、一般公共服务支出（类）财政事务（款）机关服务（项）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年初预算为0万元，支出决算为0万元，完成年初预算的0%。决算数大小于预算数的主要原因是预算执行期间根据实际情况调整预算。</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4、社会保障和就业支出（类）行政事业单位离退休（款）未归口管理的行政单位离退休（项）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年初预算为0万元，支出决算为0万元，完成年初预算的0%。决算数小于预算数的主要原因是退休工资纳入社保开资。</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5、社会保障和就业支出（类）其他社会保障和就业支出（款）其他社会保障和就业支出（项）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107.49</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107.49</w:t>
      </w:r>
      <w:r>
        <w:rPr>
          <w:rFonts w:hint="eastAsia" w:ascii="仿宋" w:hAnsi="仿宋" w:eastAsia="仿宋" w:cs="仿宋"/>
          <w:sz w:val="32"/>
          <w:szCs w:val="32"/>
        </w:rPr>
        <w:t>万元，完成年初预算的100%。</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6、农林水支出（类）农村综合改革（款）对村级一事一议的补助（项）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年初预算为0万元，支出决算为0万元。</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7、资源勘探信息等支出（类）国有资产监管（款）行政运行（项）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年初预算为0万元，支出决算为0万元，完成年初预算的0%。</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8、住房保障支出（类）住房改革支出（款）住房公积金（项）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16.82</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16.82</w:t>
      </w:r>
      <w:r>
        <w:rPr>
          <w:rFonts w:hint="eastAsia" w:ascii="仿宋" w:hAnsi="仿宋" w:eastAsia="仿宋" w:cs="仿宋"/>
          <w:sz w:val="32"/>
          <w:szCs w:val="32"/>
        </w:rPr>
        <w:t>万元，完成年初预算的100%。</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年度一般公共预算财政拨款基本支出</w:t>
      </w:r>
      <w:r>
        <w:rPr>
          <w:rFonts w:hint="eastAsia" w:ascii="仿宋" w:hAnsi="仿宋" w:eastAsia="仿宋" w:cs="仿宋"/>
          <w:sz w:val="32"/>
          <w:szCs w:val="32"/>
          <w:lang w:val="en-US" w:eastAsia="zh-CN"/>
        </w:rPr>
        <w:t>130.79</w:t>
      </w:r>
      <w:r>
        <w:rPr>
          <w:rFonts w:hint="eastAsia" w:ascii="仿宋" w:hAnsi="仿宋" w:eastAsia="仿宋" w:cs="仿宋"/>
          <w:sz w:val="32"/>
          <w:szCs w:val="32"/>
        </w:rPr>
        <w:t>万元，其中：</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120.59</w:t>
      </w:r>
      <w:r>
        <w:rPr>
          <w:rFonts w:hint="eastAsia" w:ascii="仿宋" w:hAnsi="仿宋" w:eastAsia="仿宋" w:cs="仿宋"/>
          <w:sz w:val="32"/>
          <w:szCs w:val="32"/>
        </w:rPr>
        <w:t>万元，主要包括：基本工资、津贴补贴、奖金、伙食补助费、住房公积金、其他工资福利支出、退休费、抚恤金、生活补助、助学金、奖励金、其他对个人和家庭的补助支出；</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10.20</w:t>
      </w:r>
      <w:r>
        <w:rPr>
          <w:rFonts w:hint="eastAsia" w:ascii="仿宋" w:hAnsi="仿宋" w:eastAsia="仿宋" w:cs="仿宋"/>
          <w:sz w:val="32"/>
          <w:szCs w:val="32"/>
        </w:rPr>
        <w:t>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（一）“三公”经费财政拨款支出决算总体情况说明</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年度“三公”经费财政拨款支出决算为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（二）“三公”经费财政拨款支出决算具体情况说明。</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
          <w:bCs/>
          <w:sz w:val="32"/>
          <w:szCs w:val="32"/>
        </w:rPr>
        <w:t>因公出国（境）费</w:t>
      </w:r>
      <w:r>
        <w:rPr>
          <w:rFonts w:hint="eastAsia" w:ascii="仿宋" w:hAnsi="仿宋" w:eastAsia="仿宋" w:cs="仿宋"/>
          <w:sz w:val="32"/>
          <w:szCs w:val="32"/>
        </w:rPr>
        <w:t>年初预算为0万元，支出决算为0万元，完成预算的0%，主要用于。决算数小于预算数的主要原因：无；与上年决算相比，增加（减少）0万元，增长（下降）0%，主要原因是无；全年安排因公出国（境）团组0个，累计0人次。</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
          <w:bCs/>
          <w:sz w:val="32"/>
          <w:szCs w:val="32"/>
        </w:rPr>
        <w:t>公务用车购置及运行费</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万元，完成预算的0%；公务用车购置支出0万元，与上年决算比减少（增加）0万元，下降（增长）0%；公务用车运行维护费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widowControl/>
        <w:spacing w:line="360" w:lineRule="auto"/>
        <w:ind w:firstLine="602" w:firstLineChars="200"/>
        <w:jc w:val="left"/>
        <w:rPr>
          <w:rFonts w:ascii="仿宋" w:hAnsi="仿宋" w:eastAsia="仿宋" w:cs="仿宋"/>
          <w:sz w:val="30"/>
          <w:szCs w:val="30"/>
        </w:rPr>
      </w:pPr>
      <w:r>
        <w:rPr>
          <w:rFonts w:hint="eastAsia" w:ascii="仿宋" w:hAnsi="仿宋" w:eastAsia="仿宋" w:cs="仿宋"/>
          <w:b/>
          <w:bCs/>
          <w:sz w:val="30"/>
          <w:szCs w:val="30"/>
        </w:rPr>
        <w:t>3、公务接待费</w:t>
      </w:r>
      <w:r>
        <w:rPr>
          <w:rFonts w:hint="eastAsia" w:ascii="仿宋" w:hAnsi="仿宋" w:eastAsia="仿宋" w:cs="仿宋"/>
          <w:sz w:val="30"/>
          <w:szCs w:val="30"/>
        </w:rPr>
        <w:t>年初预算为0万元，支出决算为0万元，完成预算的</w:t>
      </w:r>
      <w:r>
        <w:rPr>
          <w:rFonts w:hint="eastAsia" w:ascii="仿宋" w:hAnsi="仿宋" w:eastAsia="仿宋" w:cs="仿宋"/>
          <w:sz w:val="30"/>
          <w:szCs w:val="30"/>
          <w:lang w:val="en-US" w:eastAsia="zh-CN"/>
        </w:rPr>
        <w:t>0</w:t>
      </w:r>
      <w:r>
        <w:rPr>
          <w:rFonts w:hint="eastAsia" w:ascii="仿宋" w:hAnsi="仿宋" w:eastAsia="仿宋" w:cs="仿宋"/>
          <w:sz w:val="30"/>
          <w:szCs w:val="30"/>
        </w:rPr>
        <w:t>%，主要用于：国内公务接待费0万元，国内公务接待批次0个，国内公务接待人次0人；国（境）外公务接待费0万元，国（境）外公务接待批次0个，国（境）外公务接待人次0人。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年度政府性基金预算财政拨款年初结转和结余0万元，本年收入决算数0万元，本年支出决算数0万元，年末结转和结余0万元。与201</w:t>
      </w:r>
      <w:r>
        <w:rPr>
          <w:rFonts w:hint="eastAsia" w:ascii="仿宋" w:hAnsi="仿宋" w:eastAsia="仿宋" w:cs="仿宋"/>
          <w:sz w:val="30"/>
          <w:szCs w:val="30"/>
          <w:lang w:val="en-US" w:eastAsia="zh-CN"/>
        </w:rPr>
        <w:t>8</w:t>
      </w:r>
      <w:r>
        <w:rPr>
          <w:rFonts w:hint="eastAsia" w:ascii="仿宋" w:hAnsi="仿宋" w:eastAsia="仿宋" w:cs="仿宋"/>
          <w:sz w:val="30"/>
          <w:szCs w:val="30"/>
        </w:rPr>
        <w:t>年相比，政府性基金预算财政拨款支出增加（减少）0万元，增长（下降）0%，主要原因是无。</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年初预算为0万元，支出决算为0万元。本年收入0万元，已结转下年。</w:t>
      </w:r>
    </w:p>
    <w:p>
      <w:pPr>
        <w:widowControl/>
        <w:numPr>
          <w:ilvl w:val="0"/>
          <w:numId w:val="4"/>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40" w:firstLineChars="200"/>
        <w:jc w:val="left"/>
        <w:rPr>
          <w:rFonts w:ascii="仿宋" w:hAnsi="仿宋" w:eastAsia="仿宋" w:cs="仿宋"/>
          <w:b/>
          <w:bCs/>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年度没有</w:t>
      </w:r>
      <w:r>
        <w:rPr>
          <w:rFonts w:hint="eastAsia" w:ascii="仿宋" w:hAnsi="仿宋" w:eastAsia="仿宋" w:cs="仿宋"/>
          <w:sz w:val="30"/>
          <w:szCs w:val="30"/>
        </w:rPr>
        <w:t>200</w:t>
      </w:r>
      <w:r>
        <w:rPr>
          <w:rFonts w:hint="eastAsia" w:ascii="仿宋" w:hAnsi="仿宋" w:eastAsia="仿宋" w:cs="仿宋"/>
          <w:sz w:val="32"/>
          <w:szCs w:val="32"/>
        </w:rPr>
        <w:t>万元以上项目、政府购买公共服务项目和市级以上专项，故没有开展绩效评价工作。</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（一）机关运行经费支出情况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年度机关运行经费支出0万元，较年初预算增加0万元，增长0%，主要原因预算执行期间根据实际情况调整预算；较上年决算减少0万元，同比下降0%，主要原因是：压缩公用经费支出。</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（二）政府采购支出情况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9</w:t>
      </w:r>
      <w:r>
        <w:rPr>
          <w:rFonts w:hint="eastAsia" w:ascii="仿宋" w:hAnsi="仿宋" w:eastAsia="仿宋" w:cs="仿宋"/>
          <w:sz w:val="30"/>
          <w:szCs w:val="30"/>
        </w:rPr>
        <w:t>年本部门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（三）国有资产占用情况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截至201</w:t>
      </w:r>
      <w:r>
        <w:rPr>
          <w:rFonts w:hint="eastAsia" w:ascii="仿宋" w:hAnsi="仿宋" w:eastAsia="仿宋" w:cs="仿宋"/>
          <w:sz w:val="30"/>
          <w:szCs w:val="30"/>
          <w:lang w:val="en-US" w:eastAsia="zh-CN"/>
        </w:rPr>
        <w:t>9</w:t>
      </w:r>
      <w:r>
        <w:rPr>
          <w:rFonts w:hint="eastAsia" w:ascii="仿宋" w:hAnsi="仿宋" w:eastAsia="仿宋" w:cs="仿宋"/>
          <w:sz w:val="30"/>
          <w:szCs w:val="30"/>
        </w:rPr>
        <w:t>年12月31日，本部门共有车辆</w:t>
      </w:r>
      <w:r>
        <w:rPr>
          <w:rFonts w:hint="eastAsia" w:ascii="仿宋" w:hAnsi="仿宋" w:eastAsia="仿宋" w:cs="仿宋"/>
          <w:sz w:val="30"/>
          <w:szCs w:val="30"/>
          <w:lang w:val="en-US" w:eastAsia="zh-CN"/>
        </w:rPr>
        <w:t>0</w:t>
      </w:r>
      <w:r>
        <w:rPr>
          <w:rFonts w:hint="eastAsia" w:ascii="仿宋" w:hAnsi="仿宋" w:eastAsia="仿宋" w:cs="仿宋"/>
          <w:sz w:val="30"/>
          <w:szCs w:val="30"/>
        </w:rPr>
        <w:t>辆，其中：副部（省）级及以上领导用车0辆、主要领导干部用车0辆、机要通信用车0辆，应急保障用车0辆、执法执勤用车0辆、特种专业技术用车0辆、离退休干部用车0辆，其他用车</w:t>
      </w:r>
      <w:r>
        <w:rPr>
          <w:rFonts w:hint="eastAsia" w:ascii="仿宋" w:hAnsi="仿宋" w:eastAsia="仿宋" w:cs="仿宋"/>
          <w:sz w:val="30"/>
          <w:szCs w:val="30"/>
          <w:lang w:val="en-US" w:eastAsia="zh-CN"/>
        </w:rPr>
        <w:t>0</w:t>
      </w:r>
      <w:r>
        <w:rPr>
          <w:rFonts w:hint="eastAsia" w:ascii="仿宋" w:hAnsi="仿宋" w:eastAsia="仿宋" w:cs="仿宋"/>
          <w:sz w:val="30"/>
          <w:szCs w:val="30"/>
        </w:rPr>
        <w:t>辆。单价200万元以上通用设备0台(套)，单价200万元以上专用设备0台(套)。</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0"/>
          <w:szCs w:val="30"/>
        </w:rPr>
        <w:t>根据《201</w:t>
      </w:r>
      <w:r>
        <w:rPr>
          <w:rFonts w:hint="eastAsia" w:ascii="仿宋" w:hAnsi="仿宋" w:eastAsia="仿宋" w:cs="仿宋"/>
          <w:sz w:val="30"/>
          <w:szCs w:val="30"/>
          <w:lang w:val="en-US" w:eastAsia="zh-CN"/>
        </w:rPr>
        <w:t>9</w:t>
      </w:r>
      <w:r>
        <w:rPr>
          <w:rFonts w:hint="eastAsia" w:ascii="仿宋" w:hAnsi="仿宋" w:eastAsia="仿宋" w:cs="仿宋"/>
          <w:sz w:val="30"/>
          <w:szCs w:val="30"/>
        </w:rPr>
        <w:t>年政府收支分类科目》对201</w:t>
      </w:r>
      <w:r>
        <w:rPr>
          <w:rFonts w:hint="eastAsia" w:ascii="仿宋" w:hAnsi="仿宋" w:eastAsia="仿宋" w:cs="仿宋"/>
          <w:sz w:val="30"/>
          <w:szCs w:val="30"/>
          <w:lang w:val="en-US" w:eastAsia="zh-CN"/>
        </w:rPr>
        <w:t>9</w:t>
      </w:r>
      <w:r>
        <w:rPr>
          <w:rFonts w:hint="eastAsia" w:ascii="仿宋" w:hAnsi="仿宋" w:eastAsia="仿宋" w:cs="仿宋"/>
          <w:sz w:val="30"/>
          <w:szCs w:val="30"/>
        </w:rPr>
        <w:t>年度部门决算公开中相关名词解释如下：</w:t>
      </w:r>
      <w:r>
        <w:rPr>
          <w:rFonts w:hint="eastAsia" w:ascii="仿宋" w:hAnsi="仿宋" w:eastAsia="仿宋" w:cs="仿宋"/>
          <w:sz w:val="30"/>
          <w:szCs w:val="30"/>
        </w:rPr>
        <w:br w:type="textWrapping"/>
      </w:r>
      <w:r>
        <w:rPr>
          <w:rFonts w:hint="eastAsia" w:ascii="仿宋" w:hAnsi="仿宋" w:eastAsia="仿宋" w:cs="仿宋"/>
          <w:sz w:val="30"/>
          <w:szCs w:val="30"/>
        </w:rPr>
        <w:t>　　财政拨款收入：反映财政部门用公共预算收入安排的预</w:t>
      </w:r>
      <w:r>
        <w:rPr>
          <w:rFonts w:hint="eastAsia" w:ascii="仿宋" w:hAnsi="仿宋" w:eastAsia="仿宋" w:cs="仿宋"/>
          <w:sz w:val="32"/>
          <w:szCs w:val="32"/>
        </w:rPr>
        <w:t>算单位资金。</w:t>
      </w:r>
    </w:p>
    <w:p>
      <w:pPr>
        <w:spacing w:line="360" w:lineRule="auto"/>
        <w:ind w:firstLine="660"/>
        <w:rPr>
          <w:rFonts w:ascii="仿宋" w:hAnsi="仿宋" w:eastAsia="仿宋" w:cs="仿宋"/>
          <w:color w:val="111111"/>
          <w:kern w:val="0"/>
          <w:sz w:val="30"/>
          <w:szCs w:val="30"/>
        </w:rPr>
      </w:pPr>
      <w:r>
        <w:rPr>
          <w:rFonts w:hint="eastAsia" w:ascii="仿宋" w:hAnsi="仿宋" w:eastAsia="仿宋" w:cs="仿宋"/>
          <w:sz w:val="30"/>
          <w:szCs w:val="30"/>
        </w:rPr>
        <w:t>一般公共预算拨款</w:t>
      </w:r>
      <w:r>
        <w:rPr>
          <w:rFonts w:hint="eastAsia" w:ascii="仿宋" w:hAnsi="仿宋" w:eastAsia="仿宋" w:cs="仿宋"/>
          <w:bCs/>
          <w:color w:val="111111"/>
          <w:kern w:val="0"/>
          <w:sz w:val="30"/>
          <w:szCs w:val="30"/>
        </w:rPr>
        <w:t>：</w:t>
      </w:r>
      <w:r>
        <w:rPr>
          <w:rFonts w:hint="eastAsia" w:ascii="仿宋" w:hAnsi="仿宋" w:eastAsia="仿宋" w:cs="仿宋"/>
          <w:color w:val="111111"/>
          <w:kern w:val="0"/>
          <w:sz w:val="30"/>
          <w:szCs w:val="30"/>
        </w:rPr>
        <w:t>指单位本年度从区级财政部门取得的财政拨款。</w:t>
      </w:r>
    </w:p>
    <w:p>
      <w:pPr>
        <w:widowControl/>
        <w:spacing w:line="360" w:lineRule="auto"/>
        <w:ind w:firstLine="600" w:firstLineChars="200"/>
        <w:jc w:val="left"/>
        <w:rPr>
          <w:rFonts w:ascii="仿宋" w:hAnsi="仿宋" w:eastAsia="仿宋" w:cs="仿宋"/>
          <w:i/>
          <w:iCs/>
          <w:color w:val="111111"/>
          <w:kern w:val="0"/>
          <w:sz w:val="30"/>
          <w:szCs w:val="30"/>
        </w:rPr>
      </w:pPr>
      <w:r>
        <w:rPr>
          <w:rFonts w:hint="eastAsia" w:ascii="仿宋" w:hAnsi="仿宋" w:eastAsia="仿宋" w:cs="仿宋"/>
          <w:bCs/>
          <w:color w:val="111111"/>
          <w:kern w:val="0"/>
          <w:sz w:val="30"/>
          <w:szCs w:val="30"/>
        </w:rPr>
        <w:t>事业收入：</w:t>
      </w:r>
      <w:r>
        <w:rPr>
          <w:rFonts w:hint="eastAsia" w:ascii="仿宋" w:hAnsi="仿宋" w:eastAsia="仿宋" w:cs="仿宋"/>
          <w:color w:val="111111"/>
          <w:kern w:val="0"/>
          <w:sz w:val="30"/>
          <w:szCs w:val="30"/>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0"/>
          <w:szCs w:val="30"/>
        </w:rPr>
      </w:pPr>
      <w:r>
        <w:rPr>
          <w:rFonts w:hint="eastAsia" w:ascii="仿宋" w:hAnsi="仿宋" w:eastAsia="仿宋" w:cs="仿宋"/>
          <w:bCs/>
          <w:color w:val="111111"/>
          <w:kern w:val="0"/>
          <w:sz w:val="30"/>
          <w:szCs w:val="30"/>
        </w:rPr>
        <w:t>其他收入：</w:t>
      </w:r>
      <w:r>
        <w:rPr>
          <w:rFonts w:hint="eastAsia" w:ascii="仿宋" w:hAnsi="仿宋" w:eastAsia="仿宋" w:cs="仿宋"/>
          <w:color w:val="111111"/>
          <w:kern w:val="0"/>
          <w:sz w:val="30"/>
          <w:szCs w:val="30"/>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用事业基金弥补收支差额：</w:t>
      </w:r>
      <w:r>
        <w:rPr>
          <w:rFonts w:hint="eastAsia" w:ascii="仿宋" w:hAnsi="仿宋" w:eastAsia="仿宋" w:cs="仿宋"/>
          <w:color w:val="111111"/>
          <w:kern w:val="0"/>
          <w:sz w:val="30"/>
          <w:szCs w:val="30"/>
        </w:rPr>
        <w:t>指事业单位用事业基金弥补当年收支差额的数额。 </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年初结转和结余：</w:t>
      </w:r>
      <w:r>
        <w:rPr>
          <w:rFonts w:hint="eastAsia" w:ascii="仿宋" w:hAnsi="仿宋" w:eastAsia="仿宋" w:cs="仿宋"/>
          <w:color w:val="111111"/>
          <w:kern w:val="0"/>
          <w:sz w:val="30"/>
          <w:szCs w:val="30"/>
        </w:rPr>
        <w:t>指单位上年结转本年使用的基本支出结转、项目支出结转和结余和经营结余。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年末结转和结余资金：指本年度或以前年度预算安排、因客观条件发生变化无法按原计划实施，需要延迟到以后年度按有关规定继续使用的资金。</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一般公共财政预算支出：反映公共财政预算收入安排的支出。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w:t>
      </w:r>
      <w:r>
        <w:rPr>
          <w:rFonts w:hint="eastAsia" w:ascii="仿宋" w:hAnsi="仿宋" w:eastAsia="仿宋" w:cs="仿宋"/>
          <w:bCs/>
          <w:color w:val="111111"/>
          <w:kern w:val="0"/>
          <w:sz w:val="30"/>
          <w:szCs w:val="30"/>
          <w:lang w:eastAsia="zh-CN"/>
        </w:rPr>
        <w:t>安</w:t>
      </w:r>
      <w:r>
        <w:rPr>
          <w:rFonts w:hint="eastAsia" w:ascii="仿宋" w:hAnsi="仿宋" w:eastAsia="仿宋" w:cs="仿宋"/>
          <w:bCs/>
          <w:color w:val="111111"/>
          <w:kern w:val="0"/>
          <w:sz w:val="30"/>
          <w:szCs w:val="30"/>
        </w:rPr>
        <w:t>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基本支出：指为保障机构正常运转、完成日常工作任务而发生的人员支出和公用支出。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bookmarkStart w:id="0" w:name="_GoBack"/>
      <w:bookmarkEnd w:id="0"/>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附件：201</w:t>
      </w:r>
      <w:r>
        <w:rPr>
          <w:rFonts w:hint="eastAsia" w:ascii="仿宋" w:hAnsi="仿宋" w:eastAsia="仿宋" w:cs="仿宋"/>
          <w:bCs/>
          <w:color w:val="111111"/>
          <w:kern w:val="0"/>
          <w:sz w:val="30"/>
          <w:szCs w:val="30"/>
          <w:lang w:val="en-US" w:eastAsia="zh-CN"/>
        </w:rPr>
        <w:t>9</w:t>
      </w:r>
      <w:r>
        <w:rPr>
          <w:rFonts w:hint="eastAsia" w:ascii="仿宋" w:hAnsi="仿宋" w:eastAsia="仿宋" w:cs="仿宋"/>
          <w:bCs/>
          <w:color w:val="111111"/>
          <w:kern w:val="0"/>
          <w:sz w:val="30"/>
          <w:szCs w:val="30"/>
        </w:rPr>
        <w:t>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政府性基金预算财政拨款收入支出决算表</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p>
    <w:p>
      <w:pPr>
        <w:spacing w:line="360" w:lineRule="auto"/>
        <w:ind w:firstLine="600" w:firstLineChars="200"/>
        <w:rPr>
          <w:rFonts w:ascii="仿宋" w:hAnsi="仿宋" w:eastAsia="仿宋" w:cs="仿宋"/>
          <w:kern w:val="0"/>
          <w:sz w:val="30"/>
          <w:szCs w:val="30"/>
        </w:rPr>
      </w:pPr>
    </w:p>
    <w:p>
      <w:pPr>
        <w:spacing w:line="360" w:lineRule="auto"/>
        <w:rPr>
          <w:rFonts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Fonts w:ascii="宋体" w:hAnsi="宋体"/>
        <w:sz w:val="24"/>
        <w:szCs w:val="24"/>
      </w:rPr>
    </w:pPr>
    <w:r>
      <w:rPr>
        <w:rFonts w:ascii="宋体" w:hAnsi="宋体"/>
        <w:sz w:val="24"/>
        <w:szCs w:val="24"/>
      </w:rPr>
      <w:fldChar w:fldCharType="begin"/>
    </w:r>
    <w:r>
      <w:rPr>
        <w:rStyle w:val="9"/>
        <w:rFonts w:ascii="宋体" w:hAnsi="宋体"/>
        <w:sz w:val="24"/>
        <w:szCs w:val="24"/>
      </w:rPr>
      <w:instrText xml:space="preserve">PAGE  </w:instrText>
    </w:r>
    <w:r>
      <w:rPr>
        <w:rFonts w:ascii="宋体" w:hAnsi="宋体"/>
        <w:sz w:val="24"/>
        <w:szCs w:val="24"/>
      </w:rPr>
      <w:fldChar w:fldCharType="separate"/>
    </w:r>
    <w:r>
      <w:rPr>
        <w:rStyle w:val="9"/>
        <w:rFonts w:ascii="宋体" w:hAnsi="宋体"/>
        <w:sz w:val="24"/>
        <w:szCs w:val="24"/>
      </w:rPr>
      <w:t>- 1 -</w:t>
    </w:r>
    <w:r>
      <w:rPr>
        <w:rFonts w:ascii="宋体" w:hAnsi="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OWFjOGFkOGM1ODMwOTg2NTlmNmI1ZjE1MmVjMDlmYWUifQ=="/>
  </w:docVars>
  <w:rsids>
    <w:rsidRoot w:val="141522A4"/>
    <w:rsid w:val="00016DF7"/>
    <w:rsid w:val="000C09CD"/>
    <w:rsid w:val="000C2BCA"/>
    <w:rsid w:val="00156E55"/>
    <w:rsid w:val="001820E2"/>
    <w:rsid w:val="001860FC"/>
    <w:rsid w:val="001E779F"/>
    <w:rsid w:val="00236952"/>
    <w:rsid w:val="00244EAB"/>
    <w:rsid w:val="0028584F"/>
    <w:rsid w:val="002A0846"/>
    <w:rsid w:val="002F06A5"/>
    <w:rsid w:val="00333E5F"/>
    <w:rsid w:val="0034704A"/>
    <w:rsid w:val="00403E32"/>
    <w:rsid w:val="004357AB"/>
    <w:rsid w:val="00440B1C"/>
    <w:rsid w:val="004D28BB"/>
    <w:rsid w:val="004F7267"/>
    <w:rsid w:val="0050564F"/>
    <w:rsid w:val="005634A9"/>
    <w:rsid w:val="00584B62"/>
    <w:rsid w:val="005E1971"/>
    <w:rsid w:val="005F60F0"/>
    <w:rsid w:val="00714424"/>
    <w:rsid w:val="0073705A"/>
    <w:rsid w:val="007A0D8E"/>
    <w:rsid w:val="00825AAE"/>
    <w:rsid w:val="008557E7"/>
    <w:rsid w:val="009007AF"/>
    <w:rsid w:val="00964CB8"/>
    <w:rsid w:val="00973722"/>
    <w:rsid w:val="009C5CB9"/>
    <w:rsid w:val="009F4372"/>
    <w:rsid w:val="00B279BA"/>
    <w:rsid w:val="00B4266F"/>
    <w:rsid w:val="00B47B04"/>
    <w:rsid w:val="00BB70CB"/>
    <w:rsid w:val="00BE7B7B"/>
    <w:rsid w:val="00CA76D0"/>
    <w:rsid w:val="00DA4F58"/>
    <w:rsid w:val="00E3309B"/>
    <w:rsid w:val="00F34F58"/>
    <w:rsid w:val="00F57CA2"/>
    <w:rsid w:val="00F613C7"/>
    <w:rsid w:val="00F86334"/>
    <w:rsid w:val="00FC254B"/>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370BB7"/>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2CF39AF"/>
    <w:rsid w:val="33A52EDF"/>
    <w:rsid w:val="33B00D4E"/>
    <w:rsid w:val="33B30709"/>
    <w:rsid w:val="33D52F52"/>
    <w:rsid w:val="342D1FD0"/>
    <w:rsid w:val="347F1DF5"/>
    <w:rsid w:val="348148BB"/>
    <w:rsid w:val="349E4F95"/>
    <w:rsid w:val="353D309D"/>
    <w:rsid w:val="354B0485"/>
    <w:rsid w:val="359D1E5E"/>
    <w:rsid w:val="35A27AEB"/>
    <w:rsid w:val="35C9153A"/>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3EF019C"/>
    <w:rsid w:val="45114AD5"/>
    <w:rsid w:val="454D033D"/>
    <w:rsid w:val="454D1830"/>
    <w:rsid w:val="455C498F"/>
    <w:rsid w:val="456626DA"/>
    <w:rsid w:val="457E5F6B"/>
    <w:rsid w:val="46360FF3"/>
    <w:rsid w:val="469D50B4"/>
    <w:rsid w:val="469F2AFB"/>
    <w:rsid w:val="4752048D"/>
    <w:rsid w:val="47E7503F"/>
    <w:rsid w:val="480B68BA"/>
    <w:rsid w:val="481C5784"/>
    <w:rsid w:val="48E37E88"/>
    <w:rsid w:val="490A248A"/>
    <w:rsid w:val="493B4F8E"/>
    <w:rsid w:val="49950546"/>
    <w:rsid w:val="49F10D10"/>
    <w:rsid w:val="4A7F6176"/>
    <w:rsid w:val="4B292024"/>
    <w:rsid w:val="4B6F38E8"/>
    <w:rsid w:val="4BF91344"/>
    <w:rsid w:val="4CE65541"/>
    <w:rsid w:val="4DFF3087"/>
    <w:rsid w:val="4E837D65"/>
    <w:rsid w:val="4EB457CE"/>
    <w:rsid w:val="4ED624CF"/>
    <w:rsid w:val="4EFC0914"/>
    <w:rsid w:val="4F5D4E27"/>
    <w:rsid w:val="4FCA7A0D"/>
    <w:rsid w:val="4FD8218C"/>
    <w:rsid w:val="50250CF7"/>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742FC5"/>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DE40E56"/>
    <w:rsid w:val="6E253E16"/>
    <w:rsid w:val="6E873D36"/>
    <w:rsid w:val="6EB4012D"/>
    <w:rsid w:val="6EE3061B"/>
    <w:rsid w:val="6FB963DE"/>
    <w:rsid w:val="6FC35E69"/>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CA1A97"/>
    <w:rsid w:val="77EC3589"/>
    <w:rsid w:val="77FD2102"/>
    <w:rsid w:val="79256D0D"/>
    <w:rsid w:val="799A1446"/>
    <w:rsid w:val="7A3A52C0"/>
    <w:rsid w:val="7B483738"/>
    <w:rsid w:val="7BD06401"/>
    <w:rsid w:val="7C9B09F8"/>
    <w:rsid w:val="7D2865F7"/>
    <w:rsid w:val="7D456302"/>
    <w:rsid w:val="7D5B6D22"/>
    <w:rsid w:val="7DC032B1"/>
    <w:rsid w:val="7EFE21F5"/>
    <w:rsid w:val="7F492E62"/>
    <w:rsid w:val="7FB060C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ind w:firstLine="64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Autospacing="1" w:afterAutospacing="1"/>
      <w:jc w:val="left"/>
    </w:pPr>
    <w:rPr>
      <w:rFonts w:ascii="宋体" w:hAnsi="宋体" w:cs="宋体"/>
      <w:kern w:val="0"/>
      <w:sz w:val="24"/>
    </w:rPr>
  </w:style>
  <w:style w:type="character" w:styleId="8">
    <w:name w:val="Strong"/>
    <w:basedOn w:val="7"/>
    <w:qFormat/>
    <w:uiPriority w:val="0"/>
    <w:rPr>
      <w:b/>
    </w:rPr>
  </w:style>
  <w:style w:type="character" w:styleId="9">
    <w:name w:val="page number"/>
    <w:basedOn w:val="7"/>
    <w:qFormat/>
    <w:uiPriority w:val="0"/>
  </w:style>
  <w:style w:type="character" w:styleId="10">
    <w:name w:val="Hyperlink"/>
    <w:qFormat/>
    <w:uiPriority w:val="0"/>
    <w:rPr>
      <w:color w:val="141414"/>
      <w:u w:val="none"/>
    </w:rPr>
  </w:style>
  <w:style w:type="paragraph" w:customStyle="1" w:styleId="11">
    <w:name w:val="List Paragraph"/>
    <w:basedOn w:val="1"/>
    <w:unhideWhenUsed/>
    <w:qFormat/>
    <w:uiPriority w:val="99"/>
    <w:pPr>
      <w:ind w:firstLine="420" w:firstLineChars="200"/>
    </w:pPr>
  </w:style>
  <w:style w:type="character" w:customStyle="1" w:styleId="12">
    <w:name w:val="apple-converted-space"/>
    <w:basedOn w:val="7"/>
    <w:qFormat/>
    <w:uiPriority w:val="0"/>
  </w:style>
  <w:style w:type="character" w:customStyle="1" w:styleId="13">
    <w:name w:val="页眉 Char"/>
    <w:basedOn w:val="7"/>
    <w:link w:val="4"/>
    <w:qFormat/>
    <w:uiPriority w:val="0"/>
    <w:rPr>
      <w:kern w:val="2"/>
      <w:sz w:val="18"/>
      <w:szCs w:val="18"/>
    </w:rPr>
  </w:style>
  <w:style w:type="paragraph" w:customStyle="1" w:styleId="14">
    <w:name w:val="Normal_3"/>
    <w:qFormat/>
    <w:uiPriority w:val="0"/>
    <w:pPr>
      <w:spacing w:before="120" w:beforeLines="0" w:after="240" w:afterLines="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13</Pages>
  <Words>1018</Words>
  <Characters>5808</Characters>
  <Lines>48</Lines>
  <Paragraphs>13</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美食在简单</cp:lastModifiedBy>
  <cp:lastPrinted>2018-10-11T04:40:00Z</cp:lastPrinted>
  <dcterms:modified xsi:type="dcterms:W3CDTF">2024-03-15T06:48:20Z</dcterms:modified>
  <dc:title>饶河县医疗保障局2019年度部门决算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2CF801EBA076496BB3264B4FDB34ADD5_12</vt:lpwstr>
  </property>
</Properties>
</file>