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eastAsiaTheme="minorEastAsia"/>
          <w:b/>
          <w:bCs/>
          <w:sz w:val="32"/>
          <w:szCs w:val="32"/>
          <w:lang w:val="en-US" w:eastAsia="zh-CN"/>
        </w:rPr>
        <w:t>2019年一般公共预算税收返还和转移支付决算表</w:t>
      </w:r>
      <w:r>
        <w:rPr>
          <w:rFonts w:hint="eastAsia"/>
          <w:b/>
          <w:bCs/>
          <w:sz w:val="32"/>
          <w:szCs w:val="32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我县今年返还性收入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5,306万元，其中：所得税基数返还收入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139万元；成品油税费改革税收返还收入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873万元；增值税</w:t>
      </w:r>
      <w:bookmarkStart w:id="0" w:name="_GoBack"/>
      <w:bookmarkEnd w:id="0"/>
      <w:r>
        <w:rPr>
          <w:rFonts w:hint="eastAsia"/>
          <w:b w:val="0"/>
          <w:bCs w:val="0"/>
          <w:sz w:val="32"/>
          <w:szCs w:val="32"/>
          <w:lang w:val="en-US" w:eastAsia="zh-CN"/>
        </w:rPr>
        <w:t>税收返还收入3,579万元；消费税税收返还收入2万元；增值税“五五分享”税收返还收入690万元；其他返还性收入23万元。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left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我县今年一般性转移支付收入154,338万元，其中：均衡性转移支付收入31,721万元；县级基本财力保障机制奖补资金收入6,143万元；结算补助收入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983万元；产粮(油)大县奖励资金收入6,411万元；重点生态功能区转移支付收入4,323万元；固定数额补助收入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16,448万元； 革命老区转移支付收入446万元；民族地区转移支付收入200万元；边境地区转移支付收入7,359万元；贫困地区转移支付收入3,527万元；公共安全共同财政事权转移支付收入 1,239万元；教育共同财政事权转移支付收入 3,359万元；文化旅游体育与传媒共同财政事权转移支付收入661万元；社会保障和就业共同财政事权转移支付收入 9,324万元；卫生健康共同财政事权转移支付收入5,947万元；节能环保共同财政事权转移支付收入 1,673万元；农林水共同财政事权转移支付收48,071万元；交通运输共同财政事权转移支付收入 2,834万元；住房保障共同财政事权转移支付收入 2,060万元；其他共同财政事权转移支付收入 1,609万元；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left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我县上解上级支出为3,930万元，是专项转移支付3,930万元。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eastAsiaTheme="minorEastAsia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A373E6"/>
    <w:rsid w:val="3A7F4922"/>
    <w:rsid w:val="74C2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2020-12-22T01:12:50Z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