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饶河县政府人民防空办公室2018年度部门决算</w:t>
      </w: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720" w:leftChars="0" w:right="0" w:rightChars="0" w:firstLine="1280" w:firstLineChars="4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一、部门职责</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720" w:leftChars="0" w:right="0" w:rightChars="0" w:firstLine="1280" w:firstLineChars="4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720" w:leftChars="0" w:right="0" w:rightChars="0" w:firstLine="1200" w:firstLineChars="4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lang w:val="en-US" w:eastAsia="zh-CN"/>
        </w:rPr>
        <w:t>部门决算编报范围及</w:t>
      </w:r>
      <w:r>
        <w:rPr>
          <w:rFonts w:hint="eastAsia" w:ascii="仿宋" w:hAnsi="仿宋" w:eastAsia="仿宋" w:cs="仿宋"/>
          <w:sz w:val="32"/>
          <w:szCs w:val="32"/>
          <w:highlight w:val="none"/>
        </w:rPr>
        <w:t>人员构成</w:t>
      </w:r>
    </w:p>
    <w:p>
      <w:pPr>
        <w:keepNext w:val="0"/>
        <w:keepLines w:val="0"/>
        <w:pageBreakBefore w:val="0"/>
        <w:widowControl/>
        <w:numPr>
          <w:numId w:val="0"/>
        </w:numPr>
        <w:kinsoku/>
        <w:wordWrap/>
        <w:overflowPunct/>
        <w:topLinePunct w:val="0"/>
        <w:autoSpaceDE/>
        <w:autoSpaceDN/>
        <w:bidi w:val="0"/>
        <w:adjustRightInd/>
        <w:snapToGrid/>
        <w:spacing w:line="560" w:lineRule="exact"/>
        <w:ind w:leftChars="40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sz w:val="32"/>
          <w:szCs w:val="32"/>
          <w:highlight w:val="none"/>
          <w:lang w:val="en-US" w:eastAsia="zh-CN"/>
        </w:rPr>
      </w:pPr>
      <w:r>
        <w:rPr>
          <w:rFonts w:hint="eastAsia" w:ascii="仿宋" w:hAnsi="仿宋" w:eastAsia="仿宋" w:cs="仿宋"/>
          <w:b/>
          <w:sz w:val="32"/>
          <w:szCs w:val="32"/>
          <w:highlight w:val="none"/>
        </w:rPr>
        <w:t>名词解释</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 w:hAnsi="仿宋" w:eastAsia="仿宋" w:cs="仿宋"/>
          <w:b/>
          <w:sz w:val="32"/>
          <w:szCs w:val="32"/>
          <w:highlight w:val="none"/>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 w:hAnsi="仿宋" w:eastAsia="仿宋" w:cs="仿宋"/>
          <w:b/>
          <w:sz w:val="32"/>
          <w:szCs w:val="32"/>
          <w:highlight w:val="none"/>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 w:hAnsi="仿宋" w:eastAsia="仿宋" w:cs="仿宋"/>
          <w:b/>
          <w:sz w:val="32"/>
          <w:szCs w:val="32"/>
          <w:highlight w:val="none"/>
        </w:rPr>
      </w:pP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收入支出决算总表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收入决算表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支出决算表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财政拨款收入支出决算总表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一般公共预算财政拨款支出决算表</w:t>
      </w:r>
      <w:r>
        <w:rPr>
          <w:rFonts w:hint="eastAsia" w:ascii="仿宋" w:hAnsi="仿宋" w:eastAsia="仿宋" w:cs="仿宋"/>
          <w:sz w:val="32"/>
          <w:szCs w:val="32"/>
          <w:highlight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keepNext w:val="0"/>
        <w:keepLines w:val="0"/>
        <w:pageBreakBefore w:val="0"/>
        <w:numPr>
          <w:ilvl w:val="0"/>
          <w:numId w:val="3"/>
        </w:numPr>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autoSpaceDE w:val="0"/>
        <w:autoSpaceDN w:val="0"/>
        <w:adjustRightInd w:val="0"/>
        <w:spacing w:line="540" w:lineRule="exac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（一）</w:t>
      </w:r>
      <w:r>
        <w:rPr>
          <w:rFonts w:hint="eastAsia" w:ascii="仿宋" w:hAnsi="仿宋" w:eastAsia="仿宋" w:cs="仿宋"/>
          <w:color w:val="000000"/>
          <w:kern w:val="0"/>
          <w:sz w:val="32"/>
          <w:szCs w:val="32"/>
        </w:rPr>
        <w:t>贯彻执行国家和省颁发的人民防空工作的法律、法规、方针、政策；宣传《中华人民共和国人民防空法》、《黑龙江省人民防空条例》，负责制定全县人防建设的有关规定，依法管理全县人防工作。</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xml:space="preserve">    （二）负责本县的人防组织指挥工作。</w:t>
      </w:r>
    </w:p>
    <w:p>
      <w:pPr>
        <w:autoSpaceDE w:val="0"/>
        <w:autoSpaceDN w:val="0"/>
        <w:adjustRightInd w:val="0"/>
        <w:spacing w:line="540" w:lineRule="exac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（三）</w:t>
      </w:r>
      <w:r>
        <w:rPr>
          <w:rFonts w:hint="eastAsia" w:ascii="仿宋" w:hAnsi="仿宋" w:eastAsia="仿宋" w:cs="仿宋"/>
          <w:color w:val="000000"/>
          <w:kern w:val="0"/>
          <w:sz w:val="32"/>
          <w:szCs w:val="32"/>
        </w:rPr>
        <w:t>负责本县的警报通信建设。</w:t>
      </w:r>
    </w:p>
    <w:p>
      <w:pPr>
        <w:autoSpaceDE w:val="0"/>
        <w:autoSpaceDN w:val="0"/>
        <w:adjustRightInd w:val="0"/>
        <w:spacing w:line="54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（四）</w:t>
      </w:r>
      <w:r>
        <w:rPr>
          <w:rFonts w:hint="eastAsia" w:ascii="仿宋" w:hAnsi="仿宋" w:eastAsia="仿宋" w:cs="仿宋"/>
          <w:color w:val="000000"/>
          <w:kern w:val="0"/>
          <w:sz w:val="32"/>
          <w:szCs w:val="32"/>
        </w:rPr>
        <w:t>负责本辖区人防工程建设、维护与管理。</w:t>
      </w:r>
    </w:p>
    <w:p>
      <w:pPr>
        <w:autoSpaceDE w:val="0"/>
        <w:autoSpaceDN w:val="0"/>
        <w:adjustRightInd w:val="0"/>
        <w:spacing w:line="540" w:lineRule="exac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（五）</w:t>
      </w:r>
      <w:r>
        <w:rPr>
          <w:rFonts w:hint="eastAsia" w:ascii="仿宋" w:hAnsi="仿宋" w:eastAsia="仿宋" w:cs="仿宋"/>
          <w:color w:val="000000"/>
          <w:kern w:val="0"/>
          <w:sz w:val="32"/>
          <w:szCs w:val="32"/>
        </w:rPr>
        <w:t>负责本级人防经费、物资管理和全县人防国有资产管理。</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xml:space="preserve">    （六）承担县政府赋予的防灾减灾任务，利用人防设备、设施开展平战结合，充分发挥其社会效益和经济效益，为城市建设和经济发展服务。</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xml:space="preserve">    （七）战时组织开展城市人民防空袭斗争。</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xml:space="preserve">    （八）承办县政府、县国防动员委员会和上级人民防空主管部门交办的其它事项。</w:t>
      </w:r>
    </w:p>
    <w:p>
      <w:pPr>
        <w:keepNext w:val="0"/>
        <w:keepLines w:val="0"/>
        <w:pageBreakBefore w:val="0"/>
        <w:numPr>
          <w:ilvl w:val="0"/>
          <w:numId w:val="3"/>
        </w:numPr>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autoSpaceDE w:val="0"/>
        <w:autoSpaceDN w:val="0"/>
        <w:adjustRightInd w:val="0"/>
        <w:spacing w:line="540" w:lineRule="exact"/>
        <w:ind w:firstLine="64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饶河县人防办内设3个股：指挥宣传股，警报通讯股，平战结合股。</w:t>
      </w:r>
    </w:p>
    <w:p>
      <w:pPr>
        <w:keepNext w:val="0"/>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keepNext w:val="0"/>
        <w:keepLines w:val="0"/>
        <w:pageBreakBefore w:val="0"/>
        <w:widowControl/>
        <w:kinsoku/>
        <w:wordWrap/>
        <w:overflowPunct/>
        <w:topLinePunct w:val="0"/>
        <w:autoSpaceDE/>
        <w:autoSpaceDN/>
        <w:bidi w:val="0"/>
        <w:adjustRightInd/>
        <w:snapToGrid/>
        <w:spacing w:line="560" w:lineRule="exact"/>
        <w:ind w:left="0" w:firstLine="628"/>
        <w:textAlignment w:val="auto"/>
        <w:rPr>
          <w:rFonts w:hint="eastAsia" w:ascii="仿宋" w:hAnsi="仿宋" w:eastAsia="仿宋" w:cs="仿宋"/>
          <w:color w:val="auto"/>
          <w:sz w:val="30"/>
          <w:szCs w:val="30"/>
          <w:highlight w:val="none"/>
        </w:rPr>
      </w:pPr>
      <w:r>
        <w:rPr>
          <w:rFonts w:hint="eastAsia" w:ascii="仿宋" w:hAnsi="仿宋" w:eastAsia="仿宋" w:cs="仿宋"/>
          <w:color w:val="000000"/>
          <w:kern w:val="0"/>
          <w:sz w:val="30"/>
          <w:szCs w:val="30"/>
          <w:highlight w:val="none"/>
          <w:lang w:bidi="ar"/>
        </w:rPr>
        <w:t>201</w:t>
      </w:r>
      <w:r>
        <w:rPr>
          <w:rFonts w:hint="eastAsia" w:ascii="仿宋" w:hAnsi="仿宋" w:eastAsia="仿宋" w:cs="仿宋"/>
          <w:color w:val="000000"/>
          <w:kern w:val="0"/>
          <w:sz w:val="30"/>
          <w:szCs w:val="30"/>
          <w:highlight w:val="none"/>
          <w:lang w:val="en-US" w:eastAsia="zh-CN" w:bidi="ar"/>
        </w:rPr>
        <w:t>8</w:t>
      </w:r>
      <w:r>
        <w:rPr>
          <w:rFonts w:hint="eastAsia" w:ascii="仿宋" w:hAnsi="仿宋" w:eastAsia="仿宋" w:cs="仿宋"/>
          <w:color w:val="000000"/>
          <w:kern w:val="0"/>
          <w:sz w:val="30"/>
          <w:szCs w:val="30"/>
          <w:highlight w:val="none"/>
          <w:lang w:bidi="ar"/>
        </w:rPr>
        <w:t>年</w:t>
      </w:r>
      <w:r>
        <w:rPr>
          <w:rFonts w:hint="eastAsia" w:ascii="仿宋" w:hAnsi="仿宋" w:eastAsia="仿宋" w:cs="仿宋"/>
          <w:color w:val="000000"/>
          <w:kern w:val="0"/>
          <w:sz w:val="30"/>
          <w:szCs w:val="30"/>
          <w:highlight w:val="none"/>
          <w:lang w:val="en-US" w:eastAsia="zh-CN" w:bidi="ar"/>
        </w:rPr>
        <w:t>度纳入本</w:t>
      </w:r>
      <w:r>
        <w:rPr>
          <w:rFonts w:hint="eastAsia" w:ascii="仿宋" w:hAnsi="仿宋" w:eastAsia="仿宋" w:cs="仿宋"/>
          <w:color w:val="000000"/>
          <w:kern w:val="0"/>
          <w:sz w:val="30"/>
          <w:szCs w:val="30"/>
          <w:highlight w:val="none"/>
          <w:lang w:bidi="ar"/>
        </w:rPr>
        <w:t>部门</w:t>
      </w:r>
      <w:r>
        <w:rPr>
          <w:rFonts w:hint="eastAsia" w:ascii="仿宋" w:hAnsi="仿宋" w:eastAsia="仿宋" w:cs="仿宋"/>
          <w:color w:val="000000"/>
          <w:kern w:val="0"/>
          <w:sz w:val="30"/>
          <w:szCs w:val="30"/>
          <w:highlight w:val="none"/>
          <w:lang w:val="en-US" w:eastAsia="zh-CN" w:bidi="ar"/>
        </w:rPr>
        <w:t>决算</w:t>
      </w:r>
      <w:r>
        <w:rPr>
          <w:rFonts w:hint="eastAsia" w:ascii="仿宋" w:hAnsi="仿宋" w:eastAsia="仿宋" w:cs="仿宋"/>
          <w:color w:val="000000"/>
          <w:kern w:val="0"/>
          <w:sz w:val="30"/>
          <w:szCs w:val="30"/>
          <w:highlight w:val="none"/>
          <w:lang w:bidi="ar"/>
        </w:rPr>
        <w:t>的编制范围</w:t>
      </w:r>
      <w:r>
        <w:rPr>
          <w:rFonts w:hint="eastAsia" w:ascii="仿宋" w:hAnsi="仿宋" w:eastAsia="仿宋" w:cs="仿宋"/>
          <w:color w:val="000000"/>
          <w:kern w:val="0"/>
          <w:sz w:val="30"/>
          <w:szCs w:val="30"/>
          <w:highlight w:val="none"/>
          <w:lang w:val="en-US" w:eastAsia="zh-CN" w:bidi="ar"/>
        </w:rPr>
        <w:t>的单位有1个，</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2人</w:t>
      </w:r>
      <w:r>
        <w:rPr>
          <w:rFonts w:hint="eastAsia" w:ascii="仿宋" w:hAnsi="仿宋" w:eastAsia="仿宋" w:cs="仿宋"/>
          <w:color w:val="auto"/>
          <w:sz w:val="30"/>
          <w:szCs w:val="30"/>
          <w:highlight w:val="none"/>
        </w:rPr>
        <w:t>。</w:t>
      </w:r>
    </w:p>
    <w:p>
      <w:pPr>
        <w:keepNext w:val="0"/>
        <w:keepLines w:val="0"/>
        <w:pageBreakBefore w:val="0"/>
        <w:kinsoku/>
        <w:wordWrap/>
        <w:overflowPunct/>
        <w:topLinePunct w:val="0"/>
        <w:autoSpaceDE/>
        <w:autoSpaceDN/>
        <w:bidi w:val="0"/>
        <w:adjustRightInd/>
        <w:snapToGrid/>
        <w:spacing w:line="560" w:lineRule="exact"/>
        <w:ind w:left="0"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8</w:t>
      </w:r>
      <w:r>
        <w:rPr>
          <w:rFonts w:hint="eastAsia" w:ascii="仿宋" w:hAnsi="仿宋" w:eastAsia="仿宋" w:cs="仿宋"/>
          <w:b/>
          <w:bCs/>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560" w:lineRule="exact"/>
        <w:ind w:left="0"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kern w:val="0"/>
          <w:sz w:val="30"/>
          <w:szCs w:val="30"/>
          <w:highlight w:val="none"/>
          <w:u w:val="none"/>
          <w:lang w:eastAsia="zh-CN"/>
        </w:rPr>
        <w:t>2018年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44.6万元，其中：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22.3</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用事业基金弥补收支差额</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万元；结余分配</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均增加</w:t>
      </w:r>
      <w:r>
        <w:rPr>
          <w:rFonts w:hint="eastAsia" w:ascii="仿宋" w:hAnsi="仿宋" w:eastAsia="仿宋" w:cs="仿宋"/>
          <w:sz w:val="30"/>
          <w:szCs w:val="30"/>
          <w:highlight w:val="none"/>
          <w:lang w:val="en-US" w:eastAsia="zh-CN"/>
        </w:rPr>
        <w:t>5.3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同比增加</w:t>
      </w:r>
      <w:r>
        <w:rPr>
          <w:rFonts w:hint="eastAsia" w:ascii="仿宋" w:hAnsi="仿宋" w:eastAsia="仿宋" w:cs="仿宋"/>
          <w:sz w:val="30"/>
          <w:szCs w:val="30"/>
          <w:highlight w:val="none"/>
          <w:lang w:val="en-US" w:eastAsia="zh-CN"/>
        </w:rPr>
        <w:t>23.8%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22.3</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7</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5.3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同比增加</w:t>
      </w:r>
      <w:r>
        <w:rPr>
          <w:rFonts w:hint="eastAsia" w:ascii="仿宋" w:hAnsi="仿宋" w:eastAsia="仿宋" w:cs="仿宋"/>
          <w:sz w:val="30"/>
          <w:szCs w:val="30"/>
          <w:highlight w:val="none"/>
          <w:lang w:val="en-US" w:eastAsia="zh-CN"/>
        </w:rPr>
        <w:t>23.8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22.3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；事业</w:t>
      </w:r>
      <w:r>
        <w:rPr>
          <w:rFonts w:hint="eastAsia" w:ascii="仿宋" w:hAnsi="仿宋" w:eastAsia="仿宋" w:cs="仿宋"/>
          <w:sz w:val="30"/>
          <w:szCs w:val="30"/>
          <w:highlight w:val="none"/>
        </w:rPr>
        <w:t>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；其他</w:t>
      </w:r>
      <w:r>
        <w:rPr>
          <w:rFonts w:hint="eastAsia" w:ascii="仿宋" w:hAnsi="仿宋" w:eastAsia="仿宋" w:cs="仿宋"/>
          <w:sz w:val="30"/>
          <w:szCs w:val="30"/>
          <w:highlight w:val="none"/>
        </w:rPr>
        <w:t>收入</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0</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本年支出合计</w:t>
      </w:r>
      <w:r>
        <w:rPr>
          <w:rFonts w:hint="eastAsia" w:ascii="仿宋" w:hAnsi="仿宋" w:eastAsia="仿宋" w:cs="仿宋"/>
          <w:sz w:val="30"/>
          <w:szCs w:val="30"/>
          <w:highlight w:val="none"/>
          <w:lang w:val="en-US" w:eastAsia="zh-CN"/>
        </w:rPr>
        <w:t>22.3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与2017年度相比，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5.3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同比增加</w:t>
      </w:r>
      <w:r>
        <w:rPr>
          <w:rFonts w:hint="eastAsia" w:ascii="仿宋" w:hAnsi="仿宋" w:eastAsia="仿宋" w:cs="仿宋"/>
          <w:sz w:val="30"/>
          <w:szCs w:val="30"/>
          <w:highlight w:val="none"/>
          <w:lang w:val="en-US" w:eastAsia="zh-CN"/>
        </w:rPr>
        <w:t>23.8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w:t>
      </w:r>
      <w:r>
        <w:rPr>
          <w:rFonts w:hint="eastAsia" w:ascii="仿宋" w:hAnsi="仿宋" w:eastAsia="仿宋" w:cs="仿宋"/>
          <w:color w:val="auto"/>
          <w:sz w:val="30"/>
          <w:szCs w:val="30"/>
          <w:highlight w:val="none"/>
          <w:lang w:eastAsia="zh-CN"/>
        </w:rPr>
        <w:t>计</w:t>
      </w:r>
      <w:r>
        <w:rPr>
          <w:rFonts w:hint="eastAsia" w:ascii="仿宋" w:hAnsi="仿宋" w:eastAsia="仿宋" w:cs="仿宋"/>
          <w:sz w:val="30"/>
          <w:szCs w:val="30"/>
          <w:highlight w:val="none"/>
          <w:lang w:val="en-US" w:eastAsia="zh-CN"/>
        </w:rPr>
        <w:t>的86.5%；项目支出3万元，占支出合计的13.5%。</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color w:val="FF0000"/>
          <w:sz w:val="30"/>
          <w:szCs w:val="30"/>
          <w:highlight w:val="none"/>
          <w:lang w:eastAsia="zh-CN"/>
        </w:rPr>
      </w:pPr>
      <w:r>
        <w:rPr>
          <w:rFonts w:hint="eastAsia" w:ascii="仿宋" w:hAnsi="仿宋" w:eastAsia="仿宋" w:cs="仿宋"/>
          <w:color w:val="auto"/>
          <w:sz w:val="30"/>
          <w:szCs w:val="30"/>
          <w:highlight w:val="none"/>
          <w:lang w:eastAsia="zh-CN"/>
        </w:rPr>
        <w:t>2018年</w:t>
      </w:r>
      <w:r>
        <w:rPr>
          <w:rFonts w:hint="eastAsia" w:ascii="仿宋" w:hAnsi="仿宋" w:eastAsia="仿宋" w:cs="仿宋"/>
          <w:color w:val="auto"/>
          <w:sz w:val="30"/>
          <w:szCs w:val="30"/>
          <w:highlight w:val="none"/>
        </w:rPr>
        <w:t>度财政拨款收、支总计</w:t>
      </w:r>
      <w:r>
        <w:rPr>
          <w:rFonts w:hint="eastAsia" w:ascii="仿宋" w:hAnsi="仿宋" w:eastAsia="仿宋" w:cs="仿宋"/>
          <w:color w:val="auto"/>
          <w:sz w:val="30"/>
          <w:szCs w:val="30"/>
          <w:highlight w:val="none"/>
          <w:lang w:val="en-US" w:eastAsia="zh-CN"/>
        </w:rPr>
        <w:t>44.6</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7年度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color w:val="auto"/>
          <w:sz w:val="30"/>
          <w:szCs w:val="30"/>
          <w:highlight w:val="none"/>
          <w:lang w:eastAsia="zh-CN"/>
        </w:rPr>
        <w:t>增加</w:t>
      </w:r>
      <w:r>
        <w:rPr>
          <w:rFonts w:hint="eastAsia" w:ascii="仿宋" w:hAnsi="仿宋" w:eastAsia="仿宋" w:cs="仿宋"/>
          <w:color w:val="auto"/>
          <w:sz w:val="30"/>
          <w:szCs w:val="30"/>
          <w:highlight w:val="none"/>
          <w:lang w:val="en-US" w:eastAsia="zh-CN"/>
        </w:rPr>
        <w:t>5.3</w:t>
      </w:r>
      <w:r>
        <w:rPr>
          <w:rFonts w:hint="eastAsia" w:ascii="仿宋" w:hAnsi="仿宋" w:eastAsia="仿宋" w:cs="仿宋"/>
          <w:color w:val="auto"/>
          <w:sz w:val="30"/>
          <w:szCs w:val="30"/>
          <w:highlight w:val="none"/>
        </w:rPr>
        <w:t>万元，</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23.8</w:t>
      </w:r>
      <w:r>
        <w:rPr>
          <w:rFonts w:hint="eastAsia" w:ascii="仿宋" w:hAnsi="仿宋" w:eastAsia="仿宋" w:cs="仿宋"/>
          <w:color w:val="auto"/>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22.3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5.3万元，</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23.8</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22.3</w:t>
      </w:r>
      <w:r>
        <w:rPr>
          <w:rFonts w:hint="eastAsia" w:ascii="仿宋" w:hAnsi="仿宋" w:eastAsia="仿宋" w:cs="仿宋"/>
          <w:sz w:val="30"/>
          <w:szCs w:val="30"/>
          <w:highlight w:val="none"/>
        </w:rPr>
        <w:t>万元，主要用于以下方面：一般公共服务支出（类）</w:t>
      </w:r>
      <w:r>
        <w:rPr>
          <w:rFonts w:hint="eastAsia" w:ascii="仿宋" w:hAnsi="仿宋" w:eastAsia="仿宋" w:cs="仿宋"/>
          <w:sz w:val="30"/>
          <w:szCs w:val="30"/>
          <w:highlight w:val="none"/>
          <w:lang w:val="en-US" w:eastAsia="zh-CN"/>
        </w:rPr>
        <w:t>16.3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73</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9%；医疗卫生与计划生育支出1万元，</w:t>
      </w:r>
      <w:r>
        <w:rPr>
          <w:rFonts w:hint="eastAsia" w:ascii="仿宋" w:hAnsi="仿宋" w:eastAsia="仿宋" w:cs="仿宋"/>
          <w:sz w:val="30"/>
          <w:szCs w:val="30"/>
          <w:highlight w:val="none"/>
          <w:lang w:eastAsia="zh-CN"/>
        </w:rPr>
        <w:t>占</w:t>
      </w:r>
      <w:r>
        <w:rPr>
          <w:rFonts w:hint="eastAsia" w:ascii="仿宋" w:hAnsi="仿宋" w:eastAsia="仿宋" w:cs="仿宋"/>
          <w:sz w:val="30"/>
          <w:szCs w:val="30"/>
          <w:highlight w:val="none"/>
          <w:lang w:val="en-US" w:eastAsia="zh-CN"/>
        </w:rPr>
        <w:t>4.5%；；</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13.5</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54</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22.3</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41.3%</w:t>
      </w:r>
      <w:r>
        <w:rPr>
          <w:rFonts w:hint="eastAsia" w:ascii="仿宋" w:hAnsi="仿宋" w:eastAsia="仿宋" w:cs="仿宋"/>
          <w:sz w:val="30"/>
          <w:szCs w:val="30"/>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13.3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13.3万元，完成年初预算的100%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大于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val="en-US" w:eastAsia="zh-CN"/>
        </w:rPr>
        <w:t>国资办合并账户到财政局人员工资增长支出加大</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一般行政管理事务</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3万元，完成年初预算的100%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w:t>
      </w:r>
      <w:r>
        <w:rPr>
          <w:rFonts w:hint="eastAsia" w:ascii="仿宋" w:hAnsi="仿宋" w:eastAsia="仿宋" w:cs="仿宋"/>
          <w:sz w:val="30"/>
          <w:szCs w:val="30"/>
          <w:highlight w:val="none"/>
          <w:lang w:eastAsia="zh-CN"/>
        </w:rPr>
        <w:t>是预算执行调整预算。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其他社会保障和就业支出</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2万元，完成年初预算的100%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right="0" w:rightChars="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4、医疗卫生与计划生育支出（类）行政事业单位医疗（款）</w:t>
      </w:r>
      <w:r>
        <w:rPr>
          <w:rFonts w:hint="eastAsia" w:ascii="仿宋" w:hAnsi="仿宋" w:eastAsia="仿宋" w:cs="仿宋"/>
          <w:sz w:val="30"/>
          <w:szCs w:val="30"/>
          <w:highlight w:val="none"/>
          <w:lang w:eastAsia="zh-CN"/>
        </w:rPr>
        <w:t>行政单位医疗（项）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1万元，完成年初预算的100%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预算执行调整预算。</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5、住房保障支出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2018</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3</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3万元，完成年初预算的100%</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19.3</w:t>
      </w:r>
      <w:r>
        <w:rPr>
          <w:rFonts w:hint="eastAsia" w:ascii="仿宋" w:hAnsi="仿宋" w:eastAsia="仿宋" w:cs="仿宋"/>
          <w:sz w:val="30"/>
          <w:szCs w:val="30"/>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18.3</w:t>
      </w:r>
      <w:r>
        <w:rPr>
          <w:rFonts w:hint="eastAsia" w:ascii="仿宋" w:hAnsi="仿宋" w:eastAsia="仿宋" w:cs="仿宋"/>
          <w:sz w:val="30"/>
          <w:szCs w:val="30"/>
          <w:highlight w:val="none"/>
        </w:rPr>
        <w:t>万元，主要包括：基本工资、津贴补贴、</w:t>
      </w:r>
      <w:r>
        <w:rPr>
          <w:rFonts w:hint="eastAsia" w:ascii="仿宋" w:hAnsi="仿宋" w:eastAsia="仿宋" w:cs="仿宋"/>
          <w:sz w:val="30"/>
          <w:szCs w:val="30"/>
          <w:highlight w:val="none"/>
          <w:lang w:eastAsia="zh-CN"/>
        </w:rPr>
        <w:t>奖金、住房公积金</w:t>
      </w:r>
      <w:r>
        <w:rPr>
          <w:rFonts w:hint="eastAsia" w:ascii="仿宋" w:hAnsi="仿宋" w:eastAsia="仿宋" w:cs="仿宋"/>
          <w:sz w:val="30"/>
          <w:szCs w:val="30"/>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万元，主要包括：办公费</w:t>
      </w:r>
      <w:r>
        <w:rPr>
          <w:rFonts w:hint="eastAsia" w:ascii="仿宋" w:hAnsi="仿宋" w:eastAsia="仿宋" w:cs="仿宋"/>
          <w:sz w:val="30"/>
          <w:szCs w:val="30"/>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900" w:firstLineChars="3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无三公经费</w:t>
      </w:r>
      <w:r>
        <w:rPr>
          <w:rFonts w:hint="eastAsia" w:ascii="仿宋" w:hAnsi="仿宋" w:eastAsia="仿宋" w:cs="仿宋"/>
          <w:b w:val="0"/>
          <w:bCs w:val="0"/>
          <w:sz w:val="32"/>
          <w:szCs w:val="32"/>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200" w:right="0" w:rightChars="0" w:firstLine="600" w:firstLineChars="200"/>
        <w:jc w:val="left"/>
        <w:textAlignment w:val="auto"/>
        <w:outlineLvl w:val="9"/>
        <w:rPr>
          <w:rFonts w:hint="eastAsia" w:ascii="仿宋" w:hAnsi="仿宋" w:eastAsia="仿宋" w:cs="仿宋"/>
          <w:b/>
          <w:bCs/>
          <w:sz w:val="32"/>
          <w:szCs w:val="32"/>
          <w:highlight w:val="none"/>
          <w:lang w:val="en-US"/>
        </w:rPr>
      </w:pPr>
      <w:r>
        <w:rPr>
          <w:rFonts w:hint="eastAsia" w:ascii="仿宋" w:hAnsi="仿宋" w:eastAsia="仿宋" w:cs="仿宋"/>
          <w:sz w:val="30"/>
          <w:szCs w:val="30"/>
          <w:highlight w:val="none"/>
          <w:lang w:eastAsia="zh-CN"/>
        </w:rPr>
        <w:t>无此类情况</w:t>
      </w:r>
      <w:r>
        <w:rPr>
          <w:rFonts w:hint="eastAsia" w:ascii="仿宋" w:hAnsi="仿宋" w:eastAsia="仿宋" w:cs="仿宋"/>
          <w:b w:val="0"/>
          <w:bCs w:val="0"/>
          <w:sz w:val="32"/>
          <w:szCs w:val="32"/>
          <w:highlight w:val="none"/>
          <w:lang w:val="en-US"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right="0" w:rightChars="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2018年度没有</w:t>
      </w:r>
      <w:r>
        <w:rPr>
          <w:rFonts w:hint="eastAsia" w:ascii="仿宋" w:hAnsi="仿宋" w:eastAsia="仿宋" w:cs="仿宋"/>
          <w:sz w:val="30"/>
          <w:szCs w:val="30"/>
          <w:highlight w:val="none"/>
          <w:lang w:val="en-US" w:eastAsia="zh-CN"/>
        </w:rPr>
        <w:t>1</w:t>
      </w:r>
      <w:r>
        <w:rPr>
          <w:rFonts w:hint="eastAsia" w:ascii="仿宋" w:hAnsi="仿宋" w:eastAsia="仿宋" w:cs="仿宋"/>
          <w:b w:val="0"/>
          <w:bCs w:val="0"/>
          <w:sz w:val="32"/>
          <w:szCs w:val="32"/>
          <w:highlight w:val="none"/>
          <w:lang w:val="en-US" w:eastAsia="zh-CN"/>
        </w:rPr>
        <w:t>万元以上项目、政府购买公共服务项目和市级以上专项，故没有开展绩效评价工作。</w:t>
      </w:r>
    </w:p>
    <w:p>
      <w:pPr>
        <w:keepNext w:val="0"/>
        <w:keepLines w:val="0"/>
        <w:pageBreakBefore w:val="0"/>
        <w:widowControl/>
        <w:numPr>
          <w:ilvl w:val="0"/>
          <w:numId w:val="4"/>
        </w:numPr>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国有资产占用情况</w:t>
      </w:r>
    </w:p>
    <w:p>
      <w:pPr>
        <w:keepNext w:val="0"/>
        <w:keepLines w:val="0"/>
        <w:pageBreakBefore w:val="0"/>
        <w:kinsoku/>
        <w:wordWrap/>
        <w:overflowPunct/>
        <w:topLinePunct w:val="0"/>
        <w:autoSpaceDE/>
        <w:autoSpaceDN/>
        <w:bidi w:val="0"/>
        <w:adjustRightInd/>
        <w:snapToGrid/>
        <w:spacing w:line="560" w:lineRule="exact"/>
        <w:ind w:left="0" w:right="0" w:rightChars="0" w:firstLine="6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单价50万元以上通用设备（台，套）</w:t>
      </w:r>
      <w:r>
        <w:rPr>
          <w:rFonts w:hint="eastAsia" w:ascii="仿宋" w:hAnsi="仿宋" w:eastAsia="仿宋" w:cs="仿宋"/>
          <w:sz w:val="30"/>
          <w:szCs w:val="30"/>
          <w:highlight w:val="none"/>
          <w:lang w:val="en-US" w:eastAsia="zh-CN"/>
        </w:rPr>
        <w:t>0辆</w:t>
      </w:r>
      <w:r>
        <w:rPr>
          <w:rFonts w:hint="eastAsia" w:ascii="仿宋" w:hAnsi="仿宋" w:eastAsia="仿宋" w:cs="仿宋"/>
          <w:sz w:val="30"/>
          <w:szCs w:val="30"/>
          <w:highlight w:val="none"/>
        </w:rPr>
        <w:t>。</w:t>
      </w:r>
    </w:p>
    <w:p>
      <w:pPr>
        <w:keepNext w:val="0"/>
        <w:keepLines w:val="0"/>
        <w:pageBreakBefore w:val="0"/>
        <w:kinsoku/>
        <w:wordWrap/>
        <w:overflowPunct/>
        <w:topLinePunct w:val="0"/>
        <w:autoSpaceDE/>
        <w:autoSpaceDN/>
        <w:bidi w:val="0"/>
        <w:adjustRightInd/>
        <w:snapToGrid/>
        <w:spacing w:line="560" w:lineRule="exact"/>
        <w:ind w:left="0" w:right="0" w:rightChars="0" w:firstLine="600"/>
        <w:jc w:val="center"/>
        <w:textAlignment w:val="auto"/>
        <w:outlineLvl w:val="9"/>
        <w:rPr>
          <w:rFonts w:hint="eastAsia" w:ascii="仿宋" w:hAnsi="仿宋" w:eastAsia="仿宋" w:cs="仿宋"/>
          <w:sz w:val="30"/>
          <w:szCs w:val="30"/>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560" w:lineRule="exact"/>
        <w:ind w:left="0"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2018年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2018年度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keepNext w:val="0"/>
        <w:keepLines w:val="0"/>
        <w:pageBreakBefore w:val="0"/>
        <w:kinsoku/>
        <w:wordWrap/>
        <w:overflowPunct/>
        <w:topLinePunct w:val="0"/>
        <w:autoSpaceDE/>
        <w:autoSpaceDN/>
        <w:bidi w:val="0"/>
        <w:adjustRightInd/>
        <w:snapToGrid/>
        <w:spacing w:line="560" w:lineRule="exact"/>
        <w:ind w:left="0" w:right="0" w:rightChars="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560" w:lineRule="exact"/>
        <w:ind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outlineLvl w:val="9"/>
        <w:rPr>
          <w:rFonts w:hint="eastAsia" w:ascii="仿宋" w:hAnsi="仿宋" w:eastAsia="仿宋" w:cs="仿宋"/>
          <w:bCs/>
          <w:color w:val="111111"/>
          <w:kern w:val="0"/>
          <w:sz w:val="30"/>
          <w:szCs w:val="30"/>
          <w:highlight w:val="none"/>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00" w:firstLineChars="200"/>
        <w:jc w:val="left"/>
        <w:textAlignment w:val="auto"/>
        <w:outlineLvl w:val="9"/>
        <w:rPr>
          <w:rFonts w:hint="eastAsia" w:ascii="仿宋" w:hAnsi="仿宋" w:eastAsia="仿宋" w:cs="仿宋"/>
          <w:bCs/>
          <w:color w:val="111111"/>
          <w:kern w:val="0"/>
          <w:sz w:val="30"/>
          <w:szCs w:val="30"/>
          <w:highlight w:val="none"/>
          <w:lang w:eastAsia="zh-CN"/>
        </w:rPr>
      </w:pPr>
    </w:p>
    <w:p>
      <w:pPr>
        <w:keepNext w:val="0"/>
        <w:keepLines w:val="0"/>
        <w:pageBreakBefore w:val="0"/>
        <w:kinsoku/>
        <w:wordWrap/>
        <w:overflowPunct/>
        <w:topLinePunct w:val="0"/>
        <w:autoSpaceDE/>
        <w:autoSpaceDN/>
        <w:bidi w:val="0"/>
        <w:adjustRightInd/>
        <w:snapToGrid/>
        <w:spacing w:line="560" w:lineRule="exact"/>
        <w:ind w:left="0"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22CE2"/>
    <w:multiLevelType w:val="singleLevel"/>
    <w:tmpl w:val="4D022CE2"/>
    <w:lvl w:ilvl="0" w:tentative="0">
      <w:start w:val="2"/>
      <w:numFmt w:val="chineseCounting"/>
      <w:suff w:val="nothing"/>
      <w:lvlText w:val="%1、"/>
      <w:lvlJc w:val="left"/>
      <w:rPr>
        <w:rFonts w:hint="eastAsia"/>
      </w:rPr>
    </w:lvl>
  </w:abstractNum>
  <w:abstractNum w:abstractNumId="1">
    <w:nsid w:val="53AA4C5C"/>
    <w:multiLevelType w:val="singleLevel"/>
    <w:tmpl w:val="53AA4C5C"/>
    <w:lvl w:ilvl="0" w:tentative="0">
      <w:start w:val="3"/>
      <w:numFmt w:val="chineseCounting"/>
      <w:suff w:val="space"/>
      <w:lvlText w:val="第%1部分"/>
      <w:lvlJc w:val="left"/>
      <w:rPr>
        <w:rFonts w:hint="eastAsia"/>
      </w:rPr>
    </w:lvl>
  </w:abstractNum>
  <w:abstractNum w:abstractNumId="2">
    <w:nsid w:val="5D75BB9F"/>
    <w:multiLevelType w:val="singleLevel"/>
    <w:tmpl w:val="5D75BB9F"/>
    <w:lvl w:ilvl="0" w:tentative="0">
      <w:start w:val="1"/>
      <w:numFmt w:val="chineseCounting"/>
      <w:suff w:val="nothing"/>
      <w:lvlText w:val="%1、"/>
      <w:lvlJc w:val="left"/>
    </w:lvl>
  </w:abstractNum>
  <w:abstractNum w:abstractNumId="3">
    <w:nsid w:val="5D7EDA3B"/>
    <w:multiLevelType w:val="singleLevel"/>
    <w:tmpl w:val="5D7EDA3B"/>
    <w:lvl w:ilvl="0" w:tentative="0">
      <w:start w:val="9"/>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522A4"/>
    <w:rsid w:val="004D28BB"/>
    <w:rsid w:val="008557E7"/>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33BA5"/>
    <w:rsid w:val="293B5244"/>
    <w:rsid w:val="296524ED"/>
    <w:rsid w:val="2A675CA6"/>
    <w:rsid w:val="2B2D1149"/>
    <w:rsid w:val="2BD33C97"/>
    <w:rsid w:val="2BD857B2"/>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0E05F06"/>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C113BE"/>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8C82736"/>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1E23D77"/>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张磊</cp:lastModifiedBy>
  <cp:lastPrinted>2018-10-11T04:40:00Z</cp:lastPrinted>
  <dcterms:modified xsi:type="dcterms:W3CDTF">2019-10-22T07:01:32Z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