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饶河县司法局2018年度部门决算</w:t>
      </w: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信息及有关情况说明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三、部门决算编报范围及</w:t>
      </w:r>
      <w:r>
        <w:rPr>
          <w:rFonts w:hint="eastAsia" w:ascii="仿宋" w:hAnsi="仿宋" w:eastAsia="仿宋" w:cs="仿宋"/>
          <w:sz w:val="32"/>
          <w:szCs w:val="32"/>
        </w:rPr>
        <w:t>人员构成</w:t>
      </w:r>
    </w:p>
    <w:p>
      <w:pPr>
        <w:widowControl/>
        <w:spacing w:line="360" w:lineRule="auto"/>
        <w:jc w:val="left"/>
        <w:rPr>
          <w:rFonts w:ascii="仿宋" w:hAnsi="仿宋" w:eastAsia="仿宋" w:cs="仿宋"/>
          <w:sz w:val="32"/>
          <w:szCs w:val="32"/>
        </w:rPr>
      </w:pPr>
    </w:p>
    <w:p>
      <w:pPr>
        <w:spacing w:line="360" w:lineRule="auto"/>
        <w:ind w:firstLine="964" w:firstLineChars="300"/>
        <w:jc w:val="center"/>
        <w:rPr>
          <w:rFonts w:ascii="仿宋" w:hAnsi="仿宋" w:eastAsia="仿宋" w:cs="仿宋"/>
          <w:b/>
          <w:sz w:val="32"/>
          <w:szCs w:val="32"/>
        </w:rPr>
      </w:pPr>
      <w:r>
        <w:rPr>
          <w:rFonts w:hint="eastAsia" w:ascii="仿宋" w:hAnsi="仿宋" w:eastAsia="仿宋" w:cs="仿宋"/>
          <w:b/>
          <w:sz w:val="32"/>
          <w:szCs w:val="32"/>
        </w:rPr>
        <w:t>第二部分2018年部门预算执行总体情况说明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 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（一）机关运行经费支出情况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（二）政府采购支出情况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（三）国有资产占用情况</w:t>
      </w:r>
    </w:p>
    <w:p>
      <w:pPr>
        <w:widowControl/>
        <w:spacing w:line="360" w:lineRule="auto"/>
        <w:jc w:val="left"/>
        <w:rPr>
          <w:rFonts w:ascii="仿宋" w:hAnsi="仿宋" w:eastAsia="仿宋" w:cs="仿宋"/>
          <w:sz w:val="30"/>
          <w:szCs w:val="30"/>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第四部分2018年度部门决算公开表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ascii="仿宋" w:hAnsi="仿宋" w:eastAsia="仿宋" w:cs="仿宋"/>
          <w:b/>
          <w:bCs/>
          <w:sz w:val="32"/>
          <w:szCs w:val="32"/>
        </w:rPr>
      </w:pP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部门职责</w:t>
      </w:r>
    </w:p>
    <w:p>
      <w:pPr>
        <w:spacing w:line="540" w:lineRule="exact"/>
        <w:ind w:firstLine="640" w:firstLineChars="200"/>
        <w:rPr>
          <w:rFonts w:ascii="仿宋" w:hAnsi="仿宋" w:eastAsia="仿宋"/>
          <w:sz w:val="32"/>
          <w:szCs w:val="32"/>
        </w:rPr>
      </w:pPr>
      <w:r>
        <w:rPr>
          <w:rFonts w:hint="eastAsia" w:ascii="仿宋" w:hAnsi="仿宋" w:eastAsia="仿宋" w:cs="黑体"/>
          <w:sz w:val="32"/>
          <w:szCs w:val="32"/>
        </w:rPr>
        <w:t>（一）贯彻落实国家司法行政工作方针政策，编制全县司法行政工作的中长期工作和年度重点工作，并监督实施。</w:t>
      </w:r>
    </w:p>
    <w:p>
      <w:pPr>
        <w:tabs>
          <w:tab w:val="left" w:pos="1620"/>
        </w:tabs>
        <w:spacing w:line="540" w:lineRule="exact"/>
        <w:ind w:firstLine="640" w:firstLineChars="200"/>
        <w:rPr>
          <w:rFonts w:ascii="仿宋" w:hAnsi="仿宋" w:eastAsia="仿宋" w:cs="黑体"/>
          <w:sz w:val="32"/>
          <w:szCs w:val="32"/>
        </w:rPr>
      </w:pPr>
      <w:r>
        <w:rPr>
          <w:rFonts w:hint="eastAsia" w:ascii="仿宋" w:hAnsi="仿宋" w:eastAsia="仿宋" w:cs="黑体"/>
          <w:sz w:val="32"/>
          <w:szCs w:val="32"/>
        </w:rPr>
        <w:t>（二）推动人民参与和促进法治建设。指导调解工作和人民陪审员、人民监督员选任管理工作，推进司法所建设。</w:t>
      </w:r>
    </w:p>
    <w:p>
      <w:pPr>
        <w:tabs>
          <w:tab w:val="left" w:pos="1620"/>
        </w:tabs>
        <w:spacing w:line="540" w:lineRule="exact"/>
        <w:ind w:firstLine="640" w:firstLineChars="200"/>
        <w:rPr>
          <w:rFonts w:ascii="仿宋" w:hAnsi="仿宋" w:eastAsia="仿宋"/>
          <w:sz w:val="32"/>
          <w:szCs w:val="32"/>
        </w:rPr>
      </w:pPr>
      <w:r>
        <w:rPr>
          <w:rFonts w:hint="eastAsia" w:ascii="仿宋" w:hAnsi="仿宋" w:eastAsia="仿宋" w:cs="黑体"/>
          <w:sz w:val="32"/>
          <w:szCs w:val="32"/>
        </w:rPr>
        <w:t>（三）承担全面依法治县重大问题的政策研究，协调有关方面制定全县法治宣传教育和普及法律知识规划，并组织实施；指导全县各乡（镇）、各部门、各企事业单位和各行各业的依法治理工作。</w:t>
      </w:r>
    </w:p>
    <w:p>
      <w:pPr>
        <w:spacing w:line="540" w:lineRule="exact"/>
        <w:ind w:firstLine="640" w:firstLineChars="200"/>
        <w:rPr>
          <w:rFonts w:ascii="仿宋" w:hAnsi="仿宋" w:eastAsia="仿宋"/>
          <w:sz w:val="32"/>
          <w:szCs w:val="32"/>
        </w:rPr>
      </w:pPr>
      <w:r>
        <w:rPr>
          <w:rFonts w:hint="eastAsia" w:ascii="仿宋" w:hAnsi="仿宋" w:eastAsia="仿宋" w:cs="黑体"/>
          <w:sz w:val="32"/>
          <w:szCs w:val="32"/>
        </w:rPr>
        <w:t>（四）承担统筹推进法治政府建设责任。指导、监督县政府各部门、各乡（镇）政府依法行政工作。负责综合协调行政执法，承担推进行政执法体制改革有关工作，推进严格规范公正文明执法。承办向县政府申请的行政复议案件工作。指导、监督全县行政复议和行政应诉工作，负责有关行政复议和行政应诉案件办理工作。负责县政府规范性文件的合法性审查工作；承办下级政府和政府各部门规范性文件备案审查工作。组织、指导行政执法人员进行依法行政相关法律法规和知识培训工作。</w:t>
      </w:r>
    </w:p>
    <w:p>
      <w:pPr>
        <w:spacing w:line="540" w:lineRule="exact"/>
        <w:ind w:firstLine="640" w:firstLineChars="200"/>
        <w:rPr>
          <w:rFonts w:ascii="仿宋" w:hAnsi="仿宋" w:eastAsia="仿宋"/>
          <w:sz w:val="32"/>
          <w:szCs w:val="32"/>
        </w:rPr>
      </w:pPr>
      <w:r>
        <w:rPr>
          <w:rFonts w:hint="eastAsia" w:ascii="仿宋" w:hAnsi="仿宋" w:eastAsia="仿宋" w:cs="黑体"/>
          <w:sz w:val="32"/>
          <w:szCs w:val="32"/>
        </w:rPr>
        <w:t>（五）负责拟定公共法律服务体系建设具体规划并组织实施，统筹布局城乡、区域法律服务资源。指导监督律师、法律援助、公证和基层法律服务管理工作。</w:t>
      </w:r>
    </w:p>
    <w:p>
      <w:pPr>
        <w:spacing w:line="540" w:lineRule="exact"/>
        <w:ind w:firstLine="640" w:firstLineChars="200"/>
        <w:rPr>
          <w:rFonts w:ascii="仿宋" w:hAnsi="仿宋" w:eastAsia="仿宋"/>
          <w:sz w:val="32"/>
          <w:szCs w:val="32"/>
        </w:rPr>
      </w:pPr>
      <w:r>
        <w:rPr>
          <w:rFonts w:hint="eastAsia" w:ascii="仿宋" w:hAnsi="仿宋" w:eastAsia="仿宋" w:cs="黑体"/>
          <w:sz w:val="32"/>
          <w:szCs w:val="32"/>
        </w:rPr>
        <w:t>（六）指导、管理社区矫正工作。指导管理刑满释放人员的安置帮教工作。</w:t>
      </w:r>
    </w:p>
    <w:p>
      <w:pPr>
        <w:spacing w:line="540" w:lineRule="exact"/>
        <w:ind w:firstLine="640" w:firstLineChars="200"/>
        <w:rPr>
          <w:rFonts w:ascii="仿宋" w:hAnsi="仿宋" w:eastAsia="仿宋"/>
          <w:sz w:val="32"/>
          <w:szCs w:val="32"/>
        </w:rPr>
      </w:pPr>
      <w:r>
        <w:rPr>
          <w:rFonts w:hint="eastAsia" w:ascii="仿宋" w:hAnsi="仿宋" w:eastAsia="仿宋" w:cs="黑体"/>
          <w:sz w:val="32"/>
          <w:szCs w:val="32"/>
        </w:rPr>
        <w:t>（七）完成县委、县政府交办的其他任务。</w:t>
      </w: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机构设置</w:t>
      </w:r>
    </w:p>
    <w:p>
      <w:pPr>
        <w:spacing w:line="660" w:lineRule="exact"/>
        <w:ind w:firstLine="630"/>
        <w:rPr>
          <w:rFonts w:ascii="仿宋" w:hAnsi="仿宋" w:eastAsia="仿宋"/>
          <w:sz w:val="32"/>
          <w:szCs w:val="32"/>
        </w:rPr>
      </w:pPr>
      <w:r>
        <w:rPr>
          <w:rFonts w:hint="eastAsia" w:ascii="仿宋" w:hAnsi="仿宋" w:eastAsia="仿宋"/>
          <w:sz w:val="32"/>
          <w:szCs w:val="32"/>
        </w:rPr>
        <w:t>根据上述职责，</w:t>
      </w:r>
      <w:r>
        <w:rPr>
          <w:rFonts w:hint="eastAsia" w:ascii="仿宋" w:hAnsi="仿宋" w:eastAsia="仿宋" w:cs="黑体"/>
          <w:sz w:val="32"/>
          <w:szCs w:val="32"/>
        </w:rPr>
        <w:t>县司法局设下列内设机构</w:t>
      </w:r>
      <w:r>
        <w:rPr>
          <w:rFonts w:hint="eastAsia" w:ascii="仿宋" w:hAnsi="仿宋" w:eastAsia="仿宋"/>
          <w:sz w:val="32"/>
          <w:szCs w:val="32"/>
        </w:rPr>
        <w:t>：</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（一）综合业务股。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（二）法治业务股（全面依法治县办公室）。</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（三）公共法律服务管理股。</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（四）社区矫正管理股。</w:t>
      </w:r>
    </w:p>
    <w:p>
      <w:pPr>
        <w:spacing w:line="540" w:lineRule="exact"/>
        <w:ind w:firstLine="640" w:firstLineChars="200"/>
        <w:rPr>
          <w:rFonts w:ascii="仿宋" w:hAnsi="仿宋" w:eastAsia="仿宋"/>
          <w:spacing w:val="10"/>
          <w:sz w:val="32"/>
          <w:szCs w:val="32"/>
        </w:rPr>
      </w:pPr>
      <w:r>
        <w:rPr>
          <w:rFonts w:hint="eastAsia" w:ascii="仿宋" w:hAnsi="仿宋" w:eastAsia="仿宋" w:cs="黑体"/>
          <w:sz w:val="32"/>
          <w:szCs w:val="32"/>
        </w:rPr>
        <w:t>县司法局下设派出机构:9个饶河县司法所</w:t>
      </w:r>
      <w:r>
        <w:rPr>
          <w:rFonts w:hint="eastAsia" w:ascii="仿宋" w:hAnsi="仿宋" w:eastAsia="仿宋" w:cs="黑体"/>
          <w:sz w:val="32"/>
          <w:szCs w:val="32"/>
          <w:lang w:eastAsia="zh-CN"/>
        </w:rPr>
        <w:t>。</w:t>
      </w:r>
      <w:r>
        <w:rPr>
          <w:rFonts w:hint="eastAsia" w:ascii="仿宋" w:hAnsi="仿宋" w:eastAsia="仿宋"/>
          <w:spacing w:val="10"/>
          <w:sz w:val="32"/>
          <w:szCs w:val="32"/>
        </w:rPr>
        <w:t xml:space="preserve"> </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w:t>
      </w:r>
      <w:r>
        <w:rPr>
          <w:rFonts w:hint="eastAsia" w:ascii="仿宋" w:hAnsi="仿宋" w:eastAsia="仿宋" w:cs="仿宋"/>
          <w:b/>
          <w:bCs/>
          <w:sz w:val="30"/>
          <w:szCs w:val="30"/>
        </w:rPr>
        <w:t>部门决算编报范围及</w:t>
      </w:r>
      <w:r>
        <w:rPr>
          <w:rFonts w:hint="eastAsia" w:ascii="仿宋" w:hAnsi="仿宋" w:eastAsia="仿宋" w:cs="仿宋"/>
          <w:b/>
          <w:bCs/>
          <w:sz w:val="32"/>
          <w:szCs w:val="32"/>
        </w:rPr>
        <w:t>人员构成</w:t>
      </w:r>
    </w:p>
    <w:p>
      <w:pPr>
        <w:widowControl/>
        <w:spacing w:line="315" w:lineRule="atLeast"/>
        <w:ind w:firstLine="628"/>
        <w:rPr>
          <w:rFonts w:ascii="仿宋" w:hAnsi="仿宋" w:eastAsia="仿宋" w:cs="仿宋"/>
          <w:sz w:val="30"/>
          <w:szCs w:val="30"/>
        </w:rPr>
      </w:pPr>
      <w:r>
        <w:rPr>
          <w:rFonts w:hint="eastAsia" w:ascii="仿宋" w:hAnsi="仿宋" w:eastAsia="仿宋" w:cs="仿宋"/>
          <w:color w:val="000000"/>
          <w:kern w:val="0"/>
          <w:sz w:val="30"/>
          <w:szCs w:val="30"/>
        </w:rPr>
        <w:t>2018年度纳入本部门决算的编制范围的单位有1个，为2018年末</w:t>
      </w:r>
      <w:r>
        <w:rPr>
          <w:rFonts w:hint="eastAsia" w:ascii="仿宋" w:hAnsi="仿宋" w:eastAsia="仿宋" w:cs="仿宋"/>
          <w:sz w:val="30"/>
          <w:szCs w:val="30"/>
        </w:rPr>
        <w:t>行政编制30人，事业编制6人；年末机构实有人数30人，其中：在职人员30人。</w:t>
      </w:r>
    </w:p>
    <w:p>
      <w:pPr>
        <w:widowControl/>
        <w:spacing w:line="360" w:lineRule="auto"/>
        <w:ind w:firstLine="640"/>
        <w:jc w:val="left"/>
        <w:rPr>
          <w:rFonts w:ascii="仿宋" w:hAnsi="仿宋" w:eastAsia="仿宋" w:cs="仿宋"/>
          <w:sz w:val="30"/>
          <w:szCs w:val="30"/>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第二部分2018年部门预算执行总体情况说明</w:t>
      </w:r>
    </w:p>
    <w:p>
      <w:pPr>
        <w:spacing w:line="360" w:lineRule="auto"/>
        <w:jc w:val="left"/>
        <w:rPr>
          <w:rFonts w:ascii="仿宋" w:hAnsi="仿宋" w:eastAsia="仿宋" w:cs="仿宋"/>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00" w:firstLineChars="200"/>
        <w:rPr>
          <w:rFonts w:ascii="宋体" w:hAnsi="宋体" w:cs="宋体"/>
          <w:color w:val="000000"/>
          <w:kern w:val="0"/>
          <w:sz w:val="24"/>
        </w:rPr>
      </w:pPr>
      <w:r>
        <w:rPr>
          <w:rFonts w:hint="eastAsia" w:ascii="仿宋" w:hAnsi="仿宋" w:eastAsia="仿宋" w:cs="仿宋"/>
          <w:kern w:val="0"/>
          <w:sz w:val="30"/>
          <w:szCs w:val="30"/>
        </w:rPr>
        <w:t>2018年度部门决算收、支总计635万元，其中：本年收入635万元；</w:t>
      </w:r>
      <w:r>
        <w:rPr>
          <w:rFonts w:hint="eastAsia" w:ascii="仿宋" w:hAnsi="仿宋" w:eastAsia="仿宋" w:cs="仿宋"/>
          <w:sz w:val="30"/>
          <w:szCs w:val="30"/>
        </w:rPr>
        <w:t>与2017年度相比，收、支总计均增加71万元，同比增长11%。主要原因：人员工资有</w:t>
      </w:r>
      <w:r>
        <w:rPr>
          <w:rFonts w:hint="eastAsia" w:ascii="仿宋" w:hAnsi="仿宋" w:eastAsia="仿宋" w:cs="仿宋"/>
          <w:sz w:val="30"/>
          <w:szCs w:val="30"/>
          <w:lang w:val="en-US" w:eastAsia="zh-CN"/>
        </w:rPr>
        <w:t>增长</w:t>
      </w:r>
      <w:r>
        <w:rPr>
          <w:rFonts w:hint="eastAsia" w:ascii="仿宋" w:hAnsi="仿宋" w:eastAsia="仿宋" w:cs="仿宋"/>
          <w:sz w:val="30"/>
          <w:szCs w:val="30"/>
        </w:rPr>
        <w:t>。</w:t>
      </w:r>
    </w:p>
    <w:p>
      <w:pPr>
        <w:widowControl/>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本年收入合计</w:t>
      </w:r>
      <w:r>
        <w:rPr>
          <w:rFonts w:hint="eastAsia" w:ascii="仿宋" w:hAnsi="仿宋" w:eastAsia="仿宋" w:cs="仿宋"/>
          <w:kern w:val="0"/>
          <w:sz w:val="30"/>
          <w:szCs w:val="30"/>
        </w:rPr>
        <w:t>635</w:t>
      </w:r>
      <w:r>
        <w:rPr>
          <w:rFonts w:hint="eastAsia" w:ascii="仿宋" w:hAnsi="仿宋" w:eastAsia="仿宋" w:cs="仿宋"/>
          <w:sz w:val="30"/>
          <w:szCs w:val="30"/>
        </w:rPr>
        <w:t>万元，与2017年度相比，增加71万元，同比增长11。主要原因：人员工资有</w:t>
      </w:r>
      <w:r>
        <w:rPr>
          <w:rFonts w:hint="eastAsia" w:ascii="仿宋" w:hAnsi="仿宋" w:eastAsia="仿宋" w:cs="仿宋"/>
          <w:sz w:val="30"/>
          <w:szCs w:val="30"/>
          <w:lang w:val="en-US" w:eastAsia="zh-CN"/>
        </w:rPr>
        <w:t>增长</w:t>
      </w:r>
      <w:r>
        <w:rPr>
          <w:rFonts w:hint="eastAsia" w:ascii="宋体" w:hAnsi="宋体" w:cs="宋体"/>
          <w:color w:val="000000"/>
          <w:kern w:val="0"/>
          <w:sz w:val="24"/>
        </w:rPr>
        <w:t>。</w:t>
      </w:r>
      <w:r>
        <w:rPr>
          <w:rFonts w:hint="eastAsia" w:ascii="仿宋" w:hAnsi="仿宋" w:eastAsia="仿宋" w:cs="仿宋"/>
          <w:sz w:val="30"/>
          <w:szCs w:val="30"/>
        </w:rPr>
        <w:t>其中：财政拨款收入635万元，占收入合计的100%；</w:t>
      </w:r>
      <w:r>
        <w:rPr>
          <w:rFonts w:ascii="仿宋" w:hAnsi="仿宋" w:eastAsia="仿宋" w:cs="仿宋"/>
          <w:sz w:val="30"/>
          <w:szCs w:val="30"/>
        </w:rPr>
        <w:t xml:space="preserve"> </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本年支出合计635万元，与2017年度相比，增加71万元，同比增长11%。人员工资有</w:t>
      </w:r>
      <w:r>
        <w:rPr>
          <w:rFonts w:hint="eastAsia" w:ascii="仿宋" w:hAnsi="仿宋" w:eastAsia="仿宋" w:cs="仿宋"/>
          <w:sz w:val="30"/>
          <w:szCs w:val="30"/>
          <w:lang w:val="en-US" w:eastAsia="zh-CN"/>
        </w:rPr>
        <w:t>增长</w:t>
      </w:r>
      <w:r>
        <w:rPr>
          <w:rFonts w:hint="eastAsia" w:ascii="宋体" w:hAnsi="宋体" w:cs="宋体"/>
          <w:color w:val="000000"/>
          <w:kern w:val="0"/>
          <w:sz w:val="24"/>
        </w:rPr>
        <w:t>。</w:t>
      </w:r>
      <w:r>
        <w:rPr>
          <w:rFonts w:hint="eastAsia" w:ascii="仿宋" w:hAnsi="仿宋" w:eastAsia="仿宋" w:cs="仿宋"/>
          <w:sz w:val="30"/>
          <w:szCs w:val="30"/>
        </w:rPr>
        <w:t>其中：基本支出510万元，占支出合计的81%；项目支出125万元，占支出合计的19%。</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2018年度财政拨款收、支总计635万元。与2017年度相比，财政拨款收、支总计各增加71万元，增长11%。主要原因：人员工资有</w:t>
      </w:r>
      <w:r>
        <w:rPr>
          <w:rFonts w:hint="eastAsia" w:ascii="仿宋" w:hAnsi="仿宋" w:eastAsia="仿宋" w:cs="仿宋"/>
          <w:sz w:val="30"/>
          <w:szCs w:val="30"/>
          <w:lang w:val="en-US" w:eastAsia="zh-CN"/>
        </w:rPr>
        <w:t>增长。</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（一）一般公共预算财政拨款支出决算总体情况。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2018年度一般公共预算财政拨款支出510万元，与2017年决算数相比，增加</w:t>
      </w:r>
      <w:r>
        <w:rPr>
          <w:rFonts w:hint="eastAsia" w:ascii="仿宋" w:hAnsi="仿宋" w:eastAsia="仿宋" w:cs="仿宋"/>
          <w:color w:val="000000" w:themeColor="text1"/>
          <w:sz w:val="30"/>
          <w:szCs w:val="30"/>
        </w:rPr>
        <w:t>31万元，增长6%</w:t>
      </w:r>
      <w:r>
        <w:rPr>
          <w:rFonts w:hint="eastAsia" w:ascii="仿宋" w:hAnsi="仿宋" w:eastAsia="仿宋" w:cs="仿宋"/>
          <w:sz w:val="30"/>
          <w:szCs w:val="30"/>
        </w:rPr>
        <w:t>，主要原因人员工资有</w:t>
      </w:r>
      <w:r>
        <w:rPr>
          <w:rFonts w:hint="eastAsia" w:ascii="仿宋" w:hAnsi="仿宋" w:eastAsia="仿宋" w:cs="仿宋"/>
          <w:sz w:val="30"/>
          <w:szCs w:val="30"/>
          <w:lang w:val="en-US" w:eastAsia="zh-CN"/>
        </w:rPr>
        <w:t>增长</w:t>
      </w:r>
      <w:r>
        <w:rPr>
          <w:rFonts w:hint="eastAsia" w:ascii="仿宋" w:hAnsi="仿宋" w:eastAsia="仿宋" w:cs="仿宋"/>
          <w:sz w:val="30"/>
          <w:szCs w:val="30"/>
        </w:rPr>
        <w:t>。</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（二）一般公共预算财政拨款支出决算结构情况。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2018年度一般公共预算财政拨款支出510万元，主要用于以下方面：一般公共服务支出（类）510万元，占100%</w:t>
      </w:r>
      <w:r>
        <w:rPr>
          <w:rFonts w:hint="eastAsia" w:ascii="仿宋" w:hAnsi="仿宋" w:eastAsia="仿宋" w:cs="仿宋"/>
          <w:sz w:val="30"/>
          <w:szCs w:val="30"/>
          <w:lang w:eastAsia="zh-CN"/>
        </w:rPr>
        <w:t>。</w:t>
      </w:r>
      <w:r>
        <w:rPr>
          <w:rFonts w:ascii="仿宋" w:hAnsi="仿宋" w:eastAsia="仿宋" w:cs="仿宋"/>
          <w:sz w:val="30"/>
          <w:szCs w:val="30"/>
        </w:rPr>
        <w:t xml:space="preserve"> </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（三）一般公共预算财政拨款支出决算具体情况。</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2018年度一般公共预算财政拨款支出年初预算为347万元，支出决算为510万元，完成年初预算的146%。其中：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1、一般公共服务支出（类）财政事务（款）行政运行（项）</w:t>
      </w:r>
    </w:p>
    <w:p>
      <w:pPr>
        <w:widowControl/>
        <w:spacing w:line="360" w:lineRule="auto"/>
        <w:ind w:firstLine="600" w:firstLineChars="200"/>
        <w:rPr>
          <w:rFonts w:hint="eastAsia" w:ascii="宋体" w:hAnsi="宋体" w:eastAsia="仿宋" w:cs="宋体"/>
          <w:color w:val="000000"/>
          <w:kern w:val="0"/>
          <w:sz w:val="24"/>
          <w:lang w:eastAsia="zh-CN"/>
        </w:rPr>
      </w:pPr>
      <w:r>
        <w:rPr>
          <w:rFonts w:hint="eastAsia" w:ascii="仿宋" w:hAnsi="仿宋" w:eastAsia="仿宋" w:cs="仿宋"/>
          <w:sz w:val="30"/>
          <w:szCs w:val="30"/>
        </w:rPr>
        <w:t>2018年初预算为347万元，支出决算为510万元，完成年初预算的146%。决算数大于预算数的主要原因是人员工资有</w:t>
      </w:r>
      <w:r>
        <w:rPr>
          <w:rFonts w:hint="eastAsia" w:ascii="仿宋" w:hAnsi="仿宋" w:eastAsia="仿宋" w:cs="仿宋"/>
          <w:sz w:val="30"/>
          <w:szCs w:val="30"/>
          <w:lang w:val="en-US" w:eastAsia="zh-CN"/>
        </w:rPr>
        <w:t>增长</w:t>
      </w:r>
      <w:r>
        <w:rPr>
          <w:rFonts w:hint="eastAsia" w:ascii="仿宋" w:hAnsi="仿宋" w:eastAsia="仿宋" w:cs="宋体"/>
          <w:color w:val="000000"/>
          <w:kern w:val="0"/>
          <w:sz w:val="30"/>
          <w:szCs w:val="30"/>
          <w:lang w:eastAsia="zh-CN"/>
        </w:rPr>
        <w:t>。</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2、社会保障和就业支出（类）行政事业单位离退休（款）未归口管理的行政单位离退休（项）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2018年初预算为42万元，支出决算为42万元，完成年初预算的100%。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2018年度一般公共预算财政拨款基本支出510万元，其中：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人员经费445万元，主要包括：基本工资、津贴补贴、奖金、伙食补助费、住房公积金、其他工资福利支出、退休费、抚恤金、生活补助、助学金、奖励金、其他对个人和家庭的补助支出；</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公用经费65万元，主要包括：办公费、印刷费、手续费、水费、电费、邮电费、取暖费、差旅费、维修（护）费、租赁费、会议费、培训费、专用材料费、劳务费、委托业务费、其他商品和服务支出。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（一）“三公”经费财政拨款支出决算总体情况说明</w:t>
      </w:r>
    </w:p>
    <w:p>
      <w:pPr>
        <w:widowControl/>
        <w:spacing w:after="230"/>
        <w:ind w:firstLine="480"/>
        <w:jc w:val="left"/>
        <w:rPr>
          <w:rFonts w:ascii="仿宋" w:hAnsi="仿宋" w:eastAsia="仿宋" w:cs="仿宋"/>
          <w:sz w:val="30"/>
          <w:szCs w:val="30"/>
        </w:rPr>
      </w:pPr>
      <w:r>
        <w:rPr>
          <w:rFonts w:hint="eastAsia" w:ascii="仿宋" w:hAnsi="仿宋" w:eastAsia="仿宋" w:cs="仿宋"/>
          <w:sz w:val="32"/>
          <w:szCs w:val="32"/>
        </w:rPr>
        <w:t>2018年度“三公”经费财政拨款支出决算为</w:t>
      </w:r>
      <w:r>
        <w:rPr>
          <w:rFonts w:hint="eastAsia" w:ascii="仿宋" w:hAnsi="仿宋" w:eastAsia="仿宋" w:cs="宋体"/>
          <w:color w:val="000000"/>
          <w:kern w:val="0"/>
          <w:sz w:val="32"/>
          <w:szCs w:val="32"/>
        </w:rPr>
        <w:t>28万元，同比持平，公务用车运行费28万元，较2018年减少，主要原因是：公务用车减少。本年因公出国（境）团组数和人数为0，公务用车购置数0台，公务用车保有量为10台，国内公务接待的批次为0次、接待人数0左右。</w:t>
      </w:r>
    </w:p>
    <w:p>
      <w:pPr>
        <w:widowControl/>
        <w:numPr>
          <w:ilvl w:val="0"/>
          <w:numId w:val="0"/>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kern w:val="2"/>
          <w:sz w:val="32"/>
          <w:szCs w:val="32"/>
          <w:lang w:val="en-US" w:eastAsia="zh-CN" w:bidi="ar-SA"/>
        </w:rPr>
        <w:t>八</w:t>
      </w:r>
      <w:r>
        <w:rPr>
          <w:rFonts w:ascii="仿宋" w:hAnsi="仿宋" w:eastAsia="仿宋" w:cs="仿宋"/>
          <w:b/>
          <w:bCs/>
          <w:kern w:val="2"/>
          <w:sz w:val="32"/>
          <w:szCs w:val="32"/>
          <w:lang w:val="en-US" w:eastAsia="zh-CN" w:bidi="ar-SA"/>
        </w:rPr>
        <w:t>、</w:t>
      </w:r>
      <w:r>
        <w:rPr>
          <w:rFonts w:hint="eastAsia" w:ascii="仿宋" w:hAnsi="仿宋" w:eastAsia="仿宋" w:cs="仿宋"/>
          <w:b/>
          <w:bCs/>
          <w:sz w:val="32"/>
          <w:szCs w:val="32"/>
        </w:rPr>
        <w:t>预算绩效管理工作开展情况说明。</w:t>
      </w:r>
    </w:p>
    <w:p>
      <w:pPr>
        <w:widowControl/>
        <w:spacing w:line="360" w:lineRule="auto"/>
        <w:ind w:firstLine="640" w:firstLineChars="200"/>
        <w:jc w:val="left"/>
        <w:rPr>
          <w:rFonts w:ascii="仿宋" w:hAnsi="仿宋" w:eastAsia="仿宋" w:cs="仿宋"/>
          <w:b/>
          <w:bCs/>
          <w:sz w:val="32"/>
          <w:szCs w:val="32"/>
        </w:rPr>
      </w:pPr>
      <w:r>
        <w:rPr>
          <w:rFonts w:hint="eastAsia" w:ascii="仿宋" w:hAnsi="仿宋" w:eastAsia="仿宋" w:cs="仿宋"/>
          <w:sz w:val="32"/>
          <w:szCs w:val="32"/>
        </w:rPr>
        <w:t>2018年度没有</w:t>
      </w:r>
      <w:r>
        <w:rPr>
          <w:rFonts w:hint="eastAsia" w:ascii="仿宋" w:hAnsi="仿宋" w:eastAsia="仿宋" w:cs="仿宋"/>
          <w:sz w:val="30"/>
          <w:szCs w:val="30"/>
          <w:lang w:val="en-US" w:eastAsia="zh-CN"/>
        </w:rPr>
        <w:t>100</w:t>
      </w:r>
      <w:r>
        <w:rPr>
          <w:rFonts w:hint="eastAsia" w:ascii="仿宋" w:hAnsi="仿宋" w:eastAsia="仿宋" w:cs="仿宋"/>
          <w:sz w:val="32"/>
          <w:szCs w:val="32"/>
        </w:rPr>
        <w:t>万元以上项目、政府购买公共服务项目和市级以上专项，故没有开展绩效评价工作。</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、无其他重要事项情况说明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（一）机关运行经费支出情况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2018年度机关运行经费支出510万元，较年初预算增加163万元，增长31%，主要原因预算执行期间根据实际情况调整预算</w:t>
      </w:r>
      <w:r>
        <w:rPr>
          <w:rFonts w:hint="eastAsia" w:ascii="仿宋" w:hAnsi="仿宋" w:eastAsia="仿宋" w:cs="仿宋"/>
          <w:sz w:val="30"/>
          <w:szCs w:val="30"/>
          <w:lang w:eastAsia="zh-CN"/>
        </w:rPr>
        <w:t>。</w:t>
      </w:r>
      <w:r>
        <w:rPr>
          <w:rFonts w:ascii="仿宋" w:hAnsi="仿宋" w:eastAsia="仿宋" w:cs="仿宋"/>
          <w:sz w:val="30"/>
          <w:szCs w:val="30"/>
        </w:rPr>
        <w:t xml:space="preserve"> </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（二）政府采购支出情况</w:t>
      </w:r>
    </w:p>
    <w:p>
      <w:pPr>
        <w:widowControl/>
        <w:spacing w:line="360" w:lineRule="auto"/>
        <w:ind w:firstLine="600" w:firstLineChars="200"/>
        <w:jc w:val="left"/>
        <w:rPr>
          <w:rFonts w:hint="eastAsia" w:ascii="仿宋" w:hAnsi="仿宋" w:eastAsia="仿宋" w:cs="仿宋"/>
          <w:sz w:val="30"/>
          <w:szCs w:val="30"/>
          <w:lang w:eastAsia="zh-CN"/>
        </w:rPr>
      </w:pPr>
      <w:r>
        <w:rPr>
          <w:rFonts w:hint="eastAsia" w:ascii="仿宋" w:hAnsi="仿宋" w:eastAsia="仿宋" w:cs="仿宋"/>
          <w:sz w:val="30"/>
          <w:szCs w:val="30"/>
        </w:rPr>
        <w:t>2018年本部门政府采购支出总额9万元，其中：政府采购货物支出9万元</w:t>
      </w:r>
      <w:r>
        <w:rPr>
          <w:rFonts w:hint="eastAsia" w:ascii="仿宋" w:hAnsi="仿宋" w:eastAsia="仿宋" w:cs="仿宋"/>
          <w:sz w:val="30"/>
          <w:szCs w:val="30"/>
          <w:lang w:eastAsia="zh-CN"/>
        </w:rPr>
        <w:t>。</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（三）国有资产占用情况</w:t>
      </w:r>
    </w:p>
    <w:p>
      <w:pPr>
        <w:widowControl/>
        <w:spacing w:line="360" w:lineRule="auto"/>
        <w:ind w:firstLine="600" w:firstLineChars="200"/>
        <w:jc w:val="left"/>
        <w:rPr>
          <w:rFonts w:ascii="仿宋" w:hAnsi="仿宋" w:eastAsia="仿宋" w:cs="仿宋"/>
          <w:sz w:val="32"/>
          <w:szCs w:val="32"/>
        </w:rPr>
      </w:pPr>
      <w:r>
        <w:rPr>
          <w:rFonts w:hint="eastAsia" w:ascii="仿宋" w:hAnsi="仿宋" w:eastAsia="仿宋" w:cs="仿宋"/>
          <w:sz w:val="30"/>
          <w:szCs w:val="30"/>
        </w:rPr>
        <w:t>截至2018年12月31日，本部门共有车辆10辆，执法执勤用车10辆。</w:t>
      </w: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0"/>
          <w:szCs w:val="30"/>
        </w:rPr>
        <w:t>根据《2018年政府收支分类科目》对2018年度部门决算公开中相关名词解释如下：</w:t>
      </w:r>
      <w:r>
        <w:rPr>
          <w:rFonts w:hint="eastAsia" w:ascii="仿宋" w:hAnsi="仿宋" w:eastAsia="仿宋" w:cs="仿宋"/>
          <w:sz w:val="30"/>
          <w:szCs w:val="30"/>
        </w:rPr>
        <w:br w:type="textWrapping"/>
      </w:r>
      <w:r>
        <w:rPr>
          <w:rFonts w:hint="eastAsia" w:ascii="仿宋" w:hAnsi="仿宋" w:eastAsia="仿宋" w:cs="仿宋"/>
          <w:sz w:val="30"/>
          <w:szCs w:val="30"/>
        </w:rPr>
        <w:t>　　财政拨款收入：反映财政部门用公共预算收入安排的预</w:t>
      </w:r>
      <w:r>
        <w:rPr>
          <w:rFonts w:hint="eastAsia" w:ascii="仿宋" w:hAnsi="仿宋" w:eastAsia="仿宋" w:cs="仿宋"/>
          <w:sz w:val="32"/>
          <w:szCs w:val="32"/>
        </w:rPr>
        <w:t>算单位资金。</w:t>
      </w:r>
    </w:p>
    <w:p>
      <w:pPr>
        <w:spacing w:line="360" w:lineRule="auto"/>
        <w:ind w:firstLine="660"/>
        <w:rPr>
          <w:rFonts w:ascii="仿宋" w:hAnsi="仿宋" w:eastAsia="仿宋" w:cs="仿宋"/>
          <w:color w:val="111111"/>
          <w:kern w:val="0"/>
          <w:sz w:val="30"/>
          <w:szCs w:val="30"/>
        </w:rPr>
      </w:pPr>
      <w:r>
        <w:rPr>
          <w:rFonts w:hint="eastAsia" w:ascii="仿宋" w:hAnsi="仿宋" w:eastAsia="仿宋" w:cs="仿宋"/>
          <w:sz w:val="30"/>
          <w:szCs w:val="30"/>
        </w:rPr>
        <w:t>一般公共预算拨款</w:t>
      </w:r>
      <w:r>
        <w:rPr>
          <w:rFonts w:hint="eastAsia" w:ascii="仿宋" w:hAnsi="仿宋" w:eastAsia="仿宋" w:cs="仿宋"/>
          <w:bCs/>
          <w:color w:val="111111"/>
          <w:kern w:val="0"/>
          <w:sz w:val="30"/>
          <w:szCs w:val="30"/>
        </w:rPr>
        <w:t>：</w:t>
      </w:r>
      <w:r>
        <w:rPr>
          <w:rFonts w:hint="eastAsia" w:ascii="仿宋" w:hAnsi="仿宋" w:eastAsia="仿宋" w:cs="仿宋"/>
          <w:color w:val="111111"/>
          <w:kern w:val="0"/>
          <w:sz w:val="30"/>
          <w:szCs w:val="30"/>
        </w:rPr>
        <w:t>指单位本年度从区级财政部门取得的财政拨款。</w:t>
      </w:r>
    </w:p>
    <w:p>
      <w:pPr>
        <w:widowControl/>
        <w:spacing w:line="360" w:lineRule="auto"/>
        <w:ind w:firstLine="600" w:firstLineChars="200"/>
        <w:jc w:val="left"/>
        <w:rPr>
          <w:rFonts w:ascii="仿宋" w:hAnsi="仿宋" w:eastAsia="仿宋" w:cs="仿宋"/>
          <w:i/>
          <w:iCs/>
          <w:color w:val="111111"/>
          <w:kern w:val="0"/>
          <w:sz w:val="30"/>
          <w:szCs w:val="30"/>
        </w:rPr>
      </w:pPr>
      <w:r>
        <w:rPr>
          <w:rFonts w:hint="eastAsia" w:ascii="仿宋" w:hAnsi="仿宋" w:eastAsia="仿宋" w:cs="仿宋"/>
          <w:bCs/>
          <w:color w:val="111111"/>
          <w:kern w:val="0"/>
          <w:sz w:val="30"/>
          <w:szCs w:val="30"/>
        </w:rPr>
        <w:t>事业收入：</w:t>
      </w:r>
      <w:r>
        <w:rPr>
          <w:rFonts w:hint="eastAsia" w:ascii="仿宋" w:hAnsi="仿宋" w:eastAsia="仿宋" w:cs="仿宋"/>
          <w:color w:val="111111"/>
          <w:kern w:val="0"/>
          <w:sz w:val="30"/>
          <w:szCs w:val="30"/>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0"/>
          <w:szCs w:val="30"/>
        </w:rPr>
      </w:pPr>
      <w:r>
        <w:rPr>
          <w:rFonts w:hint="eastAsia" w:ascii="仿宋" w:hAnsi="仿宋" w:eastAsia="仿宋" w:cs="仿宋"/>
          <w:bCs/>
          <w:color w:val="111111"/>
          <w:kern w:val="0"/>
          <w:sz w:val="30"/>
          <w:szCs w:val="30"/>
        </w:rPr>
        <w:t>其他收入：</w:t>
      </w:r>
      <w:r>
        <w:rPr>
          <w:rFonts w:hint="eastAsia" w:ascii="仿宋" w:hAnsi="仿宋" w:eastAsia="仿宋" w:cs="仿宋"/>
          <w:color w:val="111111"/>
          <w:kern w:val="0"/>
          <w:sz w:val="30"/>
          <w:szCs w:val="30"/>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用事业基金弥补收支差额：</w:t>
      </w:r>
      <w:r>
        <w:rPr>
          <w:rFonts w:hint="eastAsia" w:ascii="仿宋" w:hAnsi="仿宋" w:eastAsia="仿宋" w:cs="仿宋"/>
          <w:color w:val="111111"/>
          <w:kern w:val="0"/>
          <w:sz w:val="30"/>
          <w:szCs w:val="30"/>
        </w:rPr>
        <w:t>指事业单位用事业基金弥补当年收支差额的数额。 </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年初结转和结余：</w:t>
      </w:r>
      <w:r>
        <w:rPr>
          <w:rFonts w:hint="eastAsia" w:ascii="仿宋" w:hAnsi="仿宋" w:eastAsia="仿宋" w:cs="仿宋"/>
          <w:color w:val="111111"/>
          <w:kern w:val="0"/>
          <w:sz w:val="30"/>
          <w:szCs w:val="30"/>
        </w:rPr>
        <w:t>指单位上年结转本年使用的基本支出结转、项目支出结转和结余和经营结余。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年末结转和结余资金：指本年度或以前年度预算安排、因客观条件发生变化无法按原计划实施，需要延迟到以后年度按有关规定继续使用的资金。</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一般公共财政预算支出：反映公共财政预算收入安排的支出。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对个人和家庭的补助：反映政府用于对个人和家庭的补助支出。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政府性基金预算：对依照法律、行政法规的规定，在一定期限内向特定对象征收、收取或者其他方式筹集的资金，专项用于特定公共事业发展的收支预算。</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政府性基金支出：反映政府基金收入</w:t>
      </w:r>
      <w:r>
        <w:rPr>
          <w:rFonts w:hint="eastAsia" w:ascii="仿宋" w:hAnsi="仿宋" w:eastAsia="仿宋" w:cs="仿宋"/>
          <w:bCs/>
          <w:color w:val="111111"/>
          <w:kern w:val="0"/>
          <w:sz w:val="30"/>
          <w:szCs w:val="30"/>
          <w:lang w:val="en-US" w:eastAsia="zh-CN"/>
        </w:rPr>
        <w:t>安排</w:t>
      </w:r>
      <w:r>
        <w:rPr>
          <w:rFonts w:hint="eastAsia" w:ascii="仿宋" w:hAnsi="仿宋" w:eastAsia="仿宋" w:cs="仿宋"/>
          <w:bCs/>
          <w:color w:val="111111"/>
          <w:kern w:val="0"/>
          <w:sz w:val="30"/>
          <w:szCs w:val="30"/>
        </w:rPr>
        <w:t>的支出。</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基本支出：指为保障机构正常运转、完成日常工作任务而发生的人员支出和公用支出。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项目支出：指在基本支出之外为完成特定的行政任务或事业发展目标所发生的支出。</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bookmarkStart w:id="0" w:name="_GoBack"/>
      <w:bookmarkEnd w:id="0"/>
      <w:r>
        <w:rPr>
          <w:rFonts w:hint="eastAsia" w:ascii="仿宋" w:hAnsi="仿宋" w:eastAsia="仿宋" w:cs="仿宋"/>
          <w:bCs/>
          <w:color w:val="111111"/>
          <w:kern w:val="0"/>
          <w:sz w:val="30"/>
          <w:szCs w:val="30"/>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0"/>
          <w:szCs w:val="30"/>
        </w:rPr>
        <w:t>财政性资金</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0"/>
          <w:szCs w:val="30"/>
        </w:rPr>
        <w:t>采购过程</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，而且是采购政策、采购程序、采购过程及采购管理的总称，是一种对公共采购管理的制度。</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附件：2018年度部门决算公开表格</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政府性基金预算财政拨款收入支出决算表</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p>
    <w:p>
      <w:pPr>
        <w:spacing w:line="360" w:lineRule="auto"/>
        <w:ind w:firstLine="600" w:firstLineChars="200"/>
        <w:rPr>
          <w:rFonts w:ascii="仿宋" w:hAnsi="仿宋" w:eastAsia="仿宋" w:cs="仿宋"/>
          <w:kern w:val="0"/>
          <w:sz w:val="30"/>
          <w:szCs w:val="30"/>
        </w:rPr>
      </w:pPr>
    </w:p>
    <w:p>
      <w:pPr>
        <w:spacing w:line="360" w:lineRule="auto"/>
        <w:rPr>
          <w:rFonts w:ascii="仿宋" w:hAnsi="仿宋" w:eastAsia="仿宋" w:cs="仿宋"/>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Fonts w:ascii="宋体" w:hAnsi="宋体"/>
        <w:sz w:val="24"/>
        <w:szCs w:val="24"/>
      </w:rPr>
    </w:pPr>
    <w:r>
      <w:rPr>
        <w:rFonts w:ascii="宋体" w:hAnsi="宋体"/>
        <w:sz w:val="24"/>
        <w:szCs w:val="24"/>
      </w:rPr>
      <w:fldChar w:fldCharType="begin"/>
    </w:r>
    <w:r>
      <w:rPr>
        <w:rStyle w:val="8"/>
        <w:rFonts w:ascii="宋体" w:hAnsi="宋体"/>
        <w:sz w:val="24"/>
        <w:szCs w:val="24"/>
      </w:rPr>
      <w:instrText xml:space="preserve">PAGE  </w:instrText>
    </w:r>
    <w:r>
      <w:rPr>
        <w:rFonts w:ascii="宋体" w:hAnsi="宋体"/>
        <w:sz w:val="24"/>
        <w:szCs w:val="24"/>
      </w:rPr>
      <w:fldChar w:fldCharType="separate"/>
    </w:r>
    <w:r>
      <w:rPr>
        <w:rStyle w:val="8"/>
        <w:rFonts w:ascii="宋体" w:hAnsi="宋体"/>
        <w:sz w:val="24"/>
        <w:szCs w:val="24"/>
      </w:rPr>
      <w:t>- 7 -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wNGViY2RlMDk5YTA3YzdjZWNiYTRiNGNiYWY2MWYifQ=="/>
  </w:docVars>
  <w:rsids>
    <w:rsidRoot w:val="141522A4"/>
    <w:rsid w:val="000E003B"/>
    <w:rsid w:val="00136320"/>
    <w:rsid w:val="001D61B6"/>
    <w:rsid w:val="001E21D9"/>
    <w:rsid w:val="00202227"/>
    <w:rsid w:val="00211F45"/>
    <w:rsid w:val="00290AD0"/>
    <w:rsid w:val="00295A74"/>
    <w:rsid w:val="002B526A"/>
    <w:rsid w:val="0034073E"/>
    <w:rsid w:val="003E13C2"/>
    <w:rsid w:val="00452C08"/>
    <w:rsid w:val="00455461"/>
    <w:rsid w:val="004A4F66"/>
    <w:rsid w:val="004D28BB"/>
    <w:rsid w:val="005C78E0"/>
    <w:rsid w:val="00746870"/>
    <w:rsid w:val="00765499"/>
    <w:rsid w:val="007A099B"/>
    <w:rsid w:val="007F0F14"/>
    <w:rsid w:val="008522A0"/>
    <w:rsid w:val="008557E7"/>
    <w:rsid w:val="008D595E"/>
    <w:rsid w:val="008F3765"/>
    <w:rsid w:val="00916C3A"/>
    <w:rsid w:val="00980493"/>
    <w:rsid w:val="00A05723"/>
    <w:rsid w:val="00A14818"/>
    <w:rsid w:val="00A47FE8"/>
    <w:rsid w:val="00AC1870"/>
    <w:rsid w:val="00AF3B2A"/>
    <w:rsid w:val="00BA7BD8"/>
    <w:rsid w:val="00D37F20"/>
    <w:rsid w:val="00E46295"/>
    <w:rsid w:val="00ED2226"/>
    <w:rsid w:val="00F14B68"/>
    <w:rsid w:val="00F53C06"/>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A0442E"/>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Autospacing="1" w:afterAutospacing="1"/>
      <w:jc w:val="left"/>
    </w:pPr>
    <w:rPr>
      <w:rFonts w:ascii="宋体" w:hAnsi="宋体" w:cs="宋体"/>
      <w:kern w:val="0"/>
      <w:sz w:val="24"/>
    </w:rPr>
  </w:style>
  <w:style w:type="character" w:styleId="7">
    <w:name w:val="Strong"/>
    <w:basedOn w:val="6"/>
    <w:qFormat/>
    <w:uiPriority w:val="0"/>
    <w:rPr>
      <w:b/>
    </w:rPr>
  </w:style>
  <w:style w:type="character" w:styleId="8">
    <w:name w:val="page number"/>
    <w:basedOn w:val="6"/>
    <w:qFormat/>
    <w:uiPriority w:val="0"/>
  </w:style>
  <w:style w:type="character" w:styleId="9">
    <w:name w:val="Hyperlink"/>
    <w:qFormat/>
    <w:uiPriority w:val="0"/>
    <w:rPr>
      <w:color w:val="141414"/>
      <w:u w:val="none"/>
    </w:rPr>
  </w:style>
  <w:style w:type="character" w:customStyle="1" w:styleId="10">
    <w:name w:val="apple-converted-space"/>
    <w:basedOn w:val="6"/>
    <w:qFormat/>
    <w:uiPriority w:val="0"/>
  </w:style>
  <w:style w:type="character" w:customStyle="1" w:styleId="11">
    <w:name w:val="页眉 Char"/>
    <w:basedOn w:val="6"/>
    <w:link w:val="3"/>
    <w:uiPriority w:val="0"/>
    <w:rPr>
      <w:kern w:val="2"/>
      <w:sz w:val="18"/>
      <w:szCs w:val="18"/>
    </w:rPr>
  </w:style>
  <w:style w:type="paragraph" w:styleId="12">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11</Pages>
  <Words>781</Words>
  <Characters>4453</Characters>
  <Lines>37</Lines>
  <Paragraphs>10</Paragraphs>
  <TotalTime>11</TotalTime>
  <ScaleCrop>false</ScaleCrop>
  <LinksUpToDate>false</LinksUpToDate>
  <CharactersWithSpaces>5224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2019-10-16T00:58:00Z</dcterms:created>
  <dc:creator>Administrator</dc:creator>
  <cp:lastModifiedBy>loretta</cp:lastModifiedBy>
  <cp:lastPrinted>2018-10-11T04:40:00Z</cp:lastPrinted>
  <dcterms:modified xsi:type="dcterms:W3CDTF">2024-03-14T01:31:41Z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AB54D356AE8C432D932E719192A288BF_13</vt:lpwstr>
  </property>
</Properties>
</file>