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双鸭山市饶河县统计局2018年度部门决算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仿宋" w:hAnsi="仿宋" w:eastAsia="仿宋" w:cs="仿宋"/>
          <w:b/>
          <w:bCs/>
          <w:color w:val="333333"/>
          <w:kern w:val="0"/>
          <w:sz w:val="32"/>
          <w:szCs w:val="32"/>
        </w:rPr>
      </w:pPr>
      <w:r>
        <w:rPr>
          <w:rFonts w:hint="eastAsia" w:ascii="仿宋" w:hAnsi="仿宋" w:eastAsia="仿宋" w:cs="仿宋"/>
          <w:b/>
          <w:bCs/>
          <w:sz w:val="32"/>
          <w:szCs w:val="32"/>
          <w:highlight w:val="none"/>
          <w:lang w:eastAsia="zh-CN"/>
        </w:rPr>
        <w:t>一、部门职责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1.贯彻实施国家、省和市的统计法律、法规</w:t>
      </w:r>
      <w:bookmarkStart w:id="0" w:name="_GoBack"/>
      <w:bookmarkEnd w:id="0"/>
      <w:r>
        <w:rPr>
          <w:rFonts w:hint="eastAsia" w:ascii="仿宋" w:hAnsi="仿宋" w:eastAsia="仿宋" w:cs="仿宋"/>
          <w:sz w:val="32"/>
          <w:szCs w:val="32"/>
        </w:rPr>
        <w:t>政策，结合本县实际，研究、制定相关政策和管理办法。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2.组织实施国家和省统一的基本统计报表制度，根据县委、县政府宏观管理和科学决策的需要，建立健全全县国民经济核算体系和统计指标体系。</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3.组织实施周期性的人口、经济和农业等重大国情国力普查， 搜集、整理、提供全县性的基本统计资料，并对全县国民经济、社会发展、科技进步和资源环境等情况进行统计分析、统计预测和统计监督，向县委、县政府及有关部门提供咨询建议。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4.完成县政府及上级业务部门交办的其它工作任务。</w:t>
      </w:r>
    </w:p>
    <w:p>
      <w:pPr>
        <w:rPr>
          <w:rFonts w:hint="eastAsia" w:ascii="仿宋" w:hAnsi="仿宋" w:eastAsia="仿宋" w:cs="仿宋"/>
          <w:sz w:val="32"/>
          <w:szCs w:val="32"/>
        </w:rPr>
      </w:pPr>
      <w:r>
        <w:rPr>
          <w:rFonts w:hint="eastAsia" w:ascii="仿宋" w:hAnsi="仿宋" w:eastAsia="仿宋" w:cs="仿宋"/>
          <w:sz w:val="32"/>
          <w:szCs w:val="32"/>
        </w:rPr>
        <w:t>机构设置</w:t>
      </w:r>
    </w:p>
    <w:p>
      <w:pPr>
        <w:rPr>
          <w:rFonts w:hint="eastAsia" w:ascii="仿宋" w:hAnsi="仿宋" w:eastAsia="仿宋" w:cs="仿宋"/>
          <w:sz w:val="32"/>
          <w:szCs w:val="32"/>
        </w:rPr>
      </w:pPr>
      <w:r>
        <w:rPr>
          <w:rFonts w:hint="eastAsia" w:ascii="仿宋" w:hAnsi="仿宋" w:eastAsia="仿宋" w:cs="仿宋"/>
          <w:sz w:val="32"/>
          <w:szCs w:val="32"/>
        </w:rPr>
        <w:t>综合股</w:t>
      </w:r>
    </w:p>
    <w:p>
      <w:pPr>
        <w:rPr>
          <w:rFonts w:hint="eastAsia" w:ascii="仿宋" w:hAnsi="仿宋" w:eastAsia="仿宋" w:cs="仿宋"/>
          <w:sz w:val="32"/>
          <w:szCs w:val="32"/>
        </w:rPr>
      </w:pPr>
      <w:r>
        <w:rPr>
          <w:rFonts w:hint="eastAsia" w:ascii="仿宋" w:hAnsi="仿宋" w:eastAsia="仿宋" w:cs="仿宋"/>
          <w:sz w:val="32"/>
          <w:szCs w:val="32"/>
        </w:rPr>
        <w:t>电话：0469－5626953</w:t>
      </w:r>
    </w:p>
    <w:p>
      <w:pPr>
        <w:rPr>
          <w:rFonts w:hint="eastAsia" w:ascii="仿宋" w:hAnsi="仿宋" w:eastAsia="仿宋" w:cs="仿宋"/>
          <w:sz w:val="32"/>
          <w:szCs w:val="32"/>
        </w:rPr>
      </w:pPr>
      <w:r>
        <w:rPr>
          <w:rFonts w:hint="eastAsia" w:ascii="仿宋" w:hAnsi="仿宋" w:eastAsia="仿宋" w:cs="仿宋"/>
          <w:sz w:val="32"/>
          <w:szCs w:val="32"/>
        </w:rPr>
        <w:t>工作职责；负责国民经济和社会发展各统计专业的综合统计，统计年鉴、统计公报、普查资料开发编纂及县域经济运行预警、监测、分析工作。负责服务业统计报表的报送，服务业企业的一套表联网直报工作。</w:t>
      </w:r>
    </w:p>
    <w:p>
      <w:pPr>
        <w:rPr>
          <w:rFonts w:hint="eastAsia" w:ascii="仿宋" w:hAnsi="仿宋" w:eastAsia="仿宋" w:cs="仿宋"/>
          <w:sz w:val="32"/>
          <w:szCs w:val="32"/>
        </w:rPr>
      </w:pPr>
      <w:r>
        <w:rPr>
          <w:rFonts w:hint="eastAsia" w:ascii="仿宋" w:hAnsi="仿宋" w:eastAsia="仿宋" w:cs="仿宋"/>
          <w:sz w:val="32"/>
          <w:szCs w:val="32"/>
        </w:rPr>
        <w:t>农业股</w:t>
      </w:r>
    </w:p>
    <w:p>
      <w:pPr>
        <w:rPr>
          <w:rFonts w:hint="eastAsia" w:ascii="仿宋" w:hAnsi="仿宋" w:eastAsia="仿宋" w:cs="仿宋"/>
          <w:sz w:val="32"/>
          <w:szCs w:val="32"/>
        </w:rPr>
      </w:pPr>
      <w:r>
        <w:rPr>
          <w:rFonts w:hint="eastAsia" w:ascii="仿宋" w:hAnsi="仿宋" w:eastAsia="仿宋" w:cs="仿宋"/>
          <w:sz w:val="32"/>
          <w:szCs w:val="32"/>
        </w:rPr>
        <w:t>电话：0469－5672353</w:t>
      </w:r>
    </w:p>
    <w:p>
      <w:pPr>
        <w:rPr>
          <w:rFonts w:hint="eastAsia" w:ascii="仿宋" w:hAnsi="仿宋" w:eastAsia="仿宋" w:cs="仿宋"/>
          <w:sz w:val="32"/>
          <w:szCs w:val="32"/>
        </w:rPr>
      </w:pPr>
      <w:r>
        <w:rPr>
          <w:rFonts w:hint="eastAsia" w:ascii="仿宋" w:hAnsi="仿宋" w:eastAsia="仿宋" w:cs="仿宋"/>
          <w:sz w:val="32"/>
          <w:szCs w:val="32"/>
        </w:rPr>
        <w:t>工作职责：指导全县农业统计工作，负责农业、农经基层报表的审核汇总。配合市调查队做好农作物实割实测工作，测算全县粮食产量，配合县财政局，农业局做好农作物播种面积核查工作。</w:t>
      </w:r>
    </w:p>
    <w:p>
      <w:pPr>
        <w:rPr>
          <w:rFonts w:hint="eastAsia" w:ascii="仿宋" w:hAnsi="仿宋" w:eastAsia="仿宋" w:cs="仿宋"/>
          <w:sz w:val="32"/>
          <w:szCs w:val="32"/>
        </w:rPr>
      </w:pPr>
      <w:r>
        <w:rPr>
          <w:rFonts w:hint="eastAsia" w:ascii="仿宋" w:hAnsi="仿宋" w:eastAsia="仿宋" w:cs="仿宋"/>
          <w:sz w:val="32"/>
          <w:szCs w:val="32"/>
        </w:rPr>
        <w:t>工业股</w:t>
      </w:r>
    </w:p>
    <w:p>
      <w:pPr>
        <w:rPr>
          <w:rFonts w:hint="eastAsia" w:ascii="仿宋" w:hAnsi="仿宋" w:eastAsia="仿宋" w:cs="仿宋"/>
          <w:sz w:val="32"/>
          <w:szCs w:val="32"/>
        </w:rPr>
      </w:pPr>
      <w:r>
        <w:rPr>
          <w:rFonts w:hint="eastAsia" w:ascii="仿宋" w:hAnsi="仿宋" w:eastAsia="仿宋" w:cs="仿宋"/>
          <w:sz w:val="32"/>
          <w:szCs w:val="32"/>
        </w:rPr>
        <w:t>电话：0469－5627261</w:t>
      </w:r>
    </w:p>
    <w:p>
      <w:pPr>
        <w:rPr>
          <w:rFonts w:hint="eastAsia" w:ascii="仿宋" w:hAnsi="仿宋" w:eastAsia="仿宋" w:cs="仿宋"/>
          <w:sz w:val="32"/>
          <w:szCs w:val="32"/>
        </w:rPr>
      </w:pPr>
      <w:r>
        <w:rPr>
          <w:rFonts w:hint="eastAsia" w:ascii="仿宋" w:hAnsi="仿宋" w:eastAsia="仿宋" w:cs="仿宋"/>
          <w:sz w:val="32"/>
          <w:szCs w:val="32"/>
        </w:rPr>
        <w:t>工作职责：负责组织开展全县工业经济统计、财务、成本费用调查、能耗统计及工业企业纳规等工作。负责指导、督促规上企业联网直报。</w:t>
      </w:r>
    </w:p>
    <w:p>
      <w:pPr>
        <w:rPr>
          <w:rFonts w:hint="eastAsia" w:ascii="仿宋" w:hAnsi="仿宋" w:eastAsia="仿宋" w:cs="仿宋"/>
          <w:sz w:val="32"/>
          <w:szCs w:val="32"/>
        </w:rPr>
      </w:pPr>
      <w:r>
        <w:rPr>
          <w:rFonts w:hint="eastAsia" w:ascii="仿宋" w:hAnsi="仿宋" w:eastAsia="仿宋" w:cs="仿宋"/>
          <w:sz w:val="32"/>
          <w:szCs w:val="32"/>
        </w:rPr>
        <w:t>财贸股</w:t>
      </w:r>
    </w:p>
    <w:p>
      <w:pPr>
        <w:rPr>
          <w:rFonts w:hint="eastAsia" w:ascii="仿宋" w:hAnsi="仿宋" w:eastAsia="仿宋" w:cs="仿宋"/>
          <w:sz w:val="32"/>
          <w:szCs w:val="32"/>
        </w:rPr>
      </w:pPr>
      <w:r>
        <w:rPr>
          <w:rFonts w:hint="eastAsia" w:ascii="仿宋" w:hAnsi="仿宋" w:eastAsia="仿宋" w:cs="仿宋"/>
          <w:sz w:val="32"/>
          <w:szCs w:val="32"/>
        </w:rPr>
        <w:t>电话：0469－5627261</w:t>
      </w:r>
      <w:r>
        <w:rPr>
          <w:rFonts w:hint="eastAsia" w:ascii="仿宋" w:hAnsi="仿宋" w:eastAsia="仿宋" w:cs="仿宋"/>
          <w:sz w:val="32"/>
          <w:szCs w:val="32"/>
        </w:rPr>
        <w:br w:type="textWrapping"/>
      </w:r>
      <w:r>
        <w:rPr>
          <w:rFonts w:hint="eastAsia" w:ascii="仿宋" w:hAnsi="仿宋" w:eastAsia="仿宋" w:cs="仿宋"/>
          <w:sz w:val="32"/>
          <w:szCs w:val="32"/>
        </w:rPr>
        <w:t>工作职责：负责组织实施批发零售业、住宿餐饮业、商品市场运行状况的统计调查、收集上报和分析评估工作；做好限额以上贸易业单位调查资格审查工作；指导好限额以上贸易业企业的联网直报工作。</w:t>
      </w:r>
    </w:p>
    <w:p>
      <w:pPr>
        <w:rPr>
          <w:rFonts w:hint="eastAsia" w:ascii="仿宋" w:hAnsi="仿宋" w:eastAsia="仿宋" w:cs="仿宋"/>
          <w:sz w:val="32"/>
          <w:szCs w:val="32"/>
        </w:rPr>
      </w:pPr>
      <w:r>
        <w:rPr>
          <w:rFonts w:hint="eastAsia" w:ascii="仿宋" w:hAnsi="仿宋" w:eastAsia="仿宋" w:cs="仿宋"/>
          <w:sz w:val="32"/>
          <w:szCs w:val="32"/>
        </w:rPr>
        <w:t>统计执法检查室</w:t>
      </w:r>
    </w:p>
    <w:p>
      <w:pPr>
        <w:rPr>
          <w:rFonts w:hint="eastAsia" w:ascii="仿宋" w:hAnsi="仿宋" w:eastAsia="仿宋" w:cs="仿宋"/>
          <w:sz w:val="32"/>
          <w:szCs w:val="32"/>
        </w:rPr>
      </w:pPr>
      <w:r>
        <w:rPr>
          <w:rFonts w:hint="eastAsia" w:ascii="仿宋" w:hAnsi="仿宋" w:eastAsia="仿宋" w:cs="仿宋"/>
          <w:sz w:val="32"/>
          <w:szCs w:val="32"/>
        </w:rPr>
        <w:t>电话：0469－5626953</w:t>
      </w:r>
      <w:r>
        <w:rPr>
          <w:rFonts w:hint="eastAsia" w:ascii="仿宋" w:hAnsi="仿宋" w:eastAsia="仿宋" w:cs="仿宋"/>
          <w:sz w:val="32"/>
          <w:szCs w:val="32"/>
        </w:rPr>
        <w:br w:type="textWrapping"/>
      </w:r>
      <w:r>
        <w:rPr>
          <w:rFonts w:hint="eastAsia" w:ascii="仿宋" w:hAnsi="仿宋" w:eastAsia="仿宋" w:cs="仿宋"/>
          <w:sz w:val="32"/>
          <w:szCs w:val="32"/>
        </w:rPr>
        <w:t>工作职责：依法在本县行政区域内检查统计法律、法规和规章以及统计制度的贯彻执行情况，查处各种统计违法行为；组织并实施全县性的统计执法大检查、日常检查、重点抽查和专项检查；组织并进行全系统统计执法检查人员业务培训；对局内各专业、调查队统计执法检查工作进行协调和指导。</w:t>
      </w:r>
    </w:p>
    <w:p>
      <w:pPr>
        <w:rPr>
          <w:rFonts w:hint="eastAsia" w:ascii="仿宋" w:hAnsi="仿宋" w:eastAsia="仿宋" w:cs="仿宋"/>
          <w:sz w:val="32"/>
          <w:szCs w:val="32"/>
        </w:rPr>
      </w:pPr>
      <w:r>
        <w:rPr>
          <w:rFonts w:hint="eastAsia" w:ascii="仿宋" w:hAnsi="仿宋" w:eastAsia="仿宋" w:cs="仿宋"/>
          <w:sz w:val="32"/>
          <w:szCs w:val="32"/>
        </w:rPr>
        <w:t>城市社会经济调查队</w:t>
      </w:r>
    </w:p>
    <w:p>
      <w:pPr>
        <w:rPr>
          <w:rFonts w:hint="eastAsia" w:ascii="仿宋" w:hAnsi="仿宋" w:eastAsia="仿宋" w:cs="仿宋"/>
          <w:sz w:val="32"/>
          <w:szCs w:val="32"/>
        </w:rPr>
      </w:pPr>
      <w:r>
        <w:rPr>
          <w:rFonts w:hint="eastAsia" w:ascii="仿宋" w:hAnsi="仿宋" w:eastAsia="仿宋" w:cs="仿宋"/>
          <w:sz w:val="32"/>
          <w:szCs w:val="32"/>
        </w:rPr>
        <w:t>电话：0469－5625605</w:t>
      </w:r>
    </w:p>
    <w:p>
      <w:pPr>
        <w:rPr>
          <w:rFonts w:hint="eastAsia" w:ascii="仿宋" w:hAnsi="仿宋" w:eastAsia="仿宋" w:cs="仿宋"/>
          <w:sz w:val="32"/>
          <w:szCs w:val="32"/>
        </w:rPr>
      </w:pPr>
      <w:r>
        <w:rPr>
          <w:rFonts w:hint="eastAsia" w:ascii="仿宋" w:hAnsi="仿宋" w:eastAsia="仿宋" w:cs="仿宋"/>
          <w:sz w:val="32"/>
          <w:szCs w:val="32"/>
        </w:rPr>
        <w:t>工作职责：组织实施城市社会经济抽样调查制度，组织开展城镇住户收支调查，检查和评估统计数据质量；开展统计分析。承接并完成国家、省、市调查队下达的各项临时性调查任务。</w:t>
      </w:r>
    </w:p>
    <w:p>
      <w:pPr>
        <w:rPr>
          <w:rFonts w:hint="eastAsia" w:ascii="仿宋" w:hAnsi="仿宋" w:eastAsia="仿宋" w:cs="仿宋"/>
          <w:sz w:val="32"/>
          <w:szCs w:val="32"/>
        </w:rPr>
      </w:pPr>
      <w:r>
        <w:rPr>
          <w:rFonts w:hint="eastAsia" w:ascii="仿宋" w:hAnsi="仿宋" w:eastAsia="仿宋" w:cs="仿宋"/>
          <w:sz w:val="32"/>
          <w:szCs w:val="32"/>
        </w:rPr>
        <w:t>农村社会经济调查队</w:t>
      </w:r>
    </w:p>
    <w:p>
      <w:pPr>
        <w:rPr>
          <w:rFonts w:hint="eastAsia" w:ascii="仿宋" w:hAnsi="仿宋" w:eastAsia="仿宋" w:cs="仿宋"/>
          <w:sz w:val="32"/>
          <w:szCs w:val="32"/>
        </w:rPr>
      </w:pPr>
      <w:r>
        <w:rPr>
          <w:rFonts w:hint="eastAsia" w:ascii="仿宋" w:hAnsi="仿宋" w:eastAsia="仿宋" w:cs="仿宋"/>
          <w:sz w:val="32"/>
          <w:szCs w:val="32"/>
        </w:rPr>
        <w:t>电话：0469－5627261</w:t>
      </w:r>
    </w:p>
    <w:p>
      <w:pPr>
        <w:rPr>
          <w:rFonts w:hint="eastAsia" w:ascii="仿宋" w:hAnsi="仿宋" w:eastAsia="仿宋" w:cs="仿宋"/>
          <w:sz w:val="32"/>
          <w:szCs w:val="32"/>
        </w:rPr>
      </w:pPr>
      <w:r>
        <w:rPr>
          <w:rFonts w:hint="eastAsia" w:ascii="仿宋" w:hAnsi="仿宋" w:eastAsia="仿宋" w:cs="仿宋"/>
          <w:sz w:val="32"/>
          <w:szCs w:val="32"/>
        </w:rPr>
        <w:t>工作职责：组织开展农村住户收支调查，检查和评估统计数据质量；定期培训各镇（办）、村和调查点的统计人员以及农村调查户、记帐户。承担国家、省、市农调队、区委、 区政府布置的临时性调查任务；完成局交办的其它各项工作。</w:t>
      </w:r>
    </w:p>
    <w:p>
      <w:pPr>
        <w:rPr>
          <w:rFonts w:hint="eastAsia" w:ascii="仿宋" w:hAnsi="仿宋" w:eastAsia="仿宋" w:cs="仿宋"/>
          <w:sz w:val="32"/>
          <w:szCs w:val="32"/>
        </w:rPr>
      </w:pPr>
      <w:r>
        <w:rPr>
          <w:rFonts w:hint="eastAsia" w:ascii="仿宋" w:hAnsi="仿宋" w:eastAsia="仿宋" w:cs="仿宋"/>
          <w:sz w:val="32"/>
          <w:szCs w:val="32"/>
        </w:rPr>
        <w:t>投资股</w:t>
      </w:r>
    </w:p>
    <w:p>
      <w:pPr>
        <w:rPr>
          <w:rFonts w:hint="eastAsia" w:ascii="仿宋" w:hAnsi="仿宋" w:eastAsia="仿宋" w:cs="仿宋"/>
          <w:sz w:val="32"/>
          <w:szCs w:val="32"/>
        </w:rPr>
      </w:pPr>
      <w:r>
        <w:rPr>
          <w:rFonts w:hint="eastAsia" w:ascii="仿宋" w:hAnsi="仿宋" w:eastAsia="仿宋" w:cs="仿宋"/>
          <w:sz w:val="32"/>
          <w:szCs w:val="32"/>
        </w:rPr>
        <w:t>电话：0469－5626953</w:t>
      </w:r>
    </w:p>
    <w:p>
      <w:pPr>
        <w:rPr>
          <w:rFonts w:hint="eastAsia" w:ascii="仿宋" w:hAnsi="仿宋" w:eastAsia="仿宋" w:cs="仿宋"/>
          <w:sz w:val="32"/>
          <w:szCs w:val="32"/>
        </w:rPr>
      </w:pPr>
      <w:r>
        <w:rPr>
          <w:rFonts w:hint="eastAsia" w:ascii="仿宋" w:hAnsi="仿宋" w:eastAsia="仿宋" w:cs="仿宋"/>
          <w:sz w:val="32"/>
          <w:szCs w:val="32"/>
        </w:rPr>
        <w:t>工作职责：组织实施全县固定资产投资、建筑业、房地产业的统计调查，对政府性资金投资项目、房地产市场运行情况等进行统计监测；收集、整理和提供有关统计调查数据，对有关数据质量进行检查和评估，检查指导有关专业统计基础工作；进行统计分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2"/>
          <w:szCs w:val="32"/>
          <w:highlight w:val="none"/>
          <w:lang w:eastAsia="zh-CN"/>
        </w:rPr>
      </w:pPr>
      <w:r>
        <w:rPr>
          <w:rFonts w:hint="eastAsia" w:ascii="仿宋" w:hAnsi="仿宋" w:eastAsia="仿宋" w:cs="仿宋"/>
          <w:color w:val="000000"/>
          <w:kern w:val="0"/>
          <w:sz w:val="32"/>
          <w:szCs w:val="32"/>
          <w:highlight w:val="none"/>
          <w:lang w:bidi="ar"/>
        </w:rPr>
        <w:t>201</w:t>
      </w:r>
      <w:r>
        <w:rPr>
          <w:rFonts w:hint="eastAsia" w:ascii="仿宋" w:hAnsi="仿宋" w:eastAsia="仿宋" w:cs="仿宋"/>
          <w:color w:val="000000"/>
          <w:kern w:val="0"/>
          <w:sz w:val="32"/>
          <w:szCs w:val="32"/>
          <w:highlight w:val="none"/>
          <w:lang w:val="en-US" w:eastAsia="zh-CN" w:bidi="ar"/>
        </w:rPr>
        <w:t>8</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的单位有1个，为2018年末</w:t>
      </w:r>
      <w:r>
        <w:rPr>
          <w:rFonts w:hint="eastAsia" w:ascii="仿宋" w:hAnsi="仿宋" w:eastAsia="仿宋" w:cs="仿宋"/>
          <w:color w:val="auto"/>
          <w:sz w:val="32"/>
          <w:szCs w:val="32"/>
          <w:highlight w:val="none"/>
        </w:rPr>
        <w:t>行政编制</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人，事业编制</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年末机构实有人数</w:t>
      </w:r>
      <w:r>
        <w:rPr>
          <w:rFonts w:hint="eastAsia" w:ascii="仿宋" w:hAnsi="仿宋" w:eastAsia="仿宋" w:cs="仿宋"/>
          <w:color w:val="auto"/>
          <w:sz w:val="32"/>
          <w:szCs w:val="32"/>
          <w:highlight w:val="none"/>
          <w:lang w:val="en-US" w:eastAsia="zh-CN"/>
        </w:rPr>
        <w:t>12人，其中：</w:t>
      </w:r>
      <w:r>
        <w:rPr>
          <w:rFonts w:hint="eastAsia" w:ascii="仿宋" w:hAnsi="仿宋" w:eastAsia="仿宋" w:cs="仿宋"/>
          <w:color w:val="auto"/>
          <w:sz w:val="32"/>
          <w:szCs w:val="32"/>
          <w:highlight w:val="none"/>
        </w:rPr>
        <w:t>在职人</w:t>
      </w:r>
      <w:r>
        <w:rPr>
          <w:rFonts w:hint="eastAsia" w:ascii="仿宋" w:hAnsi="仿宋" w:eastAsia="仿宋" w:cs="仿宋"/>
          <w:color w:val="auto"/>
          <w:sz w:val="32"/>
          <w:szCs w:val="32"/>
          <w:highlight w:val="none"/>
          <w:lang w:eastAsia="zh-CN"/>
        </w:rPr>
        <w:t>员</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，退休人员</w:t>
      </w:r>
      <w:r>
        <w:rPr>
          <w:rFonts w:hint="eastAsia" w:ascii="仿宋" w:hAnsi="仿宋" w:eastAsia="仿宋" w:cs="仿宋"/>
          <w:color w:val="auto"/>
          <w:sz w:val="32"/>
          <w:szCs w:val="32"/>
          <w:highlight w:val="none"/>
          <w:lang w:val="en-US" w:eastAsia="zh-CN"/>
        </w:rPr>
        <w:t>11人。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616万元，其中：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308</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用事业基金弥补收支差额</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年初结转和结余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308</w:t>
      </w:r>
      <w:r>
        <w:rPr>
          <w:rFonts w:hint="eastAsia" w:ascii="仿宋" w:hAnsi="仿宋" w:eastAsia="仿宋" w:cs="仿宋"/>
          <w:kern w:val="0"/>
          <w:sz w:val="32"/>
          <w:szCs w:val="32"/>
          <w:highlight w:val="none"/>
          <w:u w:val="none"/>
        </w:rPr>
        <w:t>万元；结余分配</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万元，年末结转和结余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均增加</w:t>
      </w:r>
      <w:r>
        <w:rPr>
          <w:rFonts w:hint="eastAsia" w:ascii="仿宋" w:hAnsi="仿宋" w:eastAsia="仿宋" w:cs="仿宋"/>
          <w:sz w:val="32"/>
          <w:szCs w:val="32"/>
          <w:highlight w:val="none"/>
          <w:lang w:val="en-US" w:eastAsia="zh-CN"/>
        </w:rPr>
        <w:t>52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9.22%</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统计</w:t>
      </w:r>
      <w:r>
        <w:rPr>
          <w:rFonts w:hint="eastAsia" w:ascii="仿宋" w:hAnsi="仿宋" w:eastAsia="仿宋" w:cs="仿宋"/>
          <w:sz w:val="32"/>
          <w:szCs w:val="32"/>
        </w:rPr>
        <w:t>局人员工资增长及社会保障就业、医疗卫生与计划生育、住房</w:t>
      </w:r>
      <w:r>
        <w:rPr>
          <w:rFonts w:hint="eastAsia" w:ascii="仿宋" w:hAnsi="仿宋" w:eastAsia="仿宋" w:cs="仿宋"/>
          <w:sz w:val="32"/>
          <w:szCs w:val="32"/>
          <w:lang w:eastAsia="zh-CN"/>
        </w:rPr>
        <w:t>提租补贴</w:t>
      </w:r>
      <w:r>
        <w:rPr>
          <w:rFonts w:hint="eastAsia" w:ascii="仿宋" w:hAnsi="仿宋" w:eastAsia="仿宋" w:cs="仿宋"/>
          <w:sz w:val="32"/>
          <w:szCs w:val="32"/>
        </w:rPr>
        <w:t>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2018年开展第四次全国经济普查</w:t>
      </w:r>
      <w:r>
        <w:rPr>
          <w:rFonts w:hint="eastAsia" w:ascii="仿宋" w:hAnsi="仿宋" w:eastAsia="仿宋" w:cs="仿宋"/>
          <w:sz w:val="32"/>
          <w:szCs w:val="32"/>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highlight w:val="none"/>
        </w:rPr>
        <w:t>本年收入合计</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26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9.22</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统计</w:t>
      </w:r>
      <w:r>
        <w:rPr>
          <w:rFonts w:hint="eastAsia" w:ascii="仿宋" w:hAnsi="仿宋" w:eastAsia="仿宋" w:cs="仿宋"/>
          <w:sz w:val="32"/>
          <w:szCs w:val="32"/>
        </w:rPr>
        <w:t>局人员工资增长及社会保障就业、医疗卫生与计划生育、住房</w:t>
      </w:r>
      <w:r>
        <w:rPr>
          <w:rFonts w:hint="eastAsia" w:ascii="仿宋" w:hAnsi="仿宋" w:eastAsia="仿宋" w:cs="仿宋"/>
          <w:sz w:val="32"/>
          <w:szCs w:val="32"/>
          <w:lang w:eastAsia="zh-CN"/>
        </w:rPr>
        <w:t>提租补贴</w:t>
      </w:r>
      <w:r>
        <w:rPr>
          <w:rFonts w:hint="eastAsia" w:ascii="仿宋" w:hAnsi="仿宋" w:eastAsia="仿宋" w:cs="仿宋"/>
          <w:sz w:val="32"/>
          <w:szCs w:val="32"/>
        </w:rPr>
        <w:t>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2018年开展第四次全国经济普查</w:t>
      </w:r>
      <w:r>
        <w:rPr>
          <w:rFonts w:hint="eastAsia" w:ascii="仿宋" w:hAnsi="仿宋" w:eastAsia="仿宋" w:cs="仿宋"/>
          <w:sz w:val="32"/>
          <w:szCs w:val="32"/>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年支出合计</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26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9.22</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统计</w:t>
      </w:r>
      <w:r>
        <w:rPr>
          <w:rFonts w:hint="eastAsia" w:ascii="仿宋" w:hAnsi="仿宋" w:eastAsia="仿宋" w:cs="仿宋"/>
          <w:sz w:val="32"/>
          <w:szCs w:val="32"/>
        </w:rPr>
        <w:t>局人员工资增长及社会保障就业、医疗卫生与计划生育、住房</w:t>
      </w:r>
      <w:r>
        <w:rPr>
          <w:rFonts w:hint="eastAsia" w:ascii="仿宋" w:hAnsi="仿宋" w:eastAsia="仿宋" w:cs="仿宋"/>
          <w:sz w:val="32"/>
          <w:szCs w:val="32"/>
          <w:lang w:eastAsia="zh-CN"/>
        </w:rPr>
        <w:t>提租补贴</w:t>
      </w:r>
      <w:r>
        <w:rPr>
          <w:rFonts w:hint="eastAsia" w:ascii="仿宋" w:hAnsi="仿宋" w:eastAsia="仿宋" w:cs="仿宋"/>
          <w:sz w:val="32"/>
          <w:szCs w:val="32"/>
        </w:rPr>
        <w:t>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2018年开展第四次全国经济普查</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278</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90.26</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9.74</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 财政拨款收入支出决算总体情况说明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616</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增加</w:t>
      </w:r>
      <w:r>
        <w:rPr>
          <w:rFonts w:hint="eastAsia" w:ascii="仿宋" w:hAnsi="仿宋" w:eastAsia="仿宋" w:cs="仿宋"/>
          <w:color w:val="auto"/>
          <w:sz w:val="32"/>
          <w:szCs w:val="32"/>
          <w:highlight w:val="none"/>
          <w:lang w:val="en-US" w:eastAsia="zh-CN"/>
        </w:rPr>
        <w:t>52</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增长</w:t>
      </w:r>
      <w:r>
        <w:rPr>
          <w:rFonts w:hint="eastAsia" w:ascii="仿宋" w:hAnsi="仿宋" w:eastAsia="仿宋" w:cs="仿宋"/>
          <w:color w:val="auto"/>
          <w:sz w:val="32"/>
          <w:szCs w:val="32"/>
          <w:highlight w:val="none"/>
          <w:lang w:val="en-US" w:eastAsia="zh-CN"/>
        </w:rPr>
        <w:t>9.22</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eastAsia="zh-CN"/>
        </w:rPr>
        <w:t>统计</w:t>
      </w:r>
      <w:r>
        <w:rPr>
          <w:rFonts w:hint="eastAsia" w:ascii="仿宋" w:hAnsi="仿宋" w:eastAsia="仿宋" w:cs="仿宋"/>
          <w:sz w:val="32"/>
          <w:szCs w:val="32"/>
        </w:rPr>
        <w:t>局人员工资增长及社会保障就业、医疗卫生与计划生育、住房</w:t>
      </w:r>
      <w:r>
        <w:rPr>
          <w:rFonts w:hint="eastAsia" w:ascii="仿宋" w:hAnsi="仿宋" w:eastAsia="仿宋" w:cs="仿宋"/>
          <w:sz w:val="32"/>
          <w:szCs w:val="32"/>
          <w:lang w:eastAsia="zh-CN"/>
        </w:rPr>
        <w:t>提租补贴</w:t>
      </w:r>
      <w:r>
        <w:rPr>
          <w:rFonts w:hint="eastAsia" w:ascii="仿宋" w:hAnsi="仿宋" w:eastAsia="仿宋" w:cs="仿宋"/>
          <w:sz w:val="32"/>
          <w:szCs w:val="32"/>
        </w:rPr>
        <w:t>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2018年开展第四次全国经济普查</w:t>
      </w:r>
      <w:r>
        <w:rPr>
          <w:rFonts w:hint="eastAsia" w:ascii="仿宋" w:hAnsi="仿宋" w:eastAsia="仿宋" w:cs="仿宋"/>
          <w:sz w:val="32"/>
          <w:szCs w:val="32"/>
        </w:rPr>
        <w:t>。</w:t>
      </w:r>
    </w:p>
    <w:p>
      <w:pPr>
        <w:widowControl/>
        <w:spacing w:line="360" w:lineRule="auto"/>
        <w:ind w:firstLine="640" w:firstLineChars="200"/>
        <w:rPr>
          <w:rFonts w:hint="eastAsia" w:ascii="仿宋" w:hAnsi="仿宋" w:eastAsia="仿宋" w:cs="仿宋"/>
          <w:sz w:val="32"/>
          <w:szCs w:val="32"/>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26万元，</w:t>
      </w:r>
      <w:r>
        <w:rPr>
          <w:rFonts w:hint="eastAsia" w:ascii="仿宋" w:hAnsi="仿宋" w:eastAsia="仿宋" w:cs="仿宋"/>
          <w:sz w:val="32"/>
          <w:szCs w:val="32"/>
          <w:highlight w:val="none"/>
          <w:lang w:eastAsia="zh-CN"/>
        </w:rPr>
        <w:t>增长</w:t>
      </w:r>
      <w:r>
        <w:rPr>
          <w:rFonts w:hint="eastAsia" w:ascii="仿宋" w:hAnsi="仿宋" w:eastAsia="仿宋" w:cs="仿宋"/>
          <w:sz w:val="32"/>
          <w:szCs w:val="32"/>
          <w:highlight w:val="none"/>
          <w:lang w:val="en-US" w:eastAsia="zh-CN"/>
        </w:rPr>
        <w:t>9.22</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主要原因统计</w:t>
      </w:r>
      <w:r>
        <w:rPr>
          <w:rFonts w:hint="eastAsia" w:ascii="仿宋" w:hAnsi="仿宋" w:eastAsia="仿宋" w:cs="仿宋"/>
          <w:sz w:val="32"/>
          <w:szCs w:val="32"/>
        </w:rPr>
        <w:t>局人员工资增长及社会保障就业、医疗卫生与计划生育、住房</w:t>
      </w:r>
      <w:r>
        <w:rPr>
          <w:rFonts w:hint="eastAsia" w:ascii="仿宋" w:hAnsi="仿宋" w:eastAsia="仿宋" w:cs="仿宋"/>
          <w:sz w:val="32"/>
          <w:szCs w:val="32"/>
          <w:lang w:eastAsia="zh-CN"/>
        </w:rPr>
        <w:t>提租补贴</w:t>
      </w:r>
      <w:r>
        <w:rPr>
          <w:rFonts w:hint="eastAsia" w:ascii="仿宋" w:hAnsi="仿宋" w:eastAsia="仿宋" w:cs="仿宋"/>
          <w:sz w:val="32"/>
          <w:szCs w:val="32"/>
        </w:rPr>
        <w:t>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2018年开展第四次全国经济普查</w:t>
      </w:r>
      <w:r>
        <w:rPr>
          <w:rFonts w:hint="eastAsia" w:ascii="仿宋" w:hAnsi="仿宋" w:eastAsia="仿宋" w:cs="仿宋"/>
          <w:sz w:val="32"/>
          <w:szCs w:val="32"/>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191</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62.01</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56</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18.18%；</w:t>
      </w:r>
      <w:r>
        <w:rPr>
          <w:rFonts w:hint="eastAsia" w:ascii="仿宋" w:hAnsi="仿宋" w:eastAsia="仿宋" w:cs="仿宋"/>
          <w:sz w:val="32"/>
          <w:szCs w:val="32"/>
          <w:highlight w:val="none"/>
        </w:rPr>
        <w:t>农林水支出（类）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；资源勘探信息等支出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48</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15.59</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；医疗卫生与计划生育支出</w:t>
      </w:r>
      <w:r>
        <w:rPr>
          <w:rFonts w:hint="eastAsia" w:ascii="仿宋" w:hAnsi="仿宋" w:eastAsia="仿宋" w:cs="仿宋"/>
          <w:sz w:val="32"/>
          <w:szCs w:val="32"/>
          <w:highlight w:val="none"/>
          <w:lang w:val="en-US" w:eastAsia="zh-CN"/>
        </w:rPr>
        <w:t>13万元，占4.22%。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211</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308</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145.97%</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w:t>
      </w:r>
      <w:r>
        <w:rPr>
          <w:rFonts w:hint="eastAsia" w:ascii="仿宋" w:hAnsi="仿宋" w:eastAsia="仿宋" w:cs="仿宋"/>
          <w:sz w:val="32"/>
          <w:szCs w:val="32"/>
          <w:highlight w:val="none"/>
          <w:lang w:val="en-US" w:eastAsia="zh-CN"/>
        </w:rPr>
        <w:t>211</w:t>
      </w:r>
      <w:r>
        <w:rPr>
          <w:rFonts w:hint="eastAsia" w:ascii="仿宋" w:hAnsi="仿宋" w:eastAsia="仿宋" w:cs="仿宋"/>
          <w:sz w:val="32"/>
          <w:szCs w:val="32"/>
          <w:highlight w:val="none"/>
        </w:rPr>
        <w:t>为万元，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308万元，完成年初预算的145.97%</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val="en-US" w:eastAsia="zh-CN"/>
        </w:rPr>
        <w:t>2018年开展第四次全国经济普查。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一般行政管理事务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w:t>
      </w:r>
      <w:r>
        <w:rPr>
          <w:rFonts w:hint="eastAsia" w:ascii="仿宋" w:hAnsi="仿宋" w:eastAsia="仿宋" w:cs="仿宋"/>
          <w:sz w:val="32"/>
          <w:szCs w:val="32"/>
          <w:highlight w:val="none"/>
          <w:lang w:eastAsia="zh-CN"/>
        </w:rPr>
        <w:t>是预算执行调整预算。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66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56万元，完成年初预算的84.85%</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6、农林水支出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农村综合改革</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对村级一事一议的补助</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预算执行期间新增项目支出。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7、资源勘探信息等支出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国有资产监管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预算执行期间保障资产监管工作顺利进行追加资金。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8、住房保障支出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48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48万元，完成年初预算的100%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211</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w:t>
      </w:r>
      <w:r>
        <w:rPr>
          <w:rFonts w:hint="eastAsia" w:ascii="仿宋" w:hAnsi="仿宋" w:eastAsia="仿宋" w:cs="仿宋"/>
          <w:sz w:val="32"/>
          <w:szCs w:val="32"/>
          <w:highlight w:val="none"/>
          <w:lang w:val="en-US" w:eastAsia="zh-CN"/>
        </w:rPr>
        <w:t>180</w:t>
      </w:r>
      <w:r>
        <w:rPr>
          <w:rFonts w:hint="eastAsia" w:ascii="仿宋" w:hAnsi="仿宋" w:eastAsia="仿宋" w:cs="仿宋"/>
          <w:sz w:val="32"/>
          <w:szCs w:val="32"/>
          <w:highlight w:val="none"/>
        </w:rPr>
        <w:t>经费万元，主要包括：基本工资、津贴补贴、奖金、伙食补助费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31</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sz w:val="32"/>
          <w:szCs w:val="32"/>
        </w:rPr>
        <w:t>2018年度无三公经费支出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333333"/>
          <w:kern w:val="0"/>
          <w:sz w:val="32"/>
          <w:szCs w:val="32"/>
          <w:highlight w:val="yellow"/>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rPr>
        <w:t>2018年度无三公经费支出</w:t>
      </w:r>
      <w:r>
        <w:rPr>
          <w:rFonts w:hint="eastAsia" w:ascii="仿宋" w:hAnsi="仿宋" w:eastAsia="仿宋" w:cs="仿宋"/>
          <w:color w:val="333333"/>
          <w:kern w:val="0"/>
          <w:sz w:val="32"/>
          <w:szCs w:val="32"/>
        </w:rPr>
        <w:t>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960" w:firstLineChars="3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2018年度无政府性基金预算财政拨款收入支出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rPr>
      </w:pP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2018年度没有0万元以上项目、政府购买公共服务项目和市级以上专项，故没有开展绩效评价工作。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lang w:eastAsia="zh-CN"/>
        </w:rPr>
        <w:t>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较年初预算减少</w:t>
      </w:r>
      <w:r>
        <w:rPr>
          <w:rFonts w:hint="eastAsia" w:ascii="仿宋" w:hAnsi="仿宋" w:eastAsia="仿宋" w:cs="仿宋"/>
          <w:sz w:val="32"/>
          <w:szCs w:val="32"/>
          <w:highlight w:val="none"/>
          <w:lang w:val="en-US" w:eastAsia="zh-CN"/>
        </w:rPr>
        <w:t>0万元，同比下降0%，</w:t>
      </w:r>
      <w:r>
        <w:rPr>
          <w:rFonts w:hint="eastAsia" w:ascii="仿宋" w:hAnsi="仿宋" w:eastAsia="仿宋" w:cs="仿宋"/>
          <w:sz w:val="32"/>
          <w:szCs w:val="32"/>
          <w:highlight w:val="none"/>
        </w:rPr>
        <w:t>主要原因是：压缩公用经费支出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本部门政府采购支出总额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万元，其中：政府采购货物支出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万元、政府采购工程支出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万元、政府采购服务支出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万元。授予中小企业合同金额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其中：授予小微企业合同金额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辆，其中</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副部（省）级及以上领导用车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辆、主要领导干部用车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辆、机要通信用车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应急保障用车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辆、特种专业技术用车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、离退休干部用车</w:t>
      </w:r>
      <w:r>
        <w:rPr>
          <w:rFonts w:hint="eastAsia" w:ascii="仿宋" w:hAnsi="仿宋" w:eastAsia="仿宋" w:cs="仿宋"/>
          <w:sz w:val="32"/>
          <w:szCs w:val="32"/>
          <w:highlight w:val="none"/>
          <w:lang w:val="en-US" w:eastAsia="zh-CN"/>
        </w:rPr>
        <w:t>0辆，</w:t>
      </w:r>
      <w:r>
        <w:rPr>
          <w:rFonts w:hint="eastAsia" w:ascii="仿宋" w:hAnsi="仿宋" w:eastAsia="仿宋" w:cs="仿宋"/>
          <w:sz w:val="32"/>
          <w:szCs w:val="32"/>
          <w:highlight w:val="none"/>
        </w:rPr>
        <w:t>其他用车</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（待报废无实物）。</w:t>
      </w:r>
      <w:r>
        <w:rPr>
          <w:rFonts w:hint="eastAsia" w:ascii="仿宋" w:hAnsi="仿宋" w:eastAsia="仿宋" w:cs="仿宋"/>
          <w:sz w:val="32"/>
          <w:szCs w:val="32"/>
          <w:highlight w:val="none"/>
        </w:rPr>
        <w:t>单价</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万元以上通用设备</w:t>
      </w:r>
      <w:r>
        <w:rPr>
          <w:rFonts w:hint="eastAsia" w:ascii="仿宋" w:hAnsi="仿宋" w:eastAsia="仿宋" w:cs="仿宋"/>
          <w:sz w:val="32"/>
          <w:szCs w:val="32"/>
          <w:highlight w:val="none"/>
          <w:lang w:val="en-US" w:eastAsia="zh-CN"/>
        </w:rPr>
        <w:t>0台</w:t>
      </w:r>
      <w:r>
        <w:rPr>
          <w:rFonts w:hint="eastAsia" w:ascii="仿宋" w:hAnsi="仿宋" w:eastAsia="仿宋" w:cs="仿宋"/>
          <w:sz w:val="32"/>
          <w:szCs w:val="32"/>
          <w:highlight w:val="none"/>
        </w:rPr>
        <w:t>(套)，单价</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万元以上专用设备</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3213" w:firstLineChars="1000"/>
        <w:jc w:val="both"/>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3213" w:firstLineChars="1000"/>
        <w:jc w:val="both"/>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eastAsia="zh-CN"/>
        </w:rPr>
        <w:t>安</w:t>
      </w:r>
      <w:r>
        <w:rPr>
          <w:rFonts w:hint="eastAsia" w:ascii="仿宋" w:hAnsi="仿宋" w:eastAsia="仿宋" w:cs="仿宋"/>
          <w:bCs/>
          <w:color w:val="111111"/>
          <w:kern w:val="0"/>
          <w:sz w:val="32"/>
          <w:szCs w:val="32"/>
          <w:highlight w:val="none"/>
        </w:rPr>
        <w:t>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kern w:val="0"/>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A5272A"/>
    <w:multiLevelType w:val="singleLevel"/>
    <w:tmpl w:val="5DA5272A"/>
    <w:lvl w:ilvl="0" w:tentative="0">
      <w:start w:val="3"/>
      <w:numFmt w:val="chineseCounting"/>
      <w:suff w:val="nothing"/>
      <w:lvlText w:val="%1、"/>
      <w:lvlJc w:val="left"/>
    </w:lvl>
  </w:abstractNum>
  <w:abstractNum w:abstractNumId="4">
    <w:nsid w:val="5DA52893"/>
    <w:multiLevelType w:val="singleLevel"/>
    <w:tmpl w:val="5DA52893"/>
    <w:lvl w:ilvl="0" w:tentative="0">
      <w:start w:val="1"/>
      <w:numFmt w:val="chineseCounting"/>
      <w:suff w:val="nothing"/>
      <w:lvlText w:val="%1、"/>
      <w:lvlJc w:val="left"/>
    </w:lvl>
  </w:abstractNum>
  <w:abstractNum w:abstractNumId="5">
    <w:nsid w:val="5DA56D1B"/>
    <w:multiLevelType w:val="singleLevel"/>
    <w:tmpl w:val="5DA56D1B"/>
    <w:lvl w:ilvl="0" w:tentative="0">
      <w:start w:val="8"/>
      <w:numFmt w:val="chineseCounting"/>
      <w:suff w:val="nothing"/>
      <w:lvlText w:val="%1、"/>
      <w:lvlJc w:val="left"/>
    </w:lvl>
  </w:abstractNum>
  <w:abstractNum w:abstractNumId="6">
    <w:nsid w:val="5DA7DF92"/>
    <w:multiLevelType w:val="singleLevel"/>
    <w:tmpl w:val="5DA7DF92"/>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MjBkZTQyMzg3OGRiOTViMTQxNWQxMWE2ZjJjZGUifQ=="/>
  </w:docVars>
  <w:rsids>
    <w:rsidRoot w:val="141522A4"/>
    <w:rsid w:val="004D28BB"/>
    <w:rsid w:val="008557E7"/>
    <w:rsid w:val="01044E63"/>
    <w:rsid w:val="011D510D"/>
    <w:rsid w:val="01511C7C"/>
    <w:rsid w:val="01C0539E"/>
    <w:rsid w:val="01DC250A"/>
    <w:rsid w:val="02056C4D"/>
    <w:rsid w:val="023F13DB"/>
    <w:rsid w:val="026066D5"/>
    <w:rsid w:val="029224CF"/>
    <w:rsid w:val="032D5CC6"/>
    <w:rsid w:val="03456C94"/>
    <w:rsid w:val="036A7041"/>
    <w:rsid w:val="0372233B"/>
    <w:rsid w:val="037D750B"/>
    <w:rsid w:val="039E7457"/>
    <w:rsid w:val="03CD392E"/>
    <w:rsid w:val="040868A7"/>
    <w:rsid w:val="04101647"/>
    <w:rsid w:val="0416336D"/>
    <w:rsid w:val="041B385A"/>
    <w:rsid w:val="042F3909"/>
    <w:rsid w:val="042F58C2"/>
    <w:rsid w:val="04326F0E"/>
    <w:rsid w:val="0457679C"/>
    <w:rsid w:val="04702114"/>
    <w:rsid w:val="049237F5"/>
    <w:rsid w:val="04AE395E"/>
    <w:rsid w:val="04DF25D8"/>
    <w:rsid w:val="04E91BD8"/>
    <w:rsid w:val="05207061"/>
    <w:rsid w:val="056C650A"/>
    <w:rsid w:val="058F3CD4"/>
    <w:rsid w:val="05C653E7"/>
    <w:rsid w:val="05E17687"/>
    <w:rsid w:val="061D3241"/>
    <w:rsid w:val="06265BAD"/>
    <w:rsid w:val="06744E79"/>
    <w:rsid w:val="06792F76"/>
    <w:rsid w:val="06AC0496"/>
    <w:rsid w:val="06BB50C7"/>
    <w:rsid w:val="06EE4F18"/>
    <w:rsid w:val="06F02147"/>
    <w:rsid w:val="071D132C"/>
    <w:rsid w:val="072041B7"/>
    <w:rsid w:val="07385F9C"/>
    <w:rsid w:val="07553B55"/>
    <w:rsid w:val="075B29A0"/>
    <w:rsid w:val="07874C92"/>
    <w:rsid w:val="07CE060B"/>
    <w:rsid w:val="083517CC"/>
    <w:rsid w:val="084670B2"/>
    <w:rsid w:val="08790AEC"/>
    <w:rsid w:val="08853B02"/>
    <w:rsid w:val="0894421E"/>
    <w:rsid w:val="08A3498B"/>
    <w:rsid w:val="08F04202"/>
    <w:rsid w:val="090E6D82"/>
    <w:rsid w:val="090E785C"/>
    <w:rsid w:val="092248D9"/>
    <w:rsid w:val="093B0FC9"/>
    <w:rsid w:val="09561265"/>
    <w:rsid w:val="098433E8"/>
    <w:rsid w:val="099C4029"/>
    <w:rsid w:val="09B50255"/>
    <w:rsid w:val="09E539AA"/>
    <w:rsid w:val="0A063A4C"/>
    <w:rsid w:val="0A11221C"/>
    <w:rsid w:val="0A1C50AB"/>
    <w:rsid w:val="0A220A86"/>
    <w:rsid w:val="0A4C3893"/>
    <w:rsid w:val="0A4E24EC"/>
    <w:rsid w:val="0ABC48D5"/>
    <w:rsid w:val="0ACA3F20"/>
    <w:rsid w:val="0AF05FF7"/>
    <w:rsid w:val="0B3324B9"/>
    <w:rsid w:val="0B65121C"/>
    <w:rsid w:val="0B8F1090"/>
    <w:rsid w:val="0BC654D1"/>
    <w:rsid w:val="0BE36569"/>
    <w:rsid w:val="0CA44101"/>
    <w:rsid w:val="0CD159E4"/>
    <w:rsid w:val="0D246A78"/>
    <w:rsid w:val="0D281D12"/>
    <w:rsid w:val="0D410992"/>
    <w:rsid w:val="0D5E7D65"/>
    <w:rsid w:val="0D6D6FBD"/>
    <w:rsid w:val="0D797BE4"/>
    <w:rsid w:val="0D9703DE"/>
    <w:rsid w:val="0E1A3CAC"/>
    <w:rsid w:val="0E754378"/>
    <w:rsid w:val="0E8B3E41"/>
    <w:rsid w:val="0EF5171D"/>
    <w:rsid w:val="0F160C7F"/>
    <w:rsid w:val="0FB26826"/>
    <w:rsid w:val="0FBE517E"/>
    <w:rsid w:val="0FD22294"/>
    <w:rsid w:val="0FD409F5"/>
    <w:rsid w:val="10625214"/>
    <w:rsid w:val="10655A3A"/>
    <w:rsid w:val="10B739FB"/>
    <w:rsid w:val="10BB71D7"/>
    <w:rsid w:val="111937AD"/>
    <w:rsid w:val="11613363"/>
    <w:rsid w:val="11DD5DDD"/>
    <w:rsid w:val="124A2012"/>
    <w:rsid w:val="12FC4315"/>
    <w:rsid w:val="1359710C"/>
    <w:rsid w:val="13AD67FB"/>
    <w:rsid w:val="13CB6044"/>
    <w:rsid w:val="13F15BAA"/>
    <w:rsid w:val="141522A4"/>
    <w:rsid w:val="14426A1D"/>
    <w:rsid w:val="145C1DAC"/>
    <w:rsid w:val="145E21B2"/>
    <w:rsid w:val="149D7C22"/>
    <w:rsid w:val="14C16853"/>
    <w:rsid w:val="14C94663"/>
    <w:rsid w:val="155E4279"/>
    <w:rsid w:val="15CE4E6C"/>
    <w:rsid w:val="15DD0D78"/>
    <w:rsid w:val="16292D38"/>
    <w:rsid w:val="164964BC"/>
    <w:rsid w:val="16BC76C9"/>
    <w:rsid w:val="16DF0E49"/>
    <w:rsid w:val="16EA1D4C"/>
    <w:rsid w:val="17063B8E"/>
    <w:rsid w:val="171130E1"/>
    <w:rsid w:val="171141FD"/>
    <w:rsid w:val="172931E0"/>
    <w:rsid w:val="17A60DC6"/>
    <w:rsid w:val="180D60E6"/>
    <w:rsid w:val="18417AE8"/>
    <w:rsid w:val="18D1043D"/>
    <w:rsid w:val="18F92BD2"/>
    <w:rsid w:val="19663C21"/>
    <w:rsid w:val="19722A55"/>
    <w:rsid w:val="19760C4E"/>
    <w:rsid w:val="19AC136C"/>
    <w:rsid w:val="19BB441C"/>
    <w:rsid w:val="19BF21BE"/>
    <w:rsid w:val="19E60FB1"/>
    <w:rsid w:val="1A2C2747"/>
    <w:rsid w:val="1A8E2AE4"/>
    <w:rsid w:val="1AFB35A7"/>
    <w:rsid w:val="1B0A0091"/>
    <w:rsid w:val="1B324E77"/>
    <w:rsid w:val="1B62795A"/>
    <w:rsid w:val="1B7541AC"/>
    <w:rsid w:val="1B7B640B"/>
    <w:rsid w:val="1BB90A3E"/>
    <w:rsid w:val="1BCA16D9"/>
    <w:rsid w:val="1C1E0652"/>
    <w:rsid w:val="1C2527A8"/>
    <w:rsid w:val="1C3521E8"/>
    <w:rsid w:val="1C4348DB"/>
    <w:rsid w:val="1C5D5371"/>
    <w:rsid w:val="1C9D78C6"/>
    <w:rsid w:val="1CD62CFB"/>
    <w:rsid w:val="1D1A6194"/>
    <w:rsid w:val="1D2247B2"/>
    <w:rsid w:val="1DC749F0"/>
    <w:rsid w:val="1DD71951"/>
    <w:rsid w:val="1DDE4228"/>
    <w:rsid w:val="1E3E4241"/>
    <w:rsid w:val="1E7E4DD1"/>
    <w:rsid w:val="1E9C7653"/>
    <w:rsid w:val="1ED4725A"/>
    <w:rsid w:val="1EE81910"/>
    <w:rsid w:val="1F096E9E"/>
    <w:rsid w:val="1F327ED4"/>
    <w:rsid w:val="1F69330F"/>
    <w:rsid w:val="207B638F"/>
    <w:rsid w:val="209730DE"/>
    <w:rsid w:val="209A1519"/>
    <w:rsid w:val="20A7189B"/>
    <w:rsid w:val="20DE39CC"/>
    <w:rsid w:val="20F53D62"/>
    <w:rsid w:val="20FB523E"/>
    <w:rsid w:val="212419F4"/>
    <w:rsid w:val="21585A77"/>
    <w:rsid w:val="2163786F"/>
    <w:rsid w:val="21965ECE"/>
    <w:rsid w:val="21B4059F"/>
    <w:rsid w:val="21CA6C0D"/>
    <w:rsid w:val="21DF0C9B"/>
    <w:rsid w:val="21F75E4E"/>
    <w:rsid w:val="222608DB"/>
    <w:rsid w:val="225125A5"/>
    <w:rsid w:val="225D7D9D"/>
    <w:rsid w:val="22897FD1"/>
    <w:rsid w:val="229E246E"/>
    <w:rsid w:val="22B54AA2"/>
    <w:rsid w:val="23040EA3"/>
    <w:rsid w:val="234D0F55"/>
    <w:rsid w:val="23A0650F"/>
    <w:rsid w:val="23A075CE"/>
    <w:rsid w:val="23B52CF9"/>
    <w:rsid w:val="23C62C14"/>
    <w:rsid w:val="23EB4166"/>
    <w:rsid w:val="241C6F4C"/>
    <w:rsid w:val="242F60D1"/>
    <w:rsid w:val="243B6E0E"/>
    <w:rsid w:val="24544734"/>
    <w:rsid w:val="246F00D9"/>
    <w:rsid w:val="249A1586"/>
    <w:rsid w:val="24A56CC0"/>
    <w:rsid w:val="25514874"/>
    <w:rsid w:val="258B1D72"/>
    <w:rsid w:val="25D0378A"/>
    <w:rsid w:val="25FA0DB4"/>
    <w:rsid w:val="26241031"/>
    <w:rsid w:val="262D370B"/>
    <w:rsid w:val="26B10EFE"/>
    <w:rsid w:val="26FD507A"/>
    <w:rsid w:val="270D0C46"/>
    <w:rsid w:val="271A4781"/>
    <w:rsid w:val="277C33F5"/>
    <w:rsid w:val="27AA352E"/>
    <w:rsid w:val="28080359"/>
    <w:rsid w:val="28086BD9"/>
    <w:rsid w:val="28415CB2"/>
    <w:rsid w:val="28475DF4"/>
    <w:rsid w:val="284819BC"/>
    <w:rsid w:val="285C7260"/>
    <w:rsid w:val="29062BF7"/>
    <w:rsid w:val="293B5244"/>
    <w:rsid w:val="296524ED"/>
    <w:rsid w:val="29723CE9"/>
    <w:rsid w:val="299F0349"/>
    <w:rsid w:val="2A2D5044"/>
    <w:rsid w:val="2A675CA6"/>
    <w:rsid w:val="2ADA358D"/>
    <w:rsid w:val="2B2D1149"/>
    <w:rsid w:val="2B2F54A0"/>
    <w:rsid w:val="2BD33C97"/>
    <w:rsid w:val="2C2439A5"/>
    <w:rsid w:val="2C5A74AF"/>
    <w:rsid w:val="2CB63353"/>
    <w:rsid w:val="2D527784"/>
    <w:rsid w:val="2D8B3C93"/>
    <w:rsid w:val="2D9B40AD"/>
    <w:rsid w:val="2D9E6B97"/>
    <w:rsid w:val="2E3A4505"/>
    <w:rsid w:val="2EA672F5"/>
    <w:rsid w:val="2EC910CD"/>
    <w:rsid w:val="2F494622"/>
    <w:rsid w:val="2F574F68"/>
    <w:rsid w:val="2F650761"/>
    <w:rsid w:val="2FA56B72"/>
    <w:rsid w:val="2FA8566D"/>
    <w:rsid w:val="2FF44D1F"/>
    <w:rsid w:val="301E1A57"/>
    <w:rsid w:val="305A001C"/>
    <w:rsid w:val="30D01C13"/>
    <w:rsid w:val="30DF233C"/>
    <w:rsid w:val="311347FA"/>
    <w:rsid w:val="312D1038"/>
    <w:rsid w:val="31431466"/>
    <w:rsid w:val="31840158"/>
    <w:rsid w:val="31B12627"/>
    <w:rsid w:val="31B14F25"/>
    <w:rsid w:val="32117BFA"/>
    <w:rsid w:val="32483823"/>
    <w:rsid w:val="338B2C59"/>
    <w:rsid w:val="33A52EDF"/>
    <w:rsid w:val="33B00D4E"/>
    <w:rsid w:val="33B30709"/>
    <w:rsid w:val="33D52F52"/>
    <w:rsid w:val="342D1FD0"/>
    <w:rsid w:val="347F1DF5"/>
    <w:rsid w:val="348148BB"/>
    <w:rsid w:val="349E4F95"/>
    <w:rsid w:val="34B35F11"/>
    <w:rsid w:val="34B65C2B"/>
    <w:rsid w:val="34CD1DCC"/>
    <w:rsid w:val="353D309D"/>
    <w:rsid w:val="354B0485"/>
    <w:rsid w:val="359D1E5E"/>
    <w:rsid w:val="35A27AEB"/>
    <w:rsid w:val="35B803AB"/>
    <w:rsid w:val="35D376B6"/>
    <w:rsid w:val="363D1DEA"/>
    <w:rsid w:val="367348CF"/>
    <w:rsid w:val="367B5CE4"/>
    <w:rsid w:val="36864B31"/>
    <w:rsid w:val="36A976DC"/>
    <w:rsid w:val="36B46223"/>
    <w:rsid w:val="36CE2C7D"/>
    <w:rsid w:val="36DD41C9"/>
    <w:rsid w:val="36EB5486"/>
    <w:rsid w:val="371668A7"/>
    <w:rsid w:val="376B06D5"/>
    <w:rsid w:val="37AF46C9"/>
    <w:rsid w:val="37DD3D7B"/>
    <w:rsid w:val="37EC272F"/>
    <w:rsid w:val="380E2783"/>
    <w:rsid w:val="38313EFA"/>
    <w:rsid w:val="38752F2B"/>
    <w:rsid w:val="38A67532"/>
    <w:rsid w:val="38B91545"/>
    <w:rsid w:val="39322F72"/>
    <w:rsid w:val="3942192D"/>
    <w:rsid w:val="395039EC"/>
    <w:rsid w:val="397015C0"/>
    <w:rsid w:val="39AA7758"/>
    <w:rsid w:val="39C905DA"/>
    <w:rsid w:val="39D034E0"/>
    <w:rsid w:val="3A1671FA"/>
    <w:rsid w:val="3A7817E8"/>
    <w:rsid w:val="3AB95209"/>
    <w:rsid w:val="3B560162"/>
    <w:rsid w:val="3B6067D0"/>
    <w:rsid w:val="3B786C9E"/>
    <w:rsid w:val="3BA11395"/>
    <w:rsid w:val="3BC538EE"/>
    <w:rsid w:val="3BDC189F"/>
    <w:rsid w:val="3BED1019"/>
    <w:rsid w:val="3BF279FF"/>
    <w:rsid w:val="3C56526F"/>
    <w:rsid w:val="3C7D6166"/>
    <w:rsid w:val="3CAC750F"/>
    <w:rsid w:val="3CB6492A"/>
    <w:rsid w:val="3CC101FD"/>
    <w:rsid w:val="3CD320A6"/>
    <w:rsid w:val="3D0E0C91"/>
    <w:rsid w:val="3D1D5B1A"/>
    <w:rsid w:val="3D481185"/>
    <w:rsid w:val="3D4B23FF"/>
    <w:rsid w:val="3D674352"/>
    <w:rsid w:val="3D733F4A"/>
    <w:rsid w:val="3D9A41C5"/>
    <w:rsid w:val="3DA26F8E"/>
    <w:rsid w:val="3DC2625E"/>
    <w:rsid w:val="3DCC19E5"/>
    <w:rsid w:val="3DED2837"/>
    <w:rsid w:val="3E0C4CB4"/>
    <w:rsid w:val="3E2A234E"/>
    <w:rsid w:val="3E2F7465"/>
    <w:rsid w:val="3E890E84"/>
    <w:rsid w:val="3EE61E0C"/>
    <w:rsid w:val="3EF617B7"/>
    <w:rsid w:val="3F1B0D68"/>
    <w:rsid w:val="3F4644D4"/>
    <w:rsid w:val="3F4C2951"/>
    <w:rsid w:val="3F900386"/>
    <w:rsid w:val="3FAF30EC"/>
    <w:rsid w:val="3FCF46D7"/>
    <w:rsid w:val="3FDC3CEB"/>
    <w:rsid w:val="40004AE5"/>
    <w:rsid w:val="400E6360"/>
    <w:rsid w:val="4049017B"/>
    <w:rsid w:val="40493C56"/>
    <w:rsid w:val="40520451"/>
    <w:rsid w:val="407B7A5F"/>
    <w:rsid w:val="40A02D28"/>
    <w:rsid w:val="40C60AA1"/>
    <w:rsid w:val="40E07D04"/>
    <w:rsid w:val="412068D8"/>
    <w:rsid w:val="41452265"/>
    <w:rsid w:val="419732B8"/>
    <w:rsid w:val="42112ADF"/>
    <w:rsid w:val="42845996"/>
    <w:rsid w:val="42BC6551"/>
    <w:rsid w:val="42BD15F0"/>
    <w:rsid w:val="42C0261B"/>
    <w:rsid w:val="43342B06"/>
    <w:rsid w:val="436918DA"/>
    <w:rsid w:val="441B131F"/>
    <w:rsid w:val="4435005F"/>
    <w:rsid w:val="44A550AA"/>
    <w:rsid w:val="44B266B1"/>
    <w:rsid w:val="44C3403E"/>
    <w:rsid w:val="45114AD5"/>
    <w:rsid w:val="45461C45"/>
    <w:rsid w:val="454D033D"/>
    <w:rsid w:val="454D1830"/>
    <w:rsid w:val="455C498F"/>
    <w:rsid w:val="456626DA"/>
    <w:rsid w:val="457E5F6B"/>
    <w:rsid w:val="45B74A95"/>
    <w:rsid w:val="45BB3CD1"/>
    <w:rsid w:val="46191D9E"/>
    <w:rsid w:val="46357CFF"/>
    <w:rsid w:val="469D50B4"/>
    <w:rsid w:val="469F2AFB"/>
    <w:rsid w:val="46AF2DCF"/>
    <w:rsid w:val="4752048D"/>
    <w:rsid w:val="47581DAA"/>
    <w:rsid w:val="47E7503F"/>
    <w:rsid w:val="480B68BA"/>
    <w:rsid w:val="481C5784"/>
    <w:rsid w:val="48493D12"/>
    <w:rsid w:val="48633EEA"/>
    <w:rsid w:val="48B2580F"/>
    <w:rsid w:val="48DF3835"/>
    <w:rsid w:val="48E37E88"/>
    <w:rsid w:val="490322BA"/>
    <w:rsid w:val="490A248A"/>
    <w:rsid w:val="493B4F8E"/>
    <w:rsid w:val="49F10D10"/>
    <w:rsid w:val="4A7F6176"/>
    <w:rsid w:val="4A87787B"/>
    <w:rsid w:val="4AC16302"/>
    <w:rsid w:val="4ACA1E61"/>
    <w:rsid w:val="4B22622A"/>
    <w:rsid w:val="4B292024"/>
    <w:rsid w:val="4B6F38E8"/>
    <w:rsid w:val="4BF91344"/>
    <w:rsid w:val="4C7A05DC"/>
    <w:rsid w:val="4CE65541"/>
    <w:rsid w:val="4CF32E11"/>
    <w:rsid w:val="4DFF3087"/>
    <w:rsid w:val="4E313CC3"/>
    <w:rsid w:val="4E837D65"/>
    <w:rsid w:val="4EB457CE"/>
    <w:rsid w:val="4ED624CF"/>
    <w:rsid w:val="4EFC0914"/>
    <w:rsid w:val="4F20273B"/>
    <w:rsid w:val="4F5D4E27"/>
    <w:rsid w:val="4FAB3CBC"/>
    <w:rsid w:val="4FCA66CF"/>
    <w:rsid w:val="4FCA7A0D"/>
    <w:rsid w:val="4FD608B3"/>
    <w:rsid w:val="4FD8218C"/>
    <w:rsid w:val="500C48EA"/>
    <w:rsid w:val="5034564A"/>
    <w:rsid w:val="504618A3"/>
    <w:rsid w:val="50A83D08"/>
    <w:rsid w:val="51077A2F"/>
    <w:rsid w:val="510E570E"/>
    <w:rsid w:val="510F5285"/>
    <w:rsid w:val="514F7C53"/>
    <w:rsid w:val="51663AB7"/>
    <w:rsid w:val="519D0D67"/>
    <w:rsid w:val="51AA608D"/>
    <w:rsid w:val="51BF06F5"/>
    <w:rsid w:val="521D3952"/>
    <w:rsid w:val="526410F9"/>
    <w:rsid w:val="5274122C"/>
    <w:rsid w:val="52983DB8"/>
    <w:rsid w:val="52DA4F90"/>
    <w:rsid w:val="52E61086"/>
    <w:rsid w:val="530A248E"/>
    <w:rsid w:val="532400E8"/>
    <w:rsid w:val="533456CD"/>
    <w:rsid w:val="53A73C91"/>
    <w:rsid w:val="53CC05DF"/>
    <w:rsid w:val="53DF1E0D"/>
    <w:rsid w:val="54061308"/>
    <w:rsid w:val="54361EC3"/>
    <w:rsid w:val="547218BE"/>
    <w:rsid w:val="54A81136"/>
    <w:rsid w:val="5533174C"/>
    <w:rsid w:val="55750B95"/>
    <w:rsid w:val="55FD2C9C"/>
    <w:rsid w:val="56AE6DA8"/>
    <w:rsid w:val="56BF45D7"/>
    <w:rsid w:val="57744A4E"/>
    <w:rsid w:val="57E32236"/>
    <w:rsid w:val="580341F8"/>
    <w:rsid w:val="58091D99"/>
    <w:rsid w:val="58AF2417"/>
    <w:rsid w:val="58B77229"/>
    <w:rsid w:val="595C25FA"/>
    <w:rsid w:val="59852A96"/>
    <w:rsid w:val="59857969"/>
    <w:rsid w:val="59EE4D8F"/>
    <w:rsid w:val="59F87D38"/>
    <w:rsid w:val="59F960DD"/>
    <w:rsid w:val="59FF7315"/>
    <w:rsid w:val="5A104050"/>
    <w:rsid w:val="5A2439BE"/>
    <w:rsid w:val="5A3E437B"/>
    <w:rsid w:val="5A693D23"/>
    <w:rsid w:val="5A6B5A90"/>
    <w:rsid w:val="5A91744E"/>
    <w:rsid w:val="5ABF2055"/>
    <w:rsid w:val="5ADE099A"/>
    <w:rsid w:val="5B3B7D5A"/>
    <w:rsid w:val="5B50022A"/>
    <w:rsid w:val="5BCE0191"/>
    <w:rsid w:val="5C110E1C"/>
    <w:rsid w:val="5C55632C"/>
    <w:rsid w:val="5C603064"/>
    <w:rsid w:val="5C69204C"/>
    <w:rsid w:val="5C7A28AC"/>
    <w:rsid w:val="5C8B113A"/>
    <w:rsid w:val="5CB30482"/>
    <w:rsid w:val="5CDC3175"/>
    <w:rsid w:val="5CF45061"/>
    <w:rsid w:val="5D594A7D"/>
    <w:rsid w:val="5D6B2104"/>
    <w:rsid w:val="5D9C411E"/>
    <w:rsid w:val="5DBA78EB"/>
    <w:rsid w:val="5DCE33C9"/>
    <w:rsid w:val="5E326634"/>
    <w:rsid w:val="5E4C0798"/>
    <w:rsid w:val="5E7E35AD"/>
    <w:rsid w:val="5EC53E9C"/>
    <w:rsid w:val="5ECE087A"/>
    <w:rsid w:val="5F070739"/>
    <w:rsid w:val="5F091DFC"/>
    <w:rsid w:val="5F3C4F00"/>
    <w:rsid w:val="5FF620D1"/>
    <w:rsid w:val="601310E5"/>
    <w:rsid w:val="601C7D6A"/>
    <w:rsid w:val="606B1DA7"/>
    <w:rsid w:val="606D372C"/>
    <w:rsid w:val="60A516C1"/>
    <w:rsid w:val="60B40505"/>
    <w:rsid w:val="60FB2217"/>
    <w:rsid w:val="612D4AD1"/>
    <w:rsid w:val="61916FE3"/>
    <w:rsid w:val="61BC32CB"/>
    <w:rsid w:val="62604F4D"/>
    <w:rsid w:val="62630CA1"/>
    <w:rsid w:val="626A0CEB"/>
    <w:rsid w:val="6273625F"/>
    <w:rsid w:val="62974C19"/>
    <w:rsid w:val="62FF022C"/>
    <w:rsid w:val="63144422"/>
    <w:rsid w:val="631B68BB"/>
    <w:rsid w:val="6327190D"/>
    <w:rsid w:val="632D286C"/>
    <w:rsid w:val="63331D19"/>
    <w:rsid w:val="63441D54"/>
    <w:rsid w:val="640006FF"/>
    <w:rsid w:val="64636829"/>
    <w:rsid w:val="646A196A"/>
    <w:rsid w:val="64996109"/>
    <w:rsid w:val="64D83620"/>
    <w:rsid w:val="64E35DF7"/>
    <w:rsid w:val="652B3A3F"/>
    <w:rsid w:val="65505D1E"/>
    <w:rsid w:val="657D0288"/>
    <w:rsid w:val="658855F7"/>
    <w:rsid w:val="65924E36"/>
    <w:rsid w:val="66180DDE"/>
    <w:rsid w:val="668D7F58"/>
    <w:rsid w:val="66A30172"/>
    <w:rsid w:val="66BB423A"/>
    <w:rsid w:val="670621E3"/>
    <w:rsid w:val="67181465"/>
    <w:rsid w:val="67482CC5"/>
    <w:rsid w:val="67517C69"/>
    <w:rsid w:val="67ED36C3"/>
    <w:rsid w:val="681A17A6"/>
    <w:rsid w:val="686D0D06"/>
    <w:rsid w:val="689913DD"/>
    <w:rsid w:val="68E328A1"/>
    <w:rsid w:val="69093FDB"/>
    <w:rsid w:val="6917546E"/>
    <w:rsid w:val="6931704D"/>
    <w:rsid w:val="693E7C70"/>
    <w:rsid w:val="696C29F9"/>
    <w:rsid w:val="69850C5D"/>
    <w:rsid w:val="69C7339C"/>
    <w:rsid w:val="69F1388F"/>
    <w:rsid w:val="69F37653"/>
    <w:rsid w:val="6A05571E"/>
    <w:rsid w:val="6A2565B6"/>
    <w:rsid w:val="6A584CFD"/>
    <w:rsid w:val="6AF65E53"/>
    <w:rsid w:val="6B0723C6"/>
    <w:rsid w:val="6B0A0C3B"/>
    <w:rsid w:val="6B4A2B57"/>
    <w:rsid w:val="6B4D66F6"/>
    <w:rsid w:val="6BB655F8"/>
    <w:rsid w:val="6BD702C2"/>
    <w:rsid w:val="6BE1116A"/>
    <w:rsid w:val="6BE60DD8"/>
    <w:rsid w:val="6C0C1489"/>
    <w:rsid w:val="6C4550E7"/>
    <w:rsid w:val="6C6B0C40"/>
    <w:rsid w:val="6C6F6CF3"/>
    <w:rsid w:val="6CA1218F"/>
    <w:rsid w:val="6D130E16"/>
    <w:rsid w:val="6D172075"/>
    <w:rsid w:val="6D373959"/>
    <w:rsid w:val="6D535020"/>
    <w:rsid w:val="6DA71E62"/>
    <w:rsid w:val="6E1C4982"/>
    <w:rsid w:val="6E253E16"/>
    <w:rsid w:val="6E617D58"/>
    <w:rsid w:val="6E873D36"/>
    <w:rsid w:val="6EB4012D"/>
    <w:rsid w:val="6EE3061B"/>
    <w:rsid w:val="6F21324B"/>
    <w:rsid w:val="6FB963DE"/>
    <w:rsid w:val="6FF40766"/>
    <w:rsid w:val="700A5E26"/>
    <w:rsid w:val="70310EB8"/>
    <w:rsid w:val="70A0253F"/>
    <w:rsid w:val="71202F49"/>
    <w:rsid w:val="71B7411E"/>
    <w:rsid w:val="71D37919"/>
    <w:rsid w:val="71ED7337"/>
    <w:rsid w:val="728E012E"/>
    <w:rsid w:val="72975C50"/>
    <w:rsid w:val="72DE3D50"/>
    <w:rsid w:val="72DE687B"/>
    <w:rsid w:val="7366480B"/>
    <w:rsid w:val="73945713"/>
    <w:rsid w:val="73D21A81"/>
    <w:rsid w:val="7439147C"/>
    <w:rsid w:val="743B1C78"/>
    <w:rsid w:val="74492A3A"/>
    <w:rsid w:val="755D0190"/>
    <w:rsid w:val="7569271E"/>
    <w:rsid w:val="75A01E32"/>
    <w:rsid w:val="75BE6124"/>
    <w:rsid w:val="75C475DB"/>
    <w:rsid w:val="75D93716"/>
    <w:rsid w:val="75E406CC"/>
    <w:rsid w:val="766D67DB"/>
    <w:rsid w:val="76A0397C"/>
    <w:rsid w:val="76B41149"/>
    <w:rsid w:val="770254C6"/>
    <w:rsid w:val="77502D65"/>
    <w:rsid w:val="77EC3589"/>
    <w:rsid w:val="77FD2102"/>
    <w:rsid w:val="78172818"/>
    <w:rsid w:val="790C2846"/>
    <w:rsid w:val="79256D0D"/>
    <w:rsid w:val="79645077"/>
    <w:rsid w:val="799A1446"/>
    <w:rsid w:val="7A1C6BEC"/>
    <w:rsid w:val="7A3A52C0"/>
    <w:rsid w:val="7A7B2A95"/>
    <w:rsid w:val="7AAF4AB5"/>
    <w:rsid w:val="7ACD5BED"/>
    <w:rsid w:val="7B39761D"/>
    <w:rsid w:val="7B483738"/>
    <w:rsid w:val="7B624BDA"/>
    <w:rsid w:val="7B8E130A"/>
    <w:rsid w:val="7B945860"/>
    <w:rsid w:val="7BD06401"/>
    <w:rsid w:val="7C47783B"/>
    <w:rsid w:val="7C545D0F"/>
    <w:rsid w:val="7C9B09F8"/>
    <w:rsid w:val="7D14690D"/>
    <w:rsid w:val="7D171358"/>
    <w:rsid w:val="7D2865F7"/>
    <w:rsid w:val="7D456302"/>
    <w:rsid w:val="7D5B6D22"/>
    <w:rsid w:val="7DC032B1"/>
    <w:rsid w:val="7E520CCB"/>
    <w:rsid w:val="7E860172"/>
    <w:rsid w:val="7EBD0C26"/>
    <w:rsid w:val="7EFE21F5"/>
    <w:rsid w:val="7F66107D"/>
    <w:rsid w:val="7FA5470C"/>
    <w:rsid w:val="7FB060C7"/>
    <w:rsid w:val="7FB35E0E"/>
    <w:rsid w:val="7FCB41A4"/>
    <w:rsid w:val="7FFC5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西红柿</cp:lastModifiedBy>
  <cp:lastPrinted>2019-10-16T09:09:00Z</cp:lastPrinted>
  <dcterms:modified xsi:type="dcterms:W3CDTF">2024-03-14T02:56:50Z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02A884783ECD44368E8CB577AA3FDC5C_13</vt:lpwstr>
  </property>
</Properties>
</file>