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仿宋" w:hAnsi="仿宋" w:eastAsia="仿宋" w:cs="仿宋"/>
          <w:b/>
          <w:bCs/>
          <w:sz w:val="44"/>
          <w:szCs w:val="44"/>
        </w:rPr>
      </w:pPr>
    </w:p>
    <w:p>
      <w:pPr>
        <w:spacing w:line="360" w:lineRule="auto"/>
        <w:jc w:val="center"/>
        <w:rPr>
          <w:rFonts w:ascii="仿宋" w:hAnsi="仿宋" w:eastAsia="仿宋" w:cs="仿宋"/>
          <w:b/>
          <w:bCs/>
          <w:sz w:val="52"/>
          <w:szCs w:val="52"/>
        </w:rPr>
      </w:pPr>
      <w:r>
        <w:rPr>
          <w:rFonts w:hint="eastAsia" w:ascii="仿宋" w:hAnsi="仿宋" w:eastAsia="仿宋" w:cs="仿宋"/>
          <w:b/>
          <w:bCs/>
          <w:sz w:val="44"/>
          <w:szCs w:val="44"/>
        </w:rPr>
        <w:t>中共饶河县委员会饶河县人民政府信访局2018年度部门决算信息及有关情况说明</w:t>
      </w:r>
    </w:p>
    <w:p>
      <w:pPr>
        <w:spacing w:line="360" w:lineRule="auto"/>
        <w:jc w:val="center"/>
        <w:rPr>
          <w:rFonts w:ascii="仿宋" w:hAnsi="仿宋" w:eastAsia="仿宋" w:cs="仿宋"/>
          <w:b/>
          <w:bCs/>
          <w:sz w:val="44"/>
          <w:szCs w:val="44"/>
        </w:rPr>
      </w:pPr>
    </w:p>
    <w:p>
      <w:pPr>
        <w:spacing w:line="360" w:lineRule="auto"/>
        <w:jc w:val="center"/>
        <w:rPr>
          <w:rFonts w:ascii="仿宋" w:hAnsi="仿宋" w:eastAsia="仿宋" w:cs="仿宋"/>
          <w:b/>
          <w:bCs/>
          <w:sz w:val="44"/>
          <w:szCs w:val="44"/>
        </w:rPr>
      </w:pPr>
      <w:r>
        <w:rPr>
          <w:rFonts w:hint="eastAsia" w:ascii="仿宋" w:hAnsi="仿宋" w:eastAsia="仿宋" w:cs="仿宋"/>
          <w:b/>
          <w:bCs/>
          <w:sz w:val="44"/>
          <w:szCs w:val="44"/>
        </w:rPr>
        <w:t>目录</w:t>
      </w:r>
    </w:p>
    <w:p>
      <w:pPr>
        <w:spacing w:line="360" w:lineRule="auto"/>
        <w:jc w:val="center"/>
        <w:rPr>
          <w:rFonts w:ascii="仿宋" w:hAnsi="仿宋" w:eastAsia="仿宋" w:cs="仿宋"/>
          <w:b/>
          <w:bCs/>
          <w:sz w:val="44"/>
          <w:szCs w:val="44"/>
        </w:rPr>
      </w:pPr>
    </w:p>
    <w:p>
      <w:pPr>
        <w:widowControl/>
        <w:spacing w:line="360" w:lineRule="auto"/>
        <w:jc w:val="center"/>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第一部分单位基本情况</w:t>
      </w:r>
    </w:p>
    <w:p>
      <w:pPr>
        <w:widowControl/>
        <w:numPr>
          <w:ilvl w:val="0"/>
          <w:numId w:val="1"/>
        </w:numPr>
        <w:spacing w:line="360" w:lineRule="auto"/>
        <w:rPr>
          <w:rFonts w:ascii="仿宋" w:hAnsi="仿宋" w:eastAsia="仿宋" w:cs="仿宋"/>
          <w:sz w:val="32"/>
          <w:szCs w:val="32"/>
        </w:rPr>
      </w:pPr>
      <w:r>
        <w:rPr>
          <w:rFonts w:hint="eastAsia" w:ascii="仿宋" w:hAnsi="仿宋" w:eastAsia="仿宋" w:cs="仿宋"/>
          <w:sz w:val="32"/>
          <w:szCs w:val="32"/>
        </w:rPr>
        <w:t>部门职责</w:t>
      </w:r>
    </w:p>
    <w:p>
      <w:pPr>
        <w:widowControl/>
        <w:numPr>
          <w:ilvl w:val="0"/>
          <w:numId w:val="1"/>
        </w:numPr>
        <w:spacing w:line="360" w:lineRule="auto"/>
        <w:jc w:val="left"/>
        <w:rPr>
          <w:rFonts w:ascii="仿宋" w:hAnsi="仿宋" w:eastAsia="仿宋" w:cs="仿宋"/>
          <w:sz w:val="32"/>
          <w:szCs w:val="32"/>
        </w:rPr>
      </w:pPr>
      <w:r>
        <w:rPr>
          <w:rFonts w:hint="eastAsia" w:ascii="仿宋" w:hAnsi="仿宋" w:eastAsia="仿宋" w:cs="仿宋"/>
          <w:sz w:val="32"/>
          <w:szCs w:val="32"/>
        </w:rPr>
        <w:t>机构设置</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三、部门决算编报范围及</w:t>
      </w:r>
      <w:r>
        <w:rPr>
          <w:rFonts w:hint="eastAsia" w:ascii="仿宋" w:hAnsi="仿宋" w:eastAsia="仿宋" w:cs="仿宋"/>
          <w:sz w:val="32"/>
          <w:szCs w:val="32"/>
        </w:rPr>
        <w:t>人员构成</w:t>
      </w:r>
    </w:p>
    <w:p>
      <w:pPr>
        <w:widowControl/>
        <w:spacing w:line="360" w:lineRule="auto"/>
        <w:jc w:val="left"/>
        <w:rPr>
          <w:rFonts w:ascii="仿宋" w:hAnsi="仿宋" w:eastAsia="仿宋" w:cs="仿宋"/>
          <w:sz w:val="32"/>
          <w:szCs w:val="32"/>
        </w:rPr>
      </w:pPr>
    </w:p>
    <w:p>
      <w:pPr>
        <w:spacing w:line="360" w:lineRule="auto"/>
        <w:ind w:firstLine="964" w:firstLineChars="300"/>
        <w:rPr>
          <w:rFonts w:ascii="仿宋" w:hAnsi="仿宋" w:eastAsia="仿宋" w:cs="仿宋"/>
          <w:b/>
          <w:sz w:val="32"/>
          <w:szCs w:val="32"/>
        </w:rPr>
      </w:pPr>
      <w:r>
        <w:rPr>
          <w:rFonts w:hint="eastAsia" w:ascii="仿宋" w:hAnsi="仿宋" w:eastAsia="仿宋" w:cs="仿宋"/>
          <w:b/>
          <w:sz w:val="32"/>
          <w:szCs w:val="32"/>
        </w:rPr>
        <w:t>第二部分2018年部门预算执行总体情况说明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一、收入支出决算总体情况说明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二、收入决算情况说明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三、支出决算情况说明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四、 财政拨款收入支出决算总体情况说明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五、一般公共预算财政拨款支出决算情况说明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六、一般公共预算财政拨款基本支出情况说明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七、一般公共预算财政拨款“三公”经费支出决算情况说明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八、政府性基金预算财政拨款收入支出决算情况说明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九、预算绩效管理工作开展情况说明。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十、其他重要事项情况说明</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（一）机关运行经费支出情况</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（二）政府采购支出情况</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（三）国有资产占用情况</w:t>
      </w:r>
    </w:p>
    <w:p>
      <w:pPr>
        <w:widowControl/>
        <w:spacing w:line="360" w:lineRule="auto"/>
        <w:jc w:val="left"/>
        <w:rPr>
          <w:rFonts w:ascii="仿宋" w:hAnsi="仿宋" w:eastAsia="仿宋" w:cs="仿宋"/>
          <w:sz w:val="30"/>
          <w:szCs w:val="30"/>
        </w:rPr>
      </w:pPr>
    </w:p>
    <w:p>
      <w:pPr>
        <w:numPr>
          <w:ilvl w:val="0"/>
          <w:numId w:val="2"/>
        </w:numPr>
        <w:spacing w:line="360" w:lineRule="auto"/>
        <w:jc w:val="center"/>
        <w:rPr>
          <w:rFonts w:ascii="仿宋" w:hAnsi="仿宋" w:eastAsia="仿宋" w:cs="仿宋"/>
          <w:b/>
          <w:sz w:val="32"/>
          <w:szCs w:val="32"/>
        </w:rPr>
      </w:pPr>
      <w:r>
        <w:rPr>
          <w:rFonts w:hint="eastAsia" w:ascii="仿宋" w:hAnsi="仿宋" w:eastAsia="仿宋" w:cs="仿宋"/>
          <w:b/>
          <w:sz w:val="32"/>
          <w:szCs w:val="32"/>
        </w:rPr>
        <w:t>名词解释</w:t>
      </w:r>
    </w:p>
    <w:p>
      <w:pPr>
        <w:spacing w:line="360" w:lineRule="auto"/>
        <w:rPr>
          <w:rFonts w:ascii="仿宋" w:hAnsi="仿宋" w:eastAsia="仿宋" w:cs="仿宋"/>
          <w:b/>
          <w:sz w:val="32"/>
          <w:szCs w:val="32"/>
        </w:rPr>
      </w:pPr>
    </w:p>
    <w:p>
      <w:pPr>
        <w:spacing w:line="360" w:lineRule="auto"/>
        <w:rPr>
          <w:rFonts w:ascii="仿宋" w:hAnsi="仿宋" w:eastAsia="仿宋" w:cs="仿宋"/>
          <w:b/>
          <w:sz w:val="32"/>
          <w:szCs w:val="32"/>
        </w:rPr>
      </w:pPr>
    </w:p>
    <w:p>
      <w:pPr>
        <w:spacing w:line="360" w:lineRule="auto"/>
        <w:jc w:val="center"/>
        <w:rPr>
          <w:rFonts w:ascii="仿宋" w:hAnsi="仿宋" w:eastAsia="仿宋" w:cs="仿宋"/>
          <w:b/>
          <w:sz w:val="32"/>
          <w:szCs w:val="32"/>
        </w:rPr>
      </w:pPr>
      <w:r>
        <w:rPr>
          <w:rFonts w:hint="eastAsia" w:ascii="仿宋" w:hAnsi="仿宋" w:eastAsia="仿宋" w:cs="仿宋"/>
          <w:b/>
          <w:sz w:val="32"/>
          <w:szCs w:val="32"/>
        </w:rPr>
        <w:t>第四部分2018年度部门决算公开表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收入支出决算总表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收入决算表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财政拨款收入支出决算总表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一般公共预算财政拨款基本支出决算表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一般公共预算财政拨款“三公”经费支出决算表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政府性基金预算财政拨款收入支出决算表</w:t>
      </w: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第一部分单位基本情况</w:t>
      </w:r>
    </w:p>
    <w:p>
      <w:pPr>
        <w:spacing w:line="360" w:lineRule="auto"/>
        <w:rPr>
          <w:rFonts w:ascii="仿宋" w:hAnsi="仿宋" w:eastAsia="仿宋" w:cs="仿宋"/>
          <w:b/>
          <w:bCs/>
          <w:sz w:val="32"/>
          <w:szCs w:val="32"/>
        </w:rPr>
      </w:pPr>
    </w:p>
    <w:p>
      <w:pPr>
        <w:numPr>
          <w:ilvl w:val="0"/>
          <w:numId w:val="4"/>
        </w:numPr>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部门职责</w:t>
      </w:r>
    </w:p>
    <w:p>
      <w:pPr>
        <w:widowControl/>
        <w:spacing w:after="230"/>
        <w:ind w:firstLine="640" w:firstLineChars="200"/>
        <w:jc w:val="left"/>
        <w:outlineLvl w:val="0"/>
        <w:rPr>
          <w:rFonts w:ascii="仿宋" w:hAnsi="仿宋" w:eastAsia="仿宋" w:cs="宋体"/>
          <w:color w:val="333333"/>
          <w:kern w:val="0"/>
          <w:sz w:val="32"/>
          <w:szCs w:val="32"/>
        </w:rPr>
      </w:pPr>
      <w:r>
        <w:rPr>
          <w:rFonts w:hint="eastAsia" w:ascii="仿宋" w:hAnsi="仿宋" w:eastAsia="仿宋" w:cs="宋体"/>
          <w:color w:val="333333"/>
          <w:kern w:val="0"/>
          <w:sz w:val="32"/>
          <w:szCs w:val="32"/>
        </w:rPr>
        <w:t>1.中共饶河县委员会饶河县人民政府信访局</w:t>
      </w:r>
    </w:p>
    <w:p>
      <w:pPr>
        <w:widowControl/>
        <w:spacing w:after="230"/>
        <w:ind w:firstLine="640" w:firstLineChars="200"/>
        <w:jc w:val="left"/>
        <w:outlineLvl w:val="0"/>
        <w:rPr>
          <w:rFonts w:ascii="仿宋" w:hAnsi="仿宋" w:eastAsia="仿宋" w:cs="宋体"/>
          <w:color w:val="333333"/>
          <w:kern w:val="0"/>
          <w:sz w:val="32"/>
          <w:szCs w:val="32"/>
        </w:rPr>
      </w:pPr>
      <w:r>
        <w:rPr>
          <w:rFonts w:hint="eastAsia" w:ascii="仿宋" w:hAnsi="仿宋" w:eastAsia="仿宋" w:cs="宋体"/>
          <w:color w:val="333333"/>
          <w:kern w:val="0"/>
          <w:sz w:val="32"/>
          <w:szCs w:val="32"/>
        </w:rPr>
        <w:t>负责宣传、贯彻、监督执行党和国家的法律、法规、政策和《信访条例》的执行情况；受理人民来信，接待群众来访；向同级有关部门和下级机关、下属单位交办信访案件；督促检查指导信访工作和案件的处理；查处重要信访案件；向领导反映汇报情况；承办上级机关交办的信访案件，并及时报告处理结果；负责集体上访跟踪、协调处理工作；负责信息收集、提炼，向上级提供信息及信息反馈工作；负责全县信访统计、报表工作，按期完成归档立卷工作；负责征集人民建议，认真办理人民建议；负责信访理论研究、研讨工作；收集、整理、报送人民群众关心的热点、难点问题；负责本级行政首长信访电话的交办、督办工作；承办上级行政首长信访电话交办的案件，并及时报告处理结果；完成县委、县政府交办的其他工作。</w:t>
      </w:r>
    </w:p>
    <w:p>
      <w:pPr>
        <w:widowControl/>
        <w:spacing w:after="230"/>
        <w:ind w:firstLine="640" w:firstLineChars="200"/>
        <w:jc w:val="left"/>
        <w:outlineLvl w:val="0"/>
        <w:rPr>
          <w:rFonts w:ascii="仿宋" w:hAnsi="仿宋" w:eastAsia="仿宋" w:cs="宋体"/>
          <w:color w:val="333333"/>
          <w:kern w:val="0"/>
          <w:sz w:val="32"/>
          <w:szCs w:val="32"/>
        </w:rPr>
      </w:pPr>
      <w:r>
        <w:rPr>
          <w:rFonts w:hint="eastAsia" w:ascii="仿宋" w:hAnsi="仿宋" w:eastAsia="仿宋" w:cs="宋体"/>
          <w:color w:val="333333"/>
          <w:kern w:val="0"/>
          <w:sz w:val="32"/>
          <w:szCs w:val="32"/>
        </w:rPr>
        <w:t>2.饶河县信访接待中心</w:t>
      </w:r>
    </w:p>
    <w:p>
      <w:pPr>
        <w:widowControl/>
        <w:spacing w:after="230"/>
        <w:ind w:firstLine="640" w:firstLineChars="200"/>
        <w:jc w:val="left"/>
        <w:outlineLvl w:val="0"/>
        <w:rPr>
          <w:rFonts w:ascii="仿宋" w:hAnsi="仿宋" w:eastAsia="仿宋" w:cs="宋体"/>
          <w:color w:val="333333"/>
          <w:kern w:val="0"/>
          <w:sz w:val="32"/>
          <w:szCs w:val="32"/>
        </w:rPr>
      </w:pPr>
      <w:r>
        <w:rPr>
          <w:rFonts w:hint="eastAsia" w:ascii="仿宋" w:hAnsi="仿宋" w:eastAsia="仿宋" w:cs="宋体"/>
          <w:color w:val="333333"/>
          <w:kern w:val="0"/>
          <w:sz w:val="32"/>
          <w:szCs w:val="32"/>
        </w:rPr>
        <w:t>依法受理公民、法人和其他组织向县委</w:t>
      </w:r>
      <w:r>
        <w:rPr>
          <w:rFonts w:hint="eastAsia" w:ascii="仿宋" w:hAnsi="仿宋" w:eastAsia="仿宋" w:cs="宋体"/>
          <w:color w:val="333333"/>
          <w:kern w:val="0"/>
          <w:sz w:val="32"/>
          <w:szCs w:val="32"/>
          <w:lang w:eastAsia="zh-CN"/>
        </w:rPr>
        <w:t>县</w:t>
      </w:r>
      <w:r>
        <w:rPr>
          <w:rFonts w:hint="eastAsia" w:ascii="仿宋" w:hAnsi="仿宋" w:eastAsia="仿宋" w:cs="宋体"/>
          <w:color w:val="333333"/>
          <w:kern w:val="0"/>
          <w:sz w:val="32"/>
          <w:szCs w:val="32"/>
        </w:rPr>
        <w:t>政府的来信来访，转办交办信访事项，督促检查重要信访事项的处理和落实；牵头办理部分重大信访事项；负责县领导批示交办的重要信访案件的承办、督办工作。</w:t>
      </w:r>
    </w:p>
    <w:p>
      <w:pPr>
        <w:widowControl/>
        <w:spacing w:after="230"/>
        <w:ind w:firstLine="640" w:firstLineChars="200"/>
        <w:jc w:val="left"/>
        <w:outlineLvl w:val="0"/>
        <w:rPr>
          <w:rFonts w:ascii="仿宋" w:hAnsi="仿宋" w:eastAsia="仿宋" w:cs="宋体"/>
          <w:color w:val="333333"/>
          <w:kern w:val="0"/>
          <w:sz w:val="32"/>
          <w:szCs w:val="32"/>
        </w:rPr>
      </w:pPr>
      <w:r>
        <w:rPr>
          <w:rFonts w:hint="eastAsia" w:ascii="仿宋" w:hAnsi="仿宋" w:eastAsia="仿宋" w:cs="宋体"/>
          <w:color w:val="333333"/>
          <w:kern w:val="0"/>
          <w:sz w:val="32"/>
          <w:szCs w:val="32"/>
        </w:rPr>
        <w:t>3.饶河县人民政府信访事项复查委员会办公室</w:t>
      </w:r>
    </w:p>
    <w:p>
      <w:pPr>
        <w:widowControl/>
        <w:spacing w:after="230"/>
        <w:ind w:firstLine="480" w:firstLineChars="150"/>
        <w:jc w:val="left"/>
        <w:outlineLvl w:val="0"/>
        <w:rPr>
          <w:rFonts w:ascii="仿宋" w:hAnsi="仿宋" w:eastAsia="仿宋" w:cs="宋体"/>
          <w:color w:val="333333"/>
          <w:kern w:val="0"/>
          <w:sz w:val="32"/>
          <w:szCs w:val="32"/>
        </w:rPr>
      </w:pPr>
      <w:r>
        <w:rPr>
          <w:rFonts w:hint="eastAsia" w:ascii="仿宋" w:hAnsi="仿宋" w:eastAsia="仿宋" w:cs="宋体"/>
          <w:color w:val="333333"/>
          <w:kern w:val="0"/>
          <w:sz w:val="32"/>
          <w:szCs w:val="32"/>
        </w:rPr>
        <w:t>承办群众对有关行政机关的处理意见提异议的信访事项的复查工作；承办上级行政机关交办的信访事项的复查工作；负责对信访事项复查意见落实情况的跟踪督办；完成上级机关交办的关于开展信访事项复查的各项工作。</w:t>
      </w:r>
    </w:p>
    <w:p>
      <w:pPr>
        <w:rPr>
          <w:rFonts w:ascii="仿宋" w:hAnsi="仿宋" w:eastAsia="仿宋" w:cs="仿宋"/>
          <w:sz w:val="32"/>
          <w:szCs w:val="32"/>
        </w:rPr>
      </w:pPr>
    </w:p>
    <w:p>
      <w:pPr>
        <w:pStyle w:val="12"/>
        <w:numPr>
          <w:ilvl w:val="0"/>
          <w:numId w:val="5"/>
        </w:numPr>
        <w:spacing w:line="360" w:lineRule="auto"/>
        <w:ind w:firstLineChars="0"/>
        <w:rPr>
          <w:rFonts w:ascii="仿宋" w:hAnsi="仿宋" w:eastAsia="仿宋" w:cs="仿宋"/>
          <w:b/>
          <w:bCs/>
          <w:sz w:val="32"/>
          <w:szCs w:val="32"/>
        </w:rPr>
      </w:pPr>
      <w:r>
        <w:rPr>
          <w:rFonts w:hint="eastAsia" w:ascii="仿宋" w:hAnsi="仿宋" w:eastAsia="仿宋" w:cs="仿宋"/>
          <w:b/>
          <w:bCs/>
          <w:sz w:val="32"/>
          <w:szCs w:val="32"/>
        </w:rPr>
        <w:t>机构设置</w:t>
      </w:r>
    </w:p>
    <w:p>
      <w:pPr>
        <w:widowControl/>
        <w:spacing w:after="230"/>
        <w:ind w:left="643" w:firstLine="320" w:firstLineChars="100"/>
        <w:jc w:val="left"/>
        <w:outlineLvl w:val="0"/>
        <w:rPr>
          <w:rFonts w:ascii="仿宋" w:hAnsi="仿宋" w:eastAsia="仿宋" w:cs="宋体"/>
          <w:color w:val="333333"/>
          <w:kern w:val="0"/>
          <w:sz w:val="32"/>
          <w:szCs w:val="32"/>
        </w:rPr>
      </w:pPr>
      <w:r>
        <w:rPr>
          <w:rFonts w:hint="eastAsia" w:ascii="仿宋" w:hAnsi="仿宋" w:eastAsia="仿宋" w:cs="宋体"/>
          <w:color w:val="333333"/>
          <w:kern w:val="0"/>
          <w:sz w:val="32"/>
          <w:szCs w:val="32"/>
        </w:rPr>
        <w:t>中共饶河县委员会饶河县人民政府信访局内设综合股、接待股；所属事业单位2个：饶河县信访接待中心和饶河县人民政府信访事项复查委员会办公室。</w:t>
      </w:r>
    </w:p>
    <w:p>
      <w:pPr>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三、</w:t>
      </w:r>
      <w:r>
        <w:rPr>
          <w:rFonts w:hint="eastAsia" w:ascii="仿宋" w:hAnsi="仿宋" w:eastAsia="仿宋" w:cs="仿宋"/>
          <w:b/>
          <w:bCs/>
          <w:sz w:val="30"/>
          <w:szCs w:val="30"/>
        </w:rPr>
        <w:t>部门决算编报范围及</w:t>
      </w:r>
      <w:r>
        <w:rPr>
          <w:rFonts w:hint="eastAsia" w:ascii="仿宋" w:hAnsi="仿宋" w:eastAsia="仿宋" w:cs="仿宋"/>
          <w:b/>
          <w:bCs/>
          <w:sz w:val="32"/>
          <w:szCs w:val="32"/>
        </w:rPr>
        <w:t>人员构成</w:t>
      </w:r>
    </w:p>
    <w:p>
      <w:pPr>
        <w:tabs>
          <w:tab w:val="left" w:pos="567"/>
        </w:tabs>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中共饶河县委员会饶河县人民政府信访局：在职4人，退休5人。</w:t>
      </w:r>
    </w:p>
    <w:p>
      <w:pPr>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饶河县信访接待中心：在职4人。</w:t>
      </w:r>
    </w:p>
    <w:p>
      <w:pPr>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饶河县人民政府信访事项复查委员会办公室：在职3人。</w:t>
      </w:r>
    </w:p>
    <w:p>
      <w:pPr>
        <w:ind w:firstLine="640" w:firstLineChars="200"/>
        <w:rPr>
          <w:rFonts w:ascii="仿宋" w:hAnsi="仿宋" w:eastAsia="仿宋" w:cs="宋体"/>
          <w:color w:val="333333"/>
          <w:kern w:val="0"/>
          <w:sz w:val="32"/>
          <w:szCs w:val="32"/>
        </w:rPr>
      </w:pPr>
    </w:p>
    <w:p>
      <w:pPr>
        <w:widowControl/>
        <w:spacing w:line="360" w:lineRule="auto"/>
        <w:ind w:firstLine="640"/>
        <w:jc w:val="left"/>
        <w:rPr>
          <w:rFonts w:ascii="仿宋" w:hAnsi="仿宋" w:eastAsia="仿宋" w:cs="仿宋"/>
          <w:sz w:val="30"/>
          <w:szCs w:val="30"/>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第二部分2018年部门预算执行总体情况说明</w:t>
      </w:r>
    </w:p>
    <w:p>
      <w:pPr>
        <w:spacing w:line="360" w:lineRule="auto"/>
        <w:jc w:val="left"/>
        <w:rPr>
          <w:rFonts w:ascii="仿宋" w:hAnsi="仿宋" w:eastAsia="仿宋" w:cs="仿宋"/>
          <w:sz w:val="32"/>
          <w:szCs w:val="32"/>
        </w:rPr>
      </w:pP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一、收入支出决算总体情况说明</w:t>
      </w:r>
    </w:p>
    <w:p>
      <w:pPr>
        <w:widowControl/>
        <w:spacing w:line="360" w:lineRule="auto"/>
        <w:ind w:firstLine="600" w:firstLineChars="200"/>
        <w:rPr>
          <w:rFonts w:ascii="仿宋" w:hAnsi="仿宋" w:eastAsia="仿宋" w:cs="仿宋"/>
          <w:sz w:val="30"/>
          <w:szCs w:val="30"/>
        </w:rPr>
      </w:pPr>
      <w:r>
        <w:rPr>
          <w:rFonts w:hint="eastAsia" w:ascii="仿宋" w:hAnsi="仿宋" w:eastAsia="仿宋" w:cs="仿宋"/>
          <w:kern w:val="0"/>
          <w:sz w:val="30"/>
          <w:szCs w:val="30"/>
        </w:rPr>
        <w:t>2018年度部门决算本年收入191万元；用事业基金弥补收支差额0万元；年初结转和结余0万元；本年支出191万元；结余分配0万元，年末结转和结余0万元。</w:t>
      </w:r>
      <w:r>
        <w:rPr>
          <w:rFonts w:hint="eastAsia" w:ascii="仿宋" w:hAnsi="仿宋" w:eastAsia="仿宋" w:cs="仿宋"/>
          <w:sz w:val="30"/>
          <w:szCs w:val="30"/>
        </w:rPr>
        <w:t>与2017年度相比增加3万元，同比增长15.95%。主要原因：人员工资增长及差旅费增加。</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二、收入决算情况说明</w:t>
      </w:r>
    </w:p>
    <w:p>
      <w:pPr>
        <w:widowControl/>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本年收入合计</w:t>
      </w:r>
      <w:r>
        <w:rPr>
          <w:rFonts w:hint="eastAsia" w:ascii="仿宋" w:hAnsi="仿宋" w:eastAsia="仿宋" w:cs="仿宋"/>
          <w:kern w:val="0"/>
          <w:sz w:val="30"/>
          <w:szCs w:val="30"/>
        </w:rPr>
        <w:t>191</w:t>
      </w:r>
      <w:r>
        <w:rPr>
          <w:rFonts w:hint="eastAsia" w:ascii="仿宋" w:hAnsi="仿宋" w:eastAsia="仿宋" w:cs="仿宋"/>
          <w:sz w:val="30"/>
          <w:szCs w:val="30"/>
        </w:rPr>
        <w:t>万元，与2017年度相比，增加3万元，同比增长15.95%。主要原因：人员工资增长及差旅费增加。</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其中：财政拨款收入191万元，占收入合计的100%；事业收入0万元，占0%；其他收入0万元，占收入合计的0%。</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三、支出决算情况说明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本年支出合计191万元，与2017年度相比，增加3万元，同比增长15.95%。主要原因：人员工资增长及差旅费增加。</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其中：基本支出191万元，占支出合计的100%；项目支出0万元，占支出合计的0%。</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四、财政拨款收入支出决算总体情况说明</w:t>
      </w:r>
    </w:p>
    <w:p>
      <w:pPr>
        <w:widowControl/>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2018年度财政拨款收、支总计191万元。与2017年度相比，财政拨款收、支总计各增加3万元，增长15.95%。主要原因：人员工资增长及差旅费增加。</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五、一般公共预算财政拨款支出决算情况说明</w:t>
      </w:r>
    </w:p>
    <w:p>
      <w:pPr>
        <w:widowControl/>
        <w:spacing w:line="360" w:lineRule="auto"/>
        <w:jc w:val="left"/>
        <w:rPr>
          <w:rFonts w:ascii="仿宋" w:hAnsi="仿宋" w:eastAsia="仿宋" w:cs="仿宋"/>
          <w:b/>
          <w:bCs/>
          <w:sz w:val="30"/>
          <w:szCs w:val="30"/>
        </w:rPr>
      </w:pPr>
      <w:r>
        <w:rPr>
          <w:rFonts w:hint="eastAsia" w:ascii="仿宋" w:hAnsi="仿宋" w:eastAsia="仿宋" w:cs="仿宋"/>
          <w:b/>
          <w:bCs/>
          <w:sz w:val="30"/>
          <w:szCs w:val="30"/>
        </w:rPr>
        <w:t>（一）一般公共预算财政拨款支出决算总体情况。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2018年度一般公共预算财政拨款支出191万元，与2017年决算数相比，增加3万元，增长15.95%，主要原因是人员工资增长及差旅费增加。</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（二）一般公共预算财政拨款支出决算结构情况。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2018年度一般公共预算财政拨款支出191万元，主要用于以下方面：一般公共服务支出（类）123万元，占64.39%；社会保障和就业支出（类）27万元，占14.13%；医疗卫生与计划生育支出（类）8万元，占4.18%；住房保障支出（类）33万元，占17.27%。</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（三）一般公共预算财政拨款支出决算具体情况。</w:t>
      </w:r>
    </w:p>
    <w:p>
      <w:pPr>
        <w:widowControl/>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2018年度一般公共预算财政拨款支出年初预</w:t>
      </w:r>
      <w:r>
        <w:rPr>
          <w:rFonts w:hint="eastAsia" w:ascii="仿宋" w:hAnsi="仿宋" w:eastAsia="仿宋" w:cs="仿宋"/>
          <w:color w:val="auto"/>
          <w:sz w:val="30"/>
          <w:szCs w:val="30"/>
        </w:rPr>
        <w:t>算为134万元</w:t>
      </w:r>
      <w:r>
        <w:rPr>
          <w:rFonts w:hint="eastAsia" w:ascii="仿宋" w:hAnsi="仿宋" w:eastAsia="仿宋" w:cs="仿宋"/>
          <w:sz w:val="30"/>
          <w:szCs w:val="30"/>
        </w:rPr>
        <w:t>，支出决算为123万元，完成年初预算的108.94%。其中：</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1、一般公共服务支出（类）</w:t>
      </w:r>
    </w:p>
    <w:p>
      <w:pPr>
        <w:widowControl/>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2018年初预算为134万元，支出决算为0万元，完成年初预算的0%。决算数小于预算数的主要原因是预算执行调整预算。</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2、社会保障和就业支出（类）其他社会保障和就业支出（款）其他社会保障和就业支出（项）</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2018年初预算为0万元，支出决算</w:t>
      </w:r>
      <w:r>
        <w:rPr>
          <w:rFonts w:hint="eastAsia" w:ascii="仿宋" w:hAnsi="仿宋" w:eastAsia="仿宋" w:cs="仿宋"/>
          <w:sz w:val="32"/>
          <w:szCs w:val="30"/>
        </w:rPr>
        <w:t>为27</w:t>
      </w:r>
      <w:r>
        <w:rPr>
          <w:rFonts w:hint="eastAsia" w:ascii="仿宋" w:hAnsi="仿宋" w:eastAsia="仿宋" w:cs="仿宋"/>
          <w:sz w:val="30"/>
          <w:szCs w:val="30"/>
        </w:rPr>
        <w:t>万元，完成年初预算的2700%。决算数大于预算数的主要原因是预算执行调整预算。</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3、医疗卫生与计划生育（类）行政事业单位医疗支出（款）行政单位医疗支出（项）</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2018年初预算为0万元，支出决算为8万元，完成年初预算的800%。决算数大于预算数的主要原因是预算执行调整预算。</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4、住房保障支出（类）住房改革支出（款）住房公积金（项）</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2018年初预算为0万元，支出决算为33万元，完成年初预算的3300%。决算数大于预算数的主要原因是预算执行调整预算。</w:t>
      </w:r>
    </w:p>
    <w:p>
      <w:pPr>
        <w:widowControl/>
        <w:spacing w:line="360" w:lineRule="auto"/>
        <w:ind w:firstLine="600" w:firstLineChars="200"/>
        <w:jc w:val="left"/>
        <w:rPr>
          <w:rFonts w:ascii="仿宋" w:hAnsi="仿宋" w:eastAsia="仿宋" w:cs="仿宋"/>
          <w:sz w:val="30"/>
          <w:szCs w:val="30"/>
        </w:rPr>
      </w:pPr>
    </w:p>
    <w:p>
      <w:pPr>
        <w:widowControl/>
        <w:spacing w:line="360" w:lineRule="auto"/>
        <w:ind w:firstLine="600" w:firstLineChars="200"/>
        <w:jc w:val="left"/>
        <w:rPr>
          <w:rFonts w:ascii="仿宋" w:hAnsi="仿宋" w:eastAsia="仿宋" w:cs="仿宋"/>
          <w:sz w:val="30"/>
          <w:szCs w:val="30"/>
        </w:rPr>
      </w:pP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六、一般公共预算财政拨款基本支出决算情况说明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2018年度一般公共预算财政拨款基本支出134万元，其中：</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人员经费100万元，主要包括：基本工资、津贴补贴、奖金、伙食补助费、住房公积金、其他工资福利支出、退休费、抚恤金、生活补助、助学金、奖励金、其他对个人和家庭的补助支出；</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日常公用经费34万元，主要包括：办公费、印刷费、手续费、水费、电费、邮电费、取暖费、差旅费、维修（护）费、租赁费、会议费、培训费、专用材料费、劳务费、委托业务费、其他商品和服务支出。</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七、一般公共预算财政拨款“三公”经费支出决算情况说明</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（一）“三公”经费财政拨款支出决算总体情况说明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2018年度无“三公”经费支出。</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（二）“三公”经费财政拨款支出决算具体情况说明。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w:t>
      </w:r>
      <w:r>
        <w:rPr>
          <w:rFonts w:hint="eastAsia" w:ascii="仿宋" w:hAnsi="仿宋" w:eastAsia="仿宋" w:cs="仿宋"/>
          <w:b/>
          <w:bCs/>
          <w:sz w:val="30"/>
          <w:szCs w:val="30"/>
        </w:rPr>
        <w:t>公务用车购置及运行费</w:t>
      </w:r>
      <w:r>
        <w:rPr>
          <w:rFonts w:hint="eastAsia" w:ascii="仿宋" w:hAnsi="仿宋" w:eastAsia="仿宋" w:cs="仿宋"/>
          <w:sz w:val="30"/>
          <w:szCs w:val="30"/>
        </w:rPr>
        <w:t>年初预算为0元，支出决算为0元，完成预算的0%；与上年决算持平；其中：公务用车购置支出0万元，与上年决算持平；公务用车运行维护费0万元，与上年决算持平；公务用车购置数0辆，公务用车保有量0辆。</w:t>
      </w:r>
    </w:p>
    <w:p>
      <w:pPr>
        <w:widowControl/>
        <w:spacing w:line="360" w:lineRule="auto"/>
        <w:jc w:val="left"/>
        <w:rPr>
          <w:rFonts w:ascii="仿宋" w:hAnsi="仿宋" w:eastAsia="仿宋" w:cs="仿宋"/>
          <w:b/>
          <w:bCs/>
          <w:sz w:val="32"/>
          <w:szCs w:val="32"/>
        </w:rPr>
      </w:pPr>
      <w:r>
        <w:rPr>
          <w:rFonts w:hint="eastAsia" w:ascii="仿宋" w:hAnsi="仿宋" w:eastAsia="仿宋" w:cs="仿宋"/>
          <w:b/>
          <w:bCs/>
          <w:sz w:val="32"/>
          <w:szCs w:val="32"/>
        </w:rPr>
        <w:t>八、政府性基金预算财政拨款收入支出决算情况说明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本部门无政府性基金预算财政拨款收入支出情况。</w:t>
      </w:r>
    </w:p>
    <w:p>
      <w:pPr>
        <w:widowControl/>
        <w:numPr>
          <w:ilvl w:val="0"/>
          <w:numId w:val="6"/>
        </w:numPr>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预算绩效管理工作开展情况说明。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 xml:space="preserve"> 2018年本部门实际支出与计划规定的用途一致，资金收支平衡。严格执行财务制度，无截留、挤占、挪用项目资金等违法行为。财务制度健全，财务信息真实完整。</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十、其他重要事项情况说明</w:t>
      </w:r>
    </w:p>
    <w:p>
      <w:pPr>
        <w:widowControl/>
        <w:spacing w:line="360" w:lineRule="auto"/>
        <w:jc w:val="left"/>
        <w:rPr>
          <w:rFonts w:ascii="仿宋" w:hAnsi="仿宋" w:eastAsia="仿宋" w:cs="仿宋"/>
          <w:b/>
          <w:bCs/>
          <w:sz w:val="30"/>
          <w:szCs w:val="30"/>
        </w:rPr>
      </w:pPr>
      <w:r>
        <w:rPr>
          <w:rFonts w:hint="eastAsia" w:ascii="仿宋" w:hAnsi="仿宋" w:eastAsia="仿宋" w:cs="仿宋"/>
          <w:b/>
          <w:bCs/>
          <w:sz w:val="30"/>
          <w:szCs w:val="30"/>
        </w:rPr>
        <w:t>（一）机关运行经费支出情况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2018年度机关运行经费支出12万元，较年初预算增加0万元，增长0%，主要原因预算执行期间根据实际情况调整预算；与上年决算持平。</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（二）政府采购支出情况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2018年本部门政府采购支出总额0万元。</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（三）国有资产占用情况</w:t>
      </w:r>
    </w:p>
    <w:p>
      <w:pPr>
        <w:widowControl/>
        <w:spacing w:after="230"/>
        <w:ind w:firstLine="640" w:firstLineChars="200"/>
        <w:jc w:val="left"/>
        <w:rPr>
          <w:rFonts w:hint="eastAsia" w:ascii="仿宋" w:hAnsi="仿宋" w:eastAsia="仿宋" w:cs="宋体"/>
          <w:b/>
          <w:bCs/>
          <w:color w:val="333333"/>
          <w:kern w:val="0"/>
          <w:sz w:val="32"/>
          <w:szCs w:val="32"/>
        </w:rPr>
      </w:pPr>
      <w:r>
        <w:rPr>
          <w:rFonts w:hint="eastAsia" w:ascii="仿宋" w:hAnsi="仿宋" w:eastAsia="仿宋" w:cs="宋体"/>
          <w:color w:val="000000"/>
          <w:kern w:val="0"/>
          <w:sz w:val="32"/>
          <w:szCs w:val="32"/>
        </w:rPr>
        <w:t>截至2018年12月31日，本部门</w:t>
      </w:r>
      <w:r>
        <w:rPr>
          <w:rFonts w:hint="eastAsia" w:ascii="仿宋" w:hAnsi="仿宋" w:eastAsia="仿宋" w:cs="宋体"/>
          <w:sz w:val="32"/>
          <w:szCs w:val="32"/>
        </w:rPr>
        <w:t>固定资产期末总额为：111</w:t>
      </w:r>
      <w:r>
        <w:rPr>
          <w:rFonts w:hint="eastAsia" w:ascii="仿宋" w:hAnsi="仿宋" w:eastAsia="仿宋" w:cs="宋体"/>
          <w:sz w:val="32"/>
          <w:szCs w:val="32"/>
          <w:lang w:eastAsia="zh-CN"/>
        </w:rPr>
        <w:t>，</w:t>
      </w:r>
      <w:r>
        <w:rPr>
          <w:rFonts w:hint="eastAsia" w:ascii="仿宋" w:hAnsi="仿宋" w:eastAsia="仿宋" w:cs="宋体"/>
          <w:sz w:val="32"/>
          <w:szCs w:val="32"/>
        </w:rPr>
        <w:t>657元。通用设备：79</w:t>
      </w:r>
      <w:r>
        <w:rPr>
          <w:rFonts w:hint="eastAsia" w:ascii="仿宋" w:hAnsi="仿宋" w:eastAsia="仿宋" w:cs="宋体"/>
          <w:sz w:val="32"/>
          <w:szCs w:val="32"/>
          <w:lang w:eastAsia="zh-CN"/>
        </w:rPr>
        <w:t>，</w:t>
      </w:r>
      <w:r>
        <w:rPr>
          <w:rFonts w:hint="eastAsia" w:ascii="仿宋" w:hAnsi="仿宋" w:eastAsia="仿宋" w:cs="宋体"/>
          <w:sz w:val="32"/>
          <w:szCs w:val="32"/>
        </w:rPr>
        <w:t>297元。家具、用具：32</w:t>
      </w:r>
      <w:r>
        <w:rPr>
          <w:rFonts w:hint="eastAsia" w:ascii="仿宋" w:hAnsi="仿宋" w:eastAsia="仿宋" w:cs="宋体"/>
          <w:sz w:val="32"/>
          <w:szCs w:val="32"/>
          <w:lang w:eastAsia="zh-CN"/>
        </w:rPr>
        <w:t>，</w:t>
      </w:r>
      <w:r>
        <w:rPr>
          <w:rFonts w:hint="eastAsia" w:ascii="仿宋" w:hAnsi="仿宋" w:eastAsia="仿宋" w:cs="宋体"/>
          <w:sz w:val="32"/>
          <w:szCs w:val="32"/>
        </w:rPr>
        <w:t>360元。没有个人占用国有资产。</w:t>
      </w:r>
    </w:p>
    <w:p>
      <w:pPr>
        <w:spacing w:line="360" w:lineRule="auto"/>
        <w:rPr>
          <w:rFonts w:ascii="仿宋" w:hAnsi="仿宋" w:eastAsia="仿宋" w:cs="仿宋"/>
          <w:sz w:val="32"/>
          <w:szCs w:val="32"/>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第三部分名词解释</w:t>
      </w:r>
    </w:p>
    <w:p>
      <w:pPr>
        <w:spacing w:line="360" w:lineRule="auto"/>
        <w:rPr>
          <w:rFonts w:ascii="仿宋" w:hAnsi="仿宋" w:eastAsia="仿宋" w:cs="仿宋"/>
          <w:sz w:val="30"/>
          <w:szCs w:val="30"/>
        </w:rPr>
      </w:pPr>
    </w:p>
    <w:p>
      <w:pPr>
        <w:spacing w:line="360" w:lineRule="auto"/>
        <w:ind w:firstLine="660"/>
        <w:rPr>
          <w:rFonts w:ascii="仿宋" w:hAnsi="仿宋" w:eastAsia="仿宋" w:cs="仿宋"/>
          <w:sz w:val="32"/>
          <w:szCs w:val="32"/>
        </w:rPr>
      </w:pPr>
      <w:r>
        <w:rPr>
          <w:rFonts w:hint="eastAsia" w:ascii="仿宋" w:hAnsi="仿宋" w:eastAsia="仿宋" w:cs="仿宋"/>
          <w:sz w:val="30"/>
          <w:szCs w:val="30"/>
        </w:rPr>
        <w:t>根据《2018年政府收支分类科目》对2018年度部门决算公开中相关名词解释如下：</w:t>
      </w:r>
      <w:r>
        <w:rPr>
          <w:rFonts w:hint="eastAsia" w:ascii="仿宋" w:hAnsi="仿宋" w:eastAsia="仿宋" w:cs="仿宋"/>
          <w:sz w:val="30"/>
          <w:szCs w:val="30"/>
        </w:rPr>
        <w:br w:type="textWrapping"/>
      </w:r>
      <w:r>
        <w:rPr>
          <w:rFonts w:hint="eastAsia" w:ascii="仿宋" w:hAnsi="仿宋" w:eastAsia="仿宋" w:cs="仿宋"/>
          <w:sz w:val="30"/>
          <w:szCs w:val="30"/>
        </w:rPr>
        <w:t>　　财政拨款收入：反映财政部门用公共预算收入安排的预</w:t>
      </w:r>
      <w:r>
        <w:rPr>
          <w:rFonts w:hint="eastAsia" w:ascii="仿宋" w:hAnsi="仿宋" w:eastAsia="仿宋" w:cs="仿宋"/>
          <w:sz w:val="32"/>
          <w:szCs w:val="32"/>
        </w:rPr>
        <w:t>算单位资金。</w:t>
      </w:r>
    </w:p>
    <w:p>
      <w:pPr>
        <w:spacing w:line="360" w:lineRule="auto"/>
        <w:ind w:firstLine="660"/>
        <w:rPr>
          <w:rFonts w:ascii="仿宋" w:hAnsi="仿宋" w:eastAsia="仿宋" w:cs="仿宋"/>
          <w:color w:val="111111"/>
          <w:kern w:val="0"/>
          <w:sz w:val="30"/>
          <w:szCs w:val="30"/>
        </w:rPr>
      </w:pPr>
      <w:r>
        <w:rPr>
          <w:rFonts w:hint="eastAsia" w:ascii="仿宋" w:hAnsi="仿宋" w:eastAsia="仿宋" w:cs="仿宋"/>
          <w:sz w:val="30"/>
          <w:szCs w:val="30"/>
        </w:rPr>
        <w:t>一般公共预算拨款</w:t>
      </w:r>
      <w:r>
        <w:rPr>
          <w:rFonts w:hint="eastAsia" w:ascii="仿宋" w:hAnsi="仿宋" w:eastAsia="仿宋" w:cs="仿宋"/>
          <w:bCs/>
          <w:color w:val="111111"/>
          <w:kern w:val="0"/>
          <w:sz w:val="30"/>
          <w:szCs w:val="30"/>
        </w:rPr>
        <w:t>：</w:t>
      </w:r>
      <w:r>
        <w:rPr>
          <w:rFonts w:hint="eastAsia" w:ascii="仿宋" w:hAnsi="仿宋" w:eastAsia="仿宋" w:cs="仿宋"/>
          <w:color w:val="111111"/>
          <w:kern w:val="0"/>
          <w:sz w:val="30"/>
          <w:szCs w:val="30"/>
        </w:rPr>
        <w:t>指单位本年度从区级财政部门取得的财政拨款。</w:t>
      </w:r>
    </w:p>
    <w:p>
      <w:pPr>
        <w:widowControl/>
        <w:spacing w:line="360" w:lineRule="auto"/>
        <w:ind w:firstLine="600" w:firstLineChars="200"/>
        <w:jc w:val="left"/>
        <w:rPr>
          <w:rFonts w:ascii="仿宋" w:hAnsi="仿宋" w:eastAsia="仿宋" w:cs="仿宋"/>
          <w:i/>
          <w:iCs/>
          <w:color w:val="111111"/>
          <w:kern w:val="0"/>
          <w:sz w:val="30"/>
          <w:szCs w:val="30"/>
        </w:rPr>
      </w:pPr>
      <w:r>
        <w:rPr>
          <w:rFonts w:hint="eastAsia" w:ascii="仿宋" w:hAnsi="仿宋" w:eastAsia="仿宋" w:cs="仿宋"/>
          <w:bCs/>
          <w:color w:val="111111"/>
          <w:kern w:val="0"/>
          <w:sz w:val="30"/>
          <w:szCs w:val="30"/>
        </w:rPr>
        <w:t>事业收入：</w:t>
      </w:r>
      <w:r>
        <w:rPr>
          <w:rFonts w:hint="eastAsia" w:ascii="仿宋" w:hAnsi="仿宋" w:eastAsia="仿宋" w:cs="仿宋"/>
          <w:color w:val="111111"/>
          <w:kern w:val="0"/>
          <w:sz w:val="30"/>
          <w:szCs w:val="30"/>
        </w:rPr>
        <w:t>指事业单位开展专业业务活动及其辅助活动取得的收入，事业单位收到的财政专户实际核拨的教育收费等资金在此反映。</w:t>
      </w:r>
    </w:p>
    <w:p>
      <w:pPr>
        <w:widowControl/>
        <w:spacing w:line="360" w:lineRule="auto"/>
        <w:ind w:firstLine="645"/>
        <w:jc w:val="left"/>
        <w:rPr>
          <w:rFonts w:ascii="仿宋" w:hAnsi="仿宋" w:eastAsia="仿宋" w:cs="仿宋"/>
          <w:color w:val="111111"/>
          <w:kern w:val="0"/>
          <w:sz w:val="30"/>
          <w:szCs w:val="30"/>
        </w:rPr>
      </w:pPr>
      <w:r>
        <w:rPr>
          <w:rFonts w:hint="eastAsia" w:ascii="仿宋" w:hAnsi="仿宋" w:eastAsia="仿宋" w:cs="仿宋"/>
          <w:bCs/>
          <w:color w:val="111111"/>
          <w:kern w:val="0"/>
          <w:sz w:val="30"/>
          <w:szCs w:val="30"/>
        </w:rPr>
        <w:t>其他收入：</w:t>
      </w:r>
      <w:r>
        <w:rPr>
          <w:rFonts w:hint="eastAsia" w:ascii="仿宋" w:hAnsi="仿宋" w:eastAsia="仿宋" w:cs="仿宋"/>
          <w:color w:val="111111"/>
          <w:kern w:val="0"/>
          <w:sz w:val="30"/>
          <w:szCs w:val="30"/>
        </w:rPr>
        <w:t>指单位取得的除上述“财政拨款收入”、“事业收入”、“经营收入”等以外的各项收入。</w:t>
      </w:r>
    </w:p>
    <w:p>
      <w:pPr>
        <w:widowControl/>
        <w:spacing w:line="360" w:lineRule="auto"/>
        <w:jc w:val="left"/>
        <w:rPr>
          <w:rFonts w:ascii="仿宋" w:hAnsi="仿宋" w:eastAsia="仿宋" w:cs="仿宋"/>
          <w:color w:val="111111"/>
          <w:kern w:val="0"/>
          <w:sz w:val="30"/>
          <w:szCs w:val="30"/>
        </w:rPr>
      </w:pPr>
      <w:r>
        <w:rPr>
          <w:rFonts w:hint="eastAsia" w:ascii="仿宋" w:hAnsi="仿宋" w:eastAsia="仿宋" w:cs="仿宋"/>
          <w:color w:val="111111"/>
          <w:kern w:val="0"/>
          <w:sz w:val="30"/>
          <w:szCs w:val="30"/>
        </w:rPr>
        <w:t>　　</w:t>
      </w:r>
      <w:r>
        <w:rPr>
          <w:rFonts w:hint="eastAsia" w:ascii="仿宋" w:hAnsi="仿宋" w:eastAsia="仿宋" w:cs="仿宋"/>
          <w:bCs/>
          <w:color w:val="111111"/>
          <w:kern w:val="0"/>
          <w:sz w:val="30"/>
          <w:szCs w:val="30"/>
        </w:rPr>
        <w:t>用事业基金弥补收支差额：</w:t>
      </w:r>
      <w:r>
        <w:rPr>
          <w:rFonts w:hint="eastAsia" w:ascii="仿宋" w:hAnsi="仿宋" w:eastAsia="仿宋" w:cs="仿宋"/>
          <w:color w:val="111111"/>
          <w:kern w:val="0"/>
          <w:sz w:val="30"/>
          <w:szCs w:val="30"/>
        </w:rPr>
        <w:t>指事业单位用事业基金弥补当年收支差额的数额。 </w:t>
      </w:r>
    </w:p>
    <w:p>
      <w:pPr>
        <w:widowControl/>
        <w:spacing w:line="360" w:lineRule="auto"/>
        <w:jc w:val="left"/>
        <w:rPr>
          <w:rFonts w:ascii="仿宋" w:hAnsi="仿宋" w:eastAsia="仿宋" w:cs="仿宋"/>
          <w:color w:val="111111"/>
          <w:kern w:val="0"/>
          <w:sz w:val="30"/>
          <w:szCs w:val="30"/>
        </w:rPr>
      </w:pPr>
      <w:r>
        <w:rPr>
          <w:rFonts w:hint="eastAsia" w:ascii="仿宋" w:hAnsi="仿宋" w:eastAsia="仿宋" w:cs="仿宋"/>
          <w:color w:val="111111"/>
          <w:kern w:val="0"/>
          <w:sz w:val="30"/>
          <w:szCs w:val="30"/>
        </w:rPr>
        <w:t>　　</w:t>
      </w:r>
      <w:r>
        <w:rPr>
          <w:rFonts w:hint="eastAsia" w:ascii="仿宋" w:hAnsi="仿宋" w:eastAsia="仿宋" w:cs="仿宋"/>
          <w:bCs/>
          <w:color w:val="111111"/>
          <w:kern w:val="0"/>
          <w:sz w:val="30"/>
          <w:szCs w:val="30"/>
        </w:rPr>
        <w:t>年初结转和结余：</w:t>
      </w:r>
      <w:r>
        <w:rPr>
          <w:rFonts w:hint="eastAsia" w:ascii="仿宋" w:hAnsi="仿宋" w:eastAsia="仿宋" w:cs="仿宋"/>
          <w:color w:val="111111"/>
          <w:kern w:val="0"/>
          <w:sz w:val="30"/>
          <w:szCs w:val="30"/>
        </w:rPr>
        <w:t>指单位上年结转本年使用的基本支出结转、项目支出结转和结余和经营结余。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年末结转和结余资金：指本年度或以前年度预算安排、因客观条件发生变化无法按原计划实施，需要延迟到以后年度按有关规定继续使用的资金。</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一般公共财政预算支出：反映公共财政预算收入安排的支出。</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对个人和家庭的补助：反映政府用于对个人和家庭的补助支出。</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政府性基金预算：对依照法律、行政法规的规定，在一定期限内向特定对象征收、收取或者其他方式筹集的资金，专项用于特定公共事业发展的收支预算。</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政府性基金支出：反映政府基金收入</w:t>
      </w:r>
      <w:r>
        <w:rPr>
          <w:rFonts w:hint="eastAsia" w:ascii="仿宋" w:hAnsi="仿宋" w:eastAsia="仿宋" w:cs="仿宋"/>
          <w:bCs/>
          <w:color w:val="111111"/>
          <w:kern w:val="0"/>
          <w:sz w:val="30"/>
          <w:szCs w:val="30"/>
          <w:lang w:val="en-US" w:eastAsia="zh-CN"/>
        </w:rPr>
        <w:t>安</w:t>
      </w:r>
      <w:r>
        <w:rPr>
          <w:rFonts w:hint="eastAsia" w:ascii="仿宋" w:hAnsi="仿宋" w:eastAsia="仿宋" w:cs="仿宋"/>
          <w:bCs/>
          <w:color w:val="111111"/>
          <w:kern w:val="0"/>
          <w:sz w:val="30"/>
          <w:szCs w:val="30"/>
        </w:rPr>
        <w:t>排的支出。</w:t>
      </w:r>
      <w:bookmarkStart w:id="0" w:name="_GoBack"/>
      <w:bookmarkEnd w:id="0"/>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基本支出：指为保障机构正常运转、完成日常工作任务而发生的人员支出和公用支出。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项目支出：指在基本支出之外为完成特定的行政任务或事业发展目标所发生的支出。</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政府采购：指国家各级政府为从事日常的政务活动或为了满足公共服务的目的，利用国家</w:t>
      </w:r>
      <w:r>
        <w:fldChar w:fldCharType="begin"/>
      </w:r>
      <w:r>
        <w:instrText xml:space="preserve"> HYPERLINK "http://baike.so.com/doc/5716834-5929560.html" \t "_blank" </w:instrText>
      </w:r>
      <w:r>
        <w:fldChar w:fldCharType="separate"/>
      </w:r>
      <w:r>
        <w:rPr>
          <w:rFonts w:hint="eastAsia" w:ascii="仿宋" w:hAnsi="仿宋" w:eastAsia="仿宋" w:cs="仿宋"/>
          <w:bCs/>
          <w:color w:val="111111"/>
          <w:kern w:val="0"/>
          <w:sz w:val="30"/>
          <w:szCs w:val="30"/>
        </w:rPr>
        <w:t>财政性资金</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和政府借款购买货物、工程和服务的行为。政府采购不仅是指具体的</w:t>
      </w:r>
      <w:r>
        <w:fldChar w:fldCharType="begin"/>
      </w:r>
      <w:r>
        <w:instrText xml:space="preserve"> HYPERLINK "http://baike.so.com/doc/4796448-5012566.html" \t "_blank" </w:instrText>
      </w:r>
      <w:r>
        <w:fldChar w:fldCharType="separate"/>
      </w:r>
      <w:r>
        <w:rPr>
          <w:rFonts w:hint="eastAsia" w:ascii="仿宋" w:hAnsi="仿宋" w:eastAsia="仿宋" w:cs="仿宋"/>
          <w:bCs/>
          <w:color w:val="111111"/>
          <w:kern w:val="0"/>
          <w:sz w:val="30"/>
          <w:szCs w:val="30"/>
        </w:rPr>
        <w:t>采购过程</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，而且是采购政策、采购程序、采购过程及采购管理的总称，是一种对公共采购管理的制度。</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国有资产：国有资产是法律上确定为国家所有并能为国家提供经济和</w:t>
      </w:r>
      <w:r>
        <w:fldChar w:fldCharType="begin"/>
      </w:r>
      <w:r>
        <w:instrText xml:space="preserve"> HYPERLINK "http://baike.so.com/doc/741806-785246.html" \t "_blank" </w:instrText>
      </w:r>
      <w:r>
        <w:fldChar w:fldCharType="separate"/>
      </w:r>
      <w:r>
        <w:rPr>
          <w:rFonts w:hint="eastAsia" w:ascii="仿宋" w:hAnsi="仿宋" w:eastAsia="仿宋" w:cs="仿宋"/>
          <w:bCs/>
          <w:color w:val="111111"/>
          <w:kern w:val="0"/>
          <w:sz w:val="30"/>
          <w:szCs w:val="30"/>
        </w:rPr>
        <w:t>社会效益</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的各种</w:t>
      </w:r>
      <w:r>
        <w:fldChar w:fldCharType="begin"/>
      </w:r>
      <w:r>
        <w:instrText xml:space="preserve"> HYPERLINK "http://baike.so.com/doc/7798608-8072703.html" \t "_blank" </w:instrText>
      </w:r>
      <w:r>
        <w:fldChar w:fldCharType="separate"/>
      </w:r>
      <w:r>
        <w:rPr>
          <w:rFonts w:hint="eastAsia" w:ascii="仿宋" w:hAnsi="仿宋" w:eastAsia="仿宋" w:cs="仿宋"/>
          <w:bCs/>
          <w:color w:val="111111"/>
          <w:kern w:val="0"/>
          <w:sz w:val="30"/>
          <w:szCs w:val="30"/>
        </w:rPr>
        <w:t>经济资源</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的总和。就是属于国家所有的一切</w:t>
      </w:r>
      <w:r>
        <w:fldChar w:fldCharType="begin"/>
      </w:r>
      <w:r>
        <w:instrText xml:space="preserve"> HYPERLINK "http://baike.so.com/doc/5368106-5603892.html" \t "_blank" </w:instrText>
      </w:r>
      <w:r>
        <w:fldChar w:fldCharType="separate"/>
      </w:r>
      <w:r>
        <w:rPr>
          <w:rFonts w:hint="eastAsia" w:ascii="仿宋" w:hAnsi="仿宋" w:eastAsia="仿宋" w:cs="仿宋"/>
          <w:bCs/>
          <w:color w:val="111111"/>
          <w:kern w:val="0"/>
          <w:sz w:val="30"/>
          <w:szCs w:val="30"/>
        </w:rPr>
        <w:t>财产</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和财</w:t>
      </w:r>
      <w:r>
        <w:fldChar w:fldCharType="begin"/>
      </w:r>
      <w:r>
        <w:instrText xml:space="preserve"> HYPERLINK "http://baike.so.com/doc/5399886-5637441.html" \t "_blank" </w:instrText>
      </w:r>
      <w:r>
        <w:fldChar w:fldCharType="separate"/>
      </w:r>
      <w:r>
        <w:rPr>
          <w:rFonts w:hint="eastAsia" w:ascii="仿宋" w:hAnsi="仿宋" w:eastAsia="仿宋" w:cs="仿宋"/>
          <w:bCs/>
          <w:color w:val="111111"/>
          <w:kern w:val="0"/>
          <w:sz w:val="30"/>
          <w:szCs w:val="30"/>
        </w:rPr>
        <w:t>产权</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widowControl/>
        <w:spacing w:line="360" w:lineRule="auto"/>
        <w:ind w:firstLine="600" w:firstLineChars="200"/>
        <w:jc w:val="left"/>
        <w:rPr>
          <w:rFonts w:ascii="仿宋" w:hAnsi="仿宋" w:eastAsia="仿宋" w:cs="仿宋"/>
          <w:bCs/>
          <w:color w:val="111111"/>
          <w:kern w:val="0"/>
          <w:sz w:val="30"/>
          <w:szCs w:val="30"/>
        </w:rPr>
      </w:pP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附件：2018年度部门决算公开表格</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收入支出决算总表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收入决算表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财政拨款收入支出决算总表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一般公共预算财政拨款基本支出决算表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一般公共预算财政拨款“三公”经费支出决算表</w:t>
      </w:r>
    </w:p>
    <w:p>
      <w:pPr>
        <w:widowControl/>
        <w:spacing w:line="360" w:lineRule="auto"/>
        <w:ind w:firstLine="600" w:firstLineChars="200"/>
        <w:jc w:val="left"/>
        <w:rPr>
          <w:rFonts w:ascii="仿宋" w:hAnsi="仿宋" w:eastAsia="仿宋" w:cs="仿宋"/>
        </w:rPr>
      </w:pPr>
      <w:r>
        <w:rPr>
          <w:rFonts w:hint="eastAsia" w:ascii="仿宋" w:hAnsi="仿宋" w:eastAsia="仿宋" w:cs="仿宋"/>
          <w:bCs/>
          <w:color w:val="111111"/>
          <w:kern w:val="0"/>
          <w:sz w:val="30"/>
          <w:szCs w:val="30"/>
        </w:rPr>
        <w:t>政府性基金预算财政拨款收入支出决算</w:t>
      </w: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Fonts w:ascii="宋体" w:hAnsi="宋体"/>
        <w:sz w:val="24"/>
        <w:szCs w:val="24"/>
      </w:rPr>
    </w:pPr>
    <w:r>
      <w:rPr>
        <w:rFonts w:ascii="宋体" w:hAnsi="宋体"/>
        <w:sz w:val="24"/>
        <w:szCs w:val="24"/>
      </w:rPr>
      <w:fldChar w:fldCharType="begin"/>
    </w:r>
    <w:r>
      <w:rPr>
        <w:rStyle w:val="8"/>
        <w:rFonts w:ascii="宋体" w:hAnsi="宋体"/>
        <w:sz w:val="24"/>
        <w:szCs w:val="24"/>
      </w:rPr>
      <w:instrText xml:space="preserve">PAGE  </w:instrText>
    </w:r>
    <w:r>
      <w:rPr>
        <w:rFonts w:ascii="宋体" w:hAnsi="宋体"/>
        <w:sz w:val="24"/>
        <w:szCs w:val="24"/>
      </w:rPr>
      <w:fldChar w:fldCharType="separate"/>
    </w:r>
    <w:r>
      <w:rPr>
        <w:rStyle w:val="8"/>
        <w:rFonts w:ascii="宋体" w:hAnsi="宋体"/>
        <w:sz w:val="24"/>
        <w:szCs w:val="24"/>
      </w:rPr>
      <w:t>- 1 -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fldChar w:fldCharType="begin"/>
    </w:r>
    <w:r>
      <w:rPr>
        <w:rStyle w:val="8"/>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3AA4C5C"/>
    <w:multiLevelType w:val="singleLevel"/>
    <w:tmpl w:val="53AA4C5C"/>
    <w:lvl w:ilvl="0" w:tentative="0">
      <w:start w:val="3"/>
      <w:numFmt w:val="chineseCounting"/>
      <w:suff w:val="space"/>
      <w:lvlText w:val="第%1部分"/>
      <w:lvlJc w:val="left"/>
      <w:rPr>
        <w:rFonts w:hint="eastAsia"/>
      </w:rPr>
    </w:lvl>
  </w:abstractNum>
  <w:abstractNum w:abstractNumId="3">
    <w:nsid w:val="5D75BB9F"/>
    <w:multiLevelType w:val="singleLevel"/>
    <w:tmpl w:val="5D75BB9F"/>
    <w:lvl w:ilvl="0" w:tentative="0">
      <w:start w:val="1"/>
      <w:numFmt w:val="chineseCounting"/>
      <w:suff w:val="nothing"/>
      <w:lvlText w:val="%1、"/>
      <w:lvlJc w:val="left"/>
    </w:lvl>
  </w:abstractNum>
  <w:abstractNum w:abstractNumId="4">
    <w:nsid w:val="5D7EDA3B"/>
    <w:multiLevelType w:val="singleLevel"/>
    <w:tmpl w:val="5D7EDA3B"/>
    <w:lvl w:ilvl="0" w:tentative="0">
      <w:start w:val="9"/>
      <w:numFmt w:val="chineseCounting"/>
      <w:suff w:val="nothing"/>
      <w:lvlText w:val="%1、"/>
      <w:lvlJc w:val="left"/>
    </w:lvl>
  </w:abstractNum>
  <w:abstractNum w:abstractNumId="5">
    <w:nsid w:val="7AA90150"/>
    <w:multiLevelType w:val="multilevel"/>
    <w:tmpl w:val="7AA90150"/>
    <w:lvl w:ilvl="0" w:tentative="0">
      <w:start w:val="2"/>
      <w:numFmt w:val="japaneseCounting"/>
      <w:lvlText w:val="%1、"/>
      <w:lvlJc w:val="left"/>
      <w:pPr>
        <w:ind w:left="1363"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DQ1YTFjZDZkOTcyYTdiN2Q1Y2ZlN2U2ZDhjMjFlNWYifQ=="/>
  </w:docVars>
  <w:rsids>
    <w:rsidRoot w:val="141522A4"/>
    <w:rsid w:val="000A024D"/>
    <w:rsid w:val="000C0BAF"/>
    <w:rsid w:val="000D773F"/>
    <w:rsid w:val="001F6EEC"/>
    <w:rsid w:val="0021306F"/>
    <w:rsid w:val="00222395"/>
    <w:rsid w:val="0030160D"/>
    <w:rsid w:val="0030522D"/>
    <w:rsid w:val="00320A33"/>
    <w:rsid w:val="003919B5"/>
    <w:rsid w:val="004075A9"/>
    <w:rsid w:val="00417B81"/>
    <w:rsid w:val="00421353"/>
    <w:rsid w:val="00487193"/>
    <w:rsid w:val="004D28BB"/>
    <w:rsid w:val="004D5BF9"/>
    <w:rsid w:val="00511F33"/>
    <w:rsid w:val="005277EF"/>
    <w:rsid w:val="00553473"/>
    <w:rsid w:val="005F3DC6"/>
    <w:rsid w:val="00675819"/>
    <w:rsid w:val="00750E26"/>
    <w:rsid w:val="008557E7"/>
    <w:rsid w:val="00AA1858"/>
    <w:rsid w:val="00AD0EE3"/>
    <w:rsid w:val="00AE423F"/>
    <w:rsid w:val="00C40921"/>
    <w:rsid w:val="00C52A8C"/>
    <w:rsid w:val="00C569AF"/>
    <w:rsid w:val="00C6646A"/>
    <w:rsid w:val="00D06A62"/>
    <w:rsid w:val="00DF4DCE"/>
    <w:rsid w:val="00E639D4"/>
    <w:rsid w:val="00EE5613"/>
    <w:rsid w:val="00F32109"/>
    <w:rsid w:val="00F47D59"/>
    <w:rsid w:val="00F67769"/>
    <w:rsid w:val="02056C4D"/>
    <w:rsid w:val="023F13DB"/>
    <w:rsid w:val="026066D5"/>
    <w:rsid w:val="029224CF"/>
    <w:rsid w:val="032D5CC6"/>
    <w:rsid w:val="03456C94"/>
    <w:rsid w:val="036A7041"/>
    <w:rsid w:val="0372233B"/>
    <w:rsid w:val="037D750B"/>
    <w:rsid w:val="03CD392E"/>
    <w:rsid w:val="04101647"/>
    <w:rsid w:val="04DF25D8"/>
    <w:rsid w:val="058F3CD4"/>
    <w:rsid w:val="061D3241"/>
    <w:rsid w:val="06265BAD"/>
    <w:rsid w:val="06EE4F18"/>
    <w:rsid w:val="072041B7"/>
    <w:rsid w:val="075B29A0"/>
    <w:rsid w:val="07874C92"/>
    <w:rsid w:val="084670B2"/>
    <w:rsid w:val="0894421E"/>
    <w:rsid w:val="08A3498B"/>
    <w:rsid w:val="08F04202"/>
    <w:rsid w:val="090E785C"/>
    <w:rsid w:val="092248D9"/>
    <w:rsid w:val="093B0FC9"/>
    <w:rsid w:val="09561265"/>
    <w:rsid w:val="099C4029"/>
    <w:rsid w:val="09B50255"/>
    <w:rsid w:val="09E539AA"/>
    <w:rsid w:val="0A11221C"/>
    <w:rsid w:val="0A220A86"/>
    <w:rsid w:val="0ABC48D5"/>
    <w:rsid w:val="0ACA3F20"/>
    <w:rsid w:val="0B3324B9"/>
    <w:rsid w:val="0B65121C"/>
    <w:rsid w:val="0BC654D1"/>
    <w:rsid w:val="0CD159E4"/>
    <w:rsid w:val="0D246A78"/>
    <w:rsid w:val="0D410992"/>
    <w:rsid w:val="0D5E7D65"/>
    <w:rsid w:val="0E1A3CAC"/>
    <w:rsid w:val="0EE571B3"/>
    <w:rsid w:val="10655A3A"/>
    <w:rsid w:val="111937AD"/>
    <w:rsid w:val="124A2012"/>
    <w:rsid w:val="13F15BAA"/>
    <w:rsid w:val="141522A4"/>
    <w:rsid w:val="145C1DAC"/>
    <w:rsid w:val="145E21B2"/>
    <w:rsid w:val="149D7C22"/>
    <w:rsid w:val="14C16853"/>
    <w:rsid w:val="15CE4E6C"/>
    <w:rsid w:val="16292D38"/>
    <w:rsid w:val="1630332A"/>
    <w:rsid w:val="164964BC"/>
    <w:rsid w:val="16BC76C9"/>
    <w:rsid w:val="16EA1D4C"/>
    <w:rsid w:val="17A60DC6"/>
    <w:rsid w:val="180D60E6"/>
    <w:rsid w:val="18D1043D"/>
    <w:rsid w:val="18F92BD2"/>
    <w:rsid w:val="19663C21"/>
    <w:rsid w:val="19722A55"/>
    <w:rsid w:val="19AC136C"/>
    <w:rsid w:val="1A2C2747"/>
    <w:rsid w:val="1A8E2AE4"/>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9730DE"/>
    <w:rsid w:val="20A7189B"/>
    <w:rsid w:val="20DE39CC"/>
    <w:rsid w:val="21585A77"/>
    <w:rsid w:val="21965ECE"/>
    <w:rsid w:val="21B4059F"/>
    <w:rsid w:val="222608DB"/>
    <w:rsid w:val="225125A5"/>
    <w:rsid w:val="22897FD1"/>
    <w:rsid w:val="229E246E"/>
    <w:rsid w:val="22B54AA2"/>
    <w:rsid w:val="234D0F55"/>
    <w:rsid w:val="23C62C14"/>
    <w:rsid w:val="23EB4166"/>
    <w:rsid w:val="241C6F4C"/>
    <w:rsid w:val="243B6E0E"/>
    <w:rsid w:val="246F00D9"/>
    <w:rsid w:val="249A1586"/>
    <w:rsid w:val="258B1D72"/>
    <w:rsid w:val="25D0378A"/>
    <w:rsid w:val="25FA0DB4"/>
    <w:rsid w:val="26241031"/>
    <w:rsid w:val="262D370B"/>
    <w:rsid w:val="26B10EFE"/>
    <w:rsid w:val="277C33F5"/>
    <w:rsid w:val="27AA352E"/>
    <w:rsid w:val="28080359"/>
    <w:rsid w:val="28415CB2"/>
    <w:rsid w:val="284819BC"/>
    <w:rsid w:val="285C7260"/>
    <w:rsid w:val="293B5244"/>
    <w:rsid w:val="296524ED"/>
    <w:rsid w:val="2A675CA6"/>
    <w:rsid w:val="2B2D1149"/>
    <w:rsid w:val="2BD33C97"/>
    <w:rsid w:val="2C2439A5"/>
    <w:rsid w:val="2D8B3C93"/>
    <w:rsid w:val="2F494622"/>
    <w:rsid w:val="2F574F68"/>
    <w:rsid w:val="2FA56B72"/>
    <w:rsid w:val="2FA8566D"/>
    <w:rsid w:val="2FF44D1F"/>
    <w:rsid w:val="301E1A57"/>
    <w:rsid w:val="305A001C"/>
    <w:rsid w:val="30D01C13"/>
    <w:rsid w:val="312D1038"/>
    <w:rsid w:val="31431466"/>
    <w:rsid w:val="31B12627"/>
    <w:rsid w:val="31B14F25"/>
    <w:rsid w:val="32117BFA"/>
    <w:rsid w:val="33A52EDF"/>
    <w:rsid w:val="33B00D4E"/>
    <w:rsid w:val="33B30709"/>
    <w:rsid w:val="33D52F52"/>
    <w:rsid w:val="342D1FD0"/>
    <w:rsid w:val="347F1DF5"/>
    <w:rsid w:val="348148BB"/>
    <w:rsid w:val="349E4F95"/>
    <w:rsid w:val="353D309D"/>
    <w:rsid w:val="354B0485"/>
    <w:rsid w:val="359D1E5E"/>
    <w:rsid w:val="35A27AEB"/>
    <w:rsid w:val="35D376B6"/>
    <w:rsid w:val="363D1DEA"/>
    <w:rsid w:val="36864B31"/>
    <w:rsid w:val="36A976DC"/>
    <w:rsid w:val="36B46223"/>
    <w:rsid w:val="36DD41C9"/>
    <w:rsid w:val="371668A7"/>
    <w:rsid w:val="376B06D5"/>
    <w:rsid w:val="37AF46C9"/>
    <w:rsid w:val="37DD3D7B"/>
    <w:rsid w:val="380E2783"/>
    <w:rsid w:val="38A67532"/>
    <w:rsid w:val="38B91545"/>
    <w:rsid w:val="3942192D"/>
    <w:rsid w:val="395039EC"/>
    <w:rsid w:val="397015C0"/>
    <w:rsid w:val="39AA7758"/>
    <w:rsid w:val="39C905DA"/>
    <w:rsid w:val="3A1671FA"/>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C60AA1"/>
    <w:rsid w:val="41452265"/>
    <w:rsid w:val="419732B8"/>
    <w:rsid w:val="42BD15F0"/>
    <w:rsid w:val="42C0261B"/>
    <w:rsid w:val="43342B06"/>
    <w:rsid w:val="436918DA"/>
    <w:rsid w:val="45114AD5"/>
    <w:rsid w:val="45480DFD"/>
    <w:rsid w:val="454D033D"/>
    <w:rsid w:val="454D1830"/>
    <w:rsid w:val="455C498F"/>
    <w:rsid w:val="456626DA"/>
    <w:rsid w:val="457E5F6B"/>
    <w:rsid w:val="469D50B4"/>
    <w:rsid w:val="469F2AFB"/>
    <w:rsid w:val="4752048D"/>
    <w:rsid w:val="47E7503F"/>
    <w:rsid w:val="480B68BA"/>
    <w:rsid w:val="481C5784"/>
    <w:rsid w:val="48E37E88"/>
    <w:rsid w:val="490A248A"/>
    <w:rsid w:val="493B4F8E"/>
    <w:rsid w:val="49F10D10"/>
    <w:rsid w:val="4A7F6176"/>
    <w:rsid w:val="4B292024"/>
    <w:rsid w:val="4B6F38E8"/>
    <w:rsid w:val="4BF91344"/>
    <w:rsid w:val="4CE65541"/>
    <w:rsid w:val="4DFF3087"/>
    <w:rsid w:val="4E837D65"/>
    <w:rsid w:val="4EB457CE"/>
    <w:rsid w:val="4ED624CF"/>
    <w:rsid w:val="4EFC0914"/>
    <w:rsid w:val="4F5D4E27"/>
    <w:rsid w:val="4FCA7A0D"/>
    <w:rsid w:val="4FD8218C"/>
    <w:rsid w:val="504618A3"/>
    <w:rsid w:val="51077A2F"/>
    <w:rsid w:val="510E570E"/>
    <w:rsid w:val="510F5285"/>
    <w:rsid w:val="514F7C53"/>
    <w:rsid w:val="51663AB7"/>
    <w:rsid w:val="519D0D67"/>
    <w:rsid w:val="526410F9"/>
    <w:rsid w:val="52DA4F90"/>
    <w:rsid w:val="52E61086"/>
    <w:rsid w:val="530A248E"/>
    <w:rsid w:val="532400E8"/>
    <w:rsid w:val="53DF1E0D"/>
    <w:rsid w:val="547218BE"/>
    <w:rsid w:val="5533174C"/>
    <w:rsid w:val="55750B95"/>
    <w:rsid w:val="55FD2C9C"/>
    <w:rsid w:val="56AE6DA8"/>
    <w:rsid w:val="56BF45D7"/>
    <w:rsid w:val="57744A4E"/>
    <w:rsid w:val="57E32236"/>
    <w:rsid w:val="58091D99"/>
    <w:rsid w:val="58AF2417"/>
    <w:rsid w:val="58B77229"/>
    <w:rsid w:val="595C25FA"/>
    <w:rsid w:val="59857969"/>
    <w:rsid w:val="59F87D38"/>
    <w:rsid w:val="5A2439BE"/>
    <w:rsid w:val="5A3E437B"/>
    <w:rsid w:val="5A693D23"/>
    <w:rsid w:val="5A6B5A90"/>
    <w:rsid w:val="5B50022A"/>
    <w:rsid w:val="5C603064"/>
    <w:rsid w:val="5C7A28AC"/>
    <w:rsid w:val="5CDC3175"/>
    <w:rsid w:val="5D6B2104"/>
    <w:rsid w:val="5D9C411E"/>
    <w:rsid w:val="5DBA78EB"/>
    <w:rsid w:val="5E326634"/>
    <w:rsid w:val="5EC53E9C"/>
    <w:rsid w:val="5ECE087A"/>
    <w:rsid w:val="5F070739"/>
    <w:rsid w:val="5F3C4F00"/>
    <w:rsid w:val="601310E5"/>
    <w:rsid w:val="601C7D6A"/>
    <w:rsid w:val="606B1DA7"/>
    <w:rsid w:val="606D372C"/>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8D7F58"/>
    <w:rsid w:val="66A30172"/>
    <w:rsid w:val="66BB423A"/>
    <w:rsid w:val="681A17A6"/>
    <w:rsid w:val="686D0D06"/>
    <w:rsid w:val="689913DD"/>
    <w:rsid w:val="68E328A1"/>
    <w:rsid w:val="69093FDB"/>
    <w:rsid w:val="6917546E"/>
    <w:rsid w:val="69850C5D"/>
    <w:rsid w:val="69C7339C"/>
    <w:rsid w:val="6A05571E"/>
    <w:rsid w:val="6B0A0C3B"/>
    <w:rsid w:val="6B4A2B57"/>
    <w:rsid w:val="6BD702C2"/>
    <w:rsid w:val="6C0C1489"/>
    <w:rsid w:val="6C6F6CF3"/>
    <w:rsid w:val="6CA1218F"/>
    <w:rsid w:val="6D535020"/>
    <w:rsid w:val="6E253E16"/>
    <w:rsid w:val="6E873D36"/>
    <w:rsid w:val="6EB4012D"/>
    <w:rsid w:val="6EE3061B"/>
    <w:rsid w:val="6FB963DE"/>
    <w:rsid w:val="6FF40766"/>
    <w:rsid w:val="70310EB8"/>
    <w:rsid w:val="71B7411E"/>
    <w:rsid w:val="71D37919"/>
    <w:rsid w:val="72DE3D50"/>
    <w:rsid w:val="7366480B"/>
    <w:rsid w:val="73945713"/>
    <w:rsid w:val="7439147C"/>
    <w:rsid w:val="743B1C78"/>
    <w:rsid w:val="74492A3A"/>
    <w:rsid w:val="755D0190"/>
    <w:rsid w:val="7569271E"/>
    <w:rsid w:val="75BE6124"/>
    <w:rsid w:val="75C475DB"/>
    <w:rsid w:val="75E406CC"/>
    <w:rsid w:val="76B41149"/>
    <w:rsid w:val="770254C6"/>
    <w:rsid w:val="77EC3589"/>
    <w:rsid w:val="77FD2102"/>
    <w:rsid w:val="79256D0D"/>
    <w:rsid w:val="799A1446"/>
    <w:rsid w:val="7A3A52C0"/>
    <w:rsid w:val="7B483738"/>
    <w:rsid w:val="7BD06401"/>
    <w:rsid w:val="7C9B09F8"/>
    <w:rsid w:val="7D2865F7"/>
    <w:rsid w:val="7D456302"/>
    <w:rsid w:val="7D5B6D22"/>
    <w:rsid w:val="7DC032B1"/>
    <w:rsid w:val="7EFE21F5"/>
    <w:rsid w:val="7FB0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widowControl/>
      <w:spacing w:beforeAutospacing="1" w:afterAutospacing="1"/>
      <w:jc w:val="left"/>
    </w:pPr>
    <w:rPr>
      <w:rFonts w:ascii="宋体" w:hAnsi="宋体" w:cs="宋体"/>
      <w:kern w:val="0"/>
      <w:sz w:val="24"/>
    </w:rPr>
  </w:style>
  <w:style w:type="character" w:styleId="7">
    <w:name w:val="Strong"/>
    <w:basedOn w:val="6"/>
    <w:autoRedefine/>
    <w:qFormat/>
    <w:uiPriority w:val="0"/>
    <w:rPr>
      <w:b/>
    </w:rPr>
  </w:style>
  <w:style w:type="character" w:styleId="8">
    <w:name w:val="page number"/>
    <w:basedOn w:val="6"/>
    <w:autoRedefine/>
    <w:qFormat/>
    <w:uiPriority w:val="0"/>
  </w:style>
  <w:style w:type="character" w:styleId="9">
    <w:name w:val="Hyperlink"/>
    <w:qFormat/>
    <w:uiPriority w:val="0"/>
    <w:rPr>
      <w:color w:val="141414"/>
      <w:u w:val="none"/>
    </w:rPr>
  </w:style>
  <w:style w:type="character" w:customStyle="1" w:styleId="10">
    <w:name w:val="apple-converted-space"/>
    <w:basedOn w:val="6"/>
    <w:autoRedefine/>
    <w:qFormat/>
    <w:uiPriority w:val="0"/>
  </w:style>
  <w:style w:type="character" w:customStyle="1" w:styleId="11">
    <w:name w:val="页眉 Char"/>
    <w:basedOn w:val="6"/>
    <w:link w:val="3"/>
    <w:uiPriority w:val="0"/>
    <w:rPr>
      <w:kern w:val="2"/>
      <w:sz w:val="18"/>
      <w:szCs w:val="18"/>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Pages>13</Pages>
  <Words>858</Words>
  <Characters>4892</Characters>
  <Lines>40</Lines>
  <Paragraphs>11</Paragraphs>
  <TotalTime>240</TotalTime>
  <ScaleCrop>false</ScaleCrop>
  <LinksUpToDate>false</LinksUpToDate>
  <CharactersWithSpaces>5739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巧克力</cp:lastModifiedBy>
  <cp:lastPrinted>2018-10-11T04:40:00Z</cp:lastPrinted>
  <dcterms:modified xsi:type="dcterms:W3CDTF">2024-03-14T01:21:44Z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1DD3AA07876F479CAA2AF313A378E3E4_12</vt:lpwstr>
  </property>
</Properties>
</file>