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bookmarkStart w:id="0" w:name="_GoBack"/>
      <w:r>
        <w:rPr>
          <w:rFonts w:hint="eastAsia" w:ascii="仿宋" w:hAnsi="仿宋" w:eastAsia="仿宋" w:cs="仿宋"/>
          <w:b/>
          <w:bCs/>
          <w:sz w:val="44"/>
          <w:szCs w:val="44"/>
          <w:highlight w:val="none"/>
          <w:lang w:val="en-US" w:eastAsia="zh-CN"/>
        </w:rPr>
        <w:t>双鸭山市饶河县宣传部 2018年度部门决算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sz w:val="32"/>
          <w:szCs w:val="32"/>
        </w:rPr>
        <w:t>第</w:t>
      </w:r>
      <w:r>
        <w:rPr>
          <w:rFonts w:hint="eastAsia" w:ascii="仿宋" w:hAnsi="仿宋" w:eastAsia="仿宋" w:cs="仿宋"/>
          <w:sz w:val="32"/>
          <w:szCs w:val="32"/>
          <w:lang w:eastAsia="zh-CN"/>
        </w:rPr>
        <w:t>一</w:t>
      </w:r>
      <w:r>
        <w:rPr>
          <w:rFonts w:hint="eastAsia" w:ascii="仿宋" w:hAnsi="仿宋" w:eastAsia="仿宋" w:cs="仿宋"/>
          <w:sz w:val="32"/>
          <w:szCs w:val="32"/>
        </w:rPr>
        <w:t>条  中共饶河县委宣传部(简称县委宣传部)是县委主管意识形态方面工作的职能部门,为正科级。</w:t>
      </w:r>
      <w:r>
        <w:rPr>
          <w:rFonts w:hint="eastAsia" w:ascii="仿宋" w:hAnsi="仿宋" w:eastAsia="仿宋" w:cs="仿宋"/>
          <w:bCs/>
          <w:sz w:val="32"/>
          <w:szCs w:val="32"/>
        </w:rPr>
        <w:t>加挂中共饶河县委网络安全和信息化委员会办公室、饶河县互联网信息办公室、饶河县精神文明建设指导委员会办公室、饶河县政府新闻办公室、饶河县新闻出版局牌子。</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w:t>
      </w:r>
      <w:r>
        <w:rPr>
          <w:rFonts w:hint="eastAsia" w:ascii="仿宋" w:hAnsi="仿宋" w:eastAsia="仿宋" w:cs="仿宋"/>
          <w:sz w:val="32"/>
          <w:szCs w:val="32"/>
          <w:lang w:eastAsia="zh-CN"/>
        </w:rPr>
        <w:t>二</w:t>
      </w:r>
      <w:r>
        <w:rPr>
          <w:rFonts w:hint="eastAsia" w:ascii="仿宋" w:hAnsi="仿宋" w:eastAsia="仿宋" w:cs="仿宋"/>
          <w:sz w:val="32"/>
          <w:szCs w:val="32"/>
        </w:rPr>
        <w:t>条  县委宣传部的主要职责是:</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(一)拟订全县宣传思想文化工作政策和事业发展总体规划,统筹协调推进宣传思想文化领域法制建设,协调宣传思想文化系统各部门之间的工作。</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统筹协调意识形态工作,贯彻落实中央和省委、市委、县委关于意识形态工作决策部署,组织协调意识形态工作责任制落实和日常监督检查,结合巡察工作开展专项检查,负责县委意识形态工作领导小组办公室的日常工作。</w:t>
      </w:r>
    </w:p>
    <w:p>
      <w:pPr>
        <w:adjustRightInd w:val="0"/>
        <w:snapToGrid w:val="0"/>
        <w:spacing w:line="600" w:lineRule="exact"/>
        <w:ind w:firstLine="640" w:firstLineChars="200"/>
        <w:rPr>
          <w:rFonts w:hint="eastAsia" w:ascii="仿宋" w:hAnsi="仿宋" w:eastAsia="仿宋" w:cs="仿宋"/>
          <w:bCs/>
          <w:color w:val="000000"/>
          <w:sz w:val="32"/>
          <w:szCs w:val="32"/>
        </w:rPr>
      </w:pPr>
      <w:r>
        <w:rPr>
          <w:rFonts w:hint="eastAsia" w:ascii="仿宋" w:hAnsi="仿宋" w:eastAsia="仿宋" w:cs="仿宋"/>
          <w:sz w:val="32"/>
          <w:szCs w:val="32"/>
        </w:rPr>
        <w:t>(三)统筹指导协调全县理论研究、理论学习、理论宣传工作,组织推动理论武装工作,组织实施马克思主义理论研究和建设工程,</w:t>
      </w:r>
      <w:r>
        <w:rPr>
          <w:rFonts w:hint="eastAsia" w:ascii="仿宋" w:hAnsi="仿宋" w:eastAsia="仿宋" w:cs="仿宋"/>
          <w:bCs/>
          <w:color w:val="000000"/>
          <w:sz w:val="32"/>
          <w:szCs w:val="32"/>
        </w:rPr>
        <w:t>负责新型智库建设和哲学社会科学规划工作。</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(四)负责规划组织全局性思想政治工作,配合县委组织部做好党员教育工作,</w:t>
      </w:r>
      <w:r>
        <w:rPr>
          <w:rFonts w:hint="eastAsia" w:ascii="仿宋" w:hAnsi="仿宋" w:eastAsia="仿宋" w:cs="仿宋"/>
          <w:bCs/>
          <w:color w:val="000000"/>
          <w:sz w:val="32"/>
          <w:szCs w:val="32"/>
        </w:rPr>
        <w:t>指导协调编写党员教育教材,</w:t>
      </w:r>
      <w:r>
        <w:rPr>
          <w:rFonts w:hint="eastAsia" w:ascii="仿宋" w:hAnsi="仿宋" w:eastAsia="仿宋" w:cs="仿宋"/>
          <w:sz w:val="32"/>
          <w:szCs w:val="32"/>
        </w:rPr>
        <w:t>会同有关部门研究和改进群众思想教育工作。</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(五)统筹分析研判和引导社会舆论,指导协调县直新闻单位工作,组织我县突发公共事件应急新闻工作。</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宣传贯彻新闻出版业相关政策法规并组织实施,管理新闻出版(版权)行政事务,组织协调有关行政审批工作,统筹规划和指导协调新闻出版事业、产业发展,监督管理印刷发行业,组织实施著作权保护、管理、使用工作。组织指导协调全县“扫黄打非”工作。负责驻县记者站的日常管理。</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(七)统筹指导协调互联网宣传和信息内容管理工作。统筹协调数字新媒体的建设与管理。</w:t>
      </w:r>
    </w:p>
    <w:p>
      <w:pPr>
        <w:adjustRightInd w:val="0"/>
        <w:snapToGrid w:val="0"/>
        <w:spacing w:line="600" w:lineRule="exact"/>
        <w:ind w:firstLine="640" w:firstLineChars="200"/>
        <w:rPr>
          <w:rFonts w:hint="eastAsia" w:ascii="仿宋" w:hAnsi="仿宋" w:eastAsia="仿宋" w:cs="仿宋"/>
          <w:bCs/>
          <w:color w:val="000000"/>
          <w:sz w:val="32"/>
          <w:szCs w:val="32"/>
        </w:rPr>
      </w:pPr>
      <w:r>
        <w:rPr>
          <w:rFonts w:hint="eastAsia" w:ascii="仿宋" w:hAnsi="仿宋" w:eastAsia="仿宋" w:cs="仿宋"/>
          <w:sz w:val="32"/>
          <w:szCs w:val="32"/>
        </w:rPr>
        <w:t>(八)统筹指导协调推动精神文化产品的创作和生产,协调组织中华优秀传统文化传承发展有关工作,指导协调推动群众文化建设。</w:t>
      </w:r>
      <w:r>
        <w:rPr>
          <w:rFonts w:hint="eastAsia" w:ascii="仿宋" w:hAnsi="仿宋" w:eastAsia="仿宋" w:cs="仿宋"/>
          <w:bCs/>
          <w:color w:val="000000"/>
          <w:sz w:val="32"/>
          <w:szCs w:val="32"/>
        </w:rPr>
        <w:t>负责管理电影行政事务,指导监管电影放映工作,指导协调全县性重大电影活动。</w:t>
      </w:r>
    </w:p>
    <w:p>
      <w:pPr>
        <w:adjustRightInd w:val="0"/>
        <w:snapToGrid w:val="0"/>
        <w:spacing w:line="600" w:lineRule="exact"/>
        <w:ind w:firstLine="640" w:firstLineChars="200"/>
        <w:rPr>
          <w:rFonts w:hint="eastAsia" w:ascii="仿宋" w:hAnsi="仿宋" w:eastAsia="仿宋" w:cs="仿宋"/>
          <w:b/>
          <w:sz w:val="32"/>
          <w:szCs w:val="32"/>
        </w:rPr>
      </w:pPr>
      <w:r>
        <w:rPr>
          <w:rFonts w:hint="eastAsia" w:ascii="仿宋" w:hAnsi="仿宋" w:eastAsia="仿宋" w:cs="仿宋"/>
          <w:sz w:val="32"/>
          <w:szCs w:val="32"/>
        </w:rPr>
        <w:t>(九) 对新闻出版、广播影视、文化艺术改革发展研究提出政策性建议,统筹指导协调文化体制改革和文化事业、文化产业及旅游业发展。承担县文化体制改革和发展工作领导小组办公室、县委文化体制改革专项小组办公室日常工作。</w:t>
      </w:r>
      <w:r>
        <w:rPr>
          <w:rFonts w:hint="eastAsia" w:ascii="仿宋" w:hAnsi="仿宋" w:eastAsia="仿宋" w:cs="仿宋"/>
          <w:sz w:val="32"/>
          <w:szCs w:val="32"/>
        </w:rPr>
        <w:br w:type="textWrapping"/>
      </w:r>
      <w:r>
        <w:rPr>
          <w:rFonts w:hint="eastAsia" w:ascii="仿宋" w:hAnsi="仿宋" w:eastAsia="仿宋" w:cs="仿宋"/>
          <w:sz w:val="32"/>
          <w:szCs w:val="32"/>
        </w:rPr>
        <w:t xml:space="preserve">    (十)负责处理县委网络安全和信息化委员会日常事务工作，统筹指导舆情信息工作,组织协调开展县内外舆情信息收集分析研判工作,跟踪了解、研究掌握宣传舆情动态。</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十一)负责规划、组织、指导全县精神文明建设工作。负责社会主义核心价值观宣传教育工作,组织开展全县性思想道德教育实践活动。负责全县精神文明建设及共建共育先进单位的考核、命名、管理等工作。负责全县未成年人思想道德建设工作。负责组织协调全县志愿服务工作,承担县精神文明建设指导委员会日常工作。</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(十二)统筹协调对外宣传工作,指导协调有关部门研究拟订对外宣传工作战略、政策和对外宣传事业发展总体规划。统筹协调县内媒体国内外传播能力建设,指导对外文化交流工作,协调推动中华文化走出去工作。</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(十三)统筹协调组织开展新闻发布工作,承担县委新闻发布有关组织协调工作,负责县政府新闻发布组织实施工作,</w:t>
      </w:r>
      <w:r>
        <w:rPr>
          <w:rFonts w:hint="eastAsia" w:ascii="仿宋" w:hAnsi="仿宋" w:eastAsia="仿宋" w:cs="仿宋"/>
          <w:bCs/>
          <w:color w:val="000000"/>
          <w:sz w:val="32"/>
          <w:szCs w:val="32"/>
        </w:rPr>
        <w:t>指导协调县政府各部门和各乡镇的新闻发布工作,</w:t>
      </w:r>
      <w:r>
        <w:rPr>
          <w:rFonts w:hint="eastAsia" w:ascii="仿宋" w:hAnsi="仿宋" w:eastAsia="仿宋" w:cs="仿宋"/>
          <w:sz w:val="32"/>
          <w:szCs w:val="32"/>
        </w:rPr>
        <w:t>推动新闻发言人制度建设。拟订我县重大问题对外宣传口径。</w:t>
      </w:r>
    </w:p>
    <w:p>
      <w:pPr>
        <w:adjustRightInd w:val="0"/>
        <w:snapToGrid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(十四)负责联系县外政府新闻管理机构、主要媒体和智库，会同有关部门做好县外、境外来访记者采访事务方面的工作。负责组织开展新闻领域国内、国际交流与合作。</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仿宋" w:hAnsi="仿宋" w:eastAsia="仿宋" w:cs="仿宋"/>
          <w:color w:val="000000"/>
          <w:sz w:val="32"/>
          <w:szCs w:val="32"/>
        </w:rPr>
        <w:t xml:space="preserve"> (十五)受县委委托,会同县委组织部管理新闻、文化、互联网信息和县属文化企业等方面县直宣传文化单位的领导干部。对乡镇党委宣传委员的任免提出意见。负责有关重要宣传舆论阵地和重要岗位领导干部管理。负责宣传思想文化人才队伍建设。</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(十六)完成县委交办的其他任务。</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综合协调办公室。负责机关日常运转工作和内外联系、综合协调等。掌握工作动态，提供有关信息；负责文秘、保密、保卫、财务和后勤管理工作。统筹指导宣传思想文化领域法治建设,贯彻落实宣传领域有关党内制度,负责起草新闻出版、电影放映的规章制度,承担重大行政处罚听证、复议,以及有关法律事务等工作。负责机关党建工作。负责对文化艺术工作的宏观指导协调和文艺队伍建设,组织协调文艺产品创作的引导和管理,指导推动协调群众文化建设和对外文化交流工作,统筹协调中华优秀传统文化传承发展工程有关工作,负责“五个一工程”作品申报工作，统筹指导协调文化体制改革和文化事业、文化产业及旅游业发展,研究提出新闻出版、广播影视、文化艺术和网络文化等方面改革发展的规划和政策建议,指导协调公共文化服务体系建设,指导文化产业发展资金扶持工作。承担县文化体制改革和发展工作领导小组办公室、县委文化体制改革专项小组办公室日常工作。负责全县新闻出版(版权)行政管理和出版队伍建设,负责全县出版物印刷、复制、发行的管理监督工作。组织实施著作权保护、管理、使用工作,对著作权登记和法定许可使用进行管理。指导行政审批制度改革,组织实施有关行政审批工作,承办出版物经营单位(含音像制品)设立审批、企业从事印刷经营活动审批、设立电影放映单位审批、内部资料性出版物印刷审批事项。负责驻县记者站的日常管理工作。承担电影放映单位和业务的监督管理工作,指导协调全县性重大电影活动。负责与有关电影机构和组织进行联系。</w:t>
      </w:r>
    </w:p>
    <w:p>
      <w:pPr>
        <w:adjustRightInd w:val="0"/>
        <w:snapToGrid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（二）理论建设</w:t>
      </w:r>
      <w:r>
        <w:rPr>
          <w:rFonts w:hint="eastAsia" w:ascii="仿宋" w:hAnsi="仿宋" w:eastAsia="仿宋" w:cs="仿宋"/>
          <w:color w:val="000000"/>
          <w:sz w:val="32"/>
          <w:szCs w:val="32"/>
        </w:rPr>
        <w:t>办公室。</w:t>
      </w:r>
      <w:r>
        <w:rPr>
          <w:rFonts w:hint="eastAsia" w:ascii="仿宋" w:hAnsi="仿宋" w:eastAsia="仿宋" w:cs="仿宋"/>
          <w:sz w:val="32"/>
          <w:szCs w:val="32"/>
        </w:rPr>
        <w:t xml:space="preserve">组织协调县委意识形态工作责任制落实和日常监督检查,结合县委巡察工作开展专项检查,会同有关部门开展意识形态领域风险点排查研判和监控管控工作等。承担县委意识形态工作领导小组办公室日常工作。负责对理论研究、理论学习、理论宣传和理论队伍建设的指导协调。承担县委理论中心组服务工作,指导督促全县党委(党组)理论学习中心组学习。负责马克思主义理论研究和建设工程、报刊网络理论阵地建设等工作。负责拟订饶河新型智库建设发展规划并组织实施。负责规划部署思想政治工作,组织全县重大先进典型的学习和推广,配合有关部门做好党员教育等工作。负责规划全民国防教育工作,协调县人武部和社会各界开展国防教育活动,推广国防教育工作典型经验,指导全县国防教育基地建设。宣传贯彻全省“扫黄打非”方针政策,拟订全县“扫黄打非”行动方案并组织实施，组织指导协调全县“扫黄打非”工作，承担全县“扫黄打非”工作小组日常工作。负责全县精神文明创建活动的组织协调工作。督促检查县文明单位建设有关法规文件的贯彻执行情况。指导各乡镇及各部门开展精神文明和军警民共建共育等创建活动,负责创建活动先进集体考核、命名、管理工作。组织协调、督促检查各乡镇及各部门加强和改进未成年人思想道德建设工作,组织全县性道德教育实践活动。开展文明校园创建工作。拟订全县精神文明建设工作规划。组织开展社会主义核心价值观的宣传教育，推动思想道德教育实践活动。开展调查研究，总结推广先进典型，推进治理道德领域突出问题。承担县精神文明建设指导委员会办公室的日常工作。督促检查有关志愿服务法规文件的贯彻执行情况,组织协调全县志愿服务工作，开展全县性志愿服务主题实践活动，负责志愿服务支持系统的管理和维护。 </w:t>
      </w:r>
    </w:p>
    <w:p>
      <w:pPr>
        <w:adjustRightInd w:val="0"/>
        <w:snapToGrid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三）新闻宣传办公室。负责统筹指导县内新闻舆论宏观管理业务和新闻队伍建设,负责组织协调重大新闻宣传报道活动,负责新闻媒体宣传舆情和内容的分析监管,组织推动新闻理论研究工作。承担统筹协调新媒体建设管理相关工作。负责联系县外新闻管理机构、主要新闻媒体和智库。负责组织协调和指导宣传思想文化系统舆情信息工作,开展社会舆情动态、社会思想反映方面的信息收集报送工作,对社会舆情和思想领域总体态势进行分析研判。 负责指导组织协调我县在域内外的新闻宣传发布工作,承担县委、县政府新闻发布有关组织协调工作,推进新闻发言人制度建设,研究拟订我县重大问题对外宣传口径。配合有关部门做好突发事件处置工作。负责指导协调网络外宣有关工作,组织配合县委、县政府有关部门开展涉及国外、境外大型活动的新闻宣传工作。组织开展新闻领域国内、国际交流和合作,利用国内外媒体宣传推广饶河。组织拟订对外宣传项目规划和中华文化走出去相关工作,协调推动对外宣传有关重大活动,组织协调对外宣传品的策划、制作与发行。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color w:val="000000"/>
          <w:sz w:val="32"/>
          <w:szCs w:val="32"/>
        </w:rPr>
        <w:t>（四）</w:t>
      </w:r>
      <w:r>
        <w:rPr>
          <w:rFonts w:hint="eastAsia" w:ascii="仿宋" w:hAnsi="仿宋" w:eastAsia="仿宋" w:cs="仿宋"/>
          <w:sz w:val="32"/>
          <w:szCs w:val="32"/>
        </w:rPr>
        <w:t>县委网络安全和信息化委员会办公室。负责处理县委网络安全和信息化委员会日常事务工作。组织研究起草全县网络安全和信息化发展战略、宏观规划和重大政策；统筹协调全县网络安全保障体系和可信体系建设，牵头协调有关部门制定相关行业网络安全规划及保障评价指标体系，协调信息安全保护工作；指导推进党政部门、重点行业网络安全保障和信息化工作，推进网络强县有关工程建设，负责我县互联网信息内容管理，统筹协调组织互联网宣传管理和舆论引导工作，维护互联网意识形态安全；负责互联网信息内容监督管理执法，处置和封堵网上有害信息，依据相关法律和规定查处有关违法违规行为和网站。负责协调处理网络安全和信息化重大突发事件与有关应急工作；负责指导协调我县网络舆情信息工作。</w:t>
      </w:r>
      <w:r>
        <w:rPr>
          <w:rFonts w:hint="eastAsia" w:ascii="仿宋" w:hAnsi="仿宋" w:eastAsia="仿宋" w:cs="仿宋"/>
          <w:color w:val="000000"/>
          <w:sz w:val="32"/>
          <w:szCs w:val="32"/>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jc w:val="left"/>
        <w:textAlignment w:val="auto"/>
        <w:outlineLvl w:val="9"/>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县委宣传部行政编制12名。设部长1名，副部长3名。（分管日常工作的副部长、县政府新闻办公室主任、县新闻出版局局长1名，正科级；副部长、县委网络安全和信息化委员会办公室主任、县互联网信息办公室主任1名；副部长、县精神文明建设指导委员会办公室主任1名）。股级领导职数股长4名。</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jc w:val="left"/>
        <w:textAlignment w:val="auto"/>
        <w:outlineLvl w:val="9"/>
        <w:rPr>
          <w:rFonts w:hint="eastAsia" w:ascii="仿宋" w:hAnsi="仿宋" w:eastAsia="仿宋" w:cs="仿宋"/>
          <w:b w:val="0"/>
          <w:bCs w:val="0"/>
          <w:color w:val="000000"/>
          <w:sz w:val="32"/>
          <w:szCs w:val="32"/>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收入支出决算总体情况说明</w:t>
      </w:r>
    </w:p>
    <w:p>
      <w:pPr>
        <w:ind w:firstLine="640"/>
        <w:rPr>
          <w:rFonts w:hint="eastAsia" w:ascii="仿宋" w:hAnsi="仿宋" w:eastAsia="仿宋" w:cs="仿宋"/>
          <w:b w:val="0"/>
          <w:bCs/>
          <w:i w:val="0"/>
          <w:snapToGrid/>
          <w:color w:val="000000"/>
          <w:sz w:val="32"/>
          <w:szCs w:val="32"/>
          <w:lang w:val="en-US"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b w:val="0"/>
          <w:bCs/>
          <w:i w:val="0"/>
          <w:snapToGrid/>
          <w:color w:val="000000"/>
          <w:sz w:val="32"/>
          <w:szCs w:val="32"/>
          <w:lang w:val="en-US" w:eastAsia="zh-CN"/>
        </w:rPr>
        <w:t>174万元，</w:t>
      </w:r>
      <w:r>
        <w:rPr>
          <w:rFonts w:hint="eastAsia" w:ascii="仿宋" w:hAnsi="仿宋" w:eastAsia="仿宋" w:cs="仿宋"/>
          <w:kern w:val="0"/>
          <w:sz w:val="30"/>
          <w:szCs w:val="30"/>
          <w:highlight w:val="none"/>
          <w:u w:val="none"/>
          <w:lang w:val="en-US" w:eastAsia="zh-CN"/>
        </w:rPr>
        <w:t>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174</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用事业基金弥补收支差额</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174</w:t>
      </w:r>
      <w:r>
        <w:rPr>
          <w:rFonts w:hint="eastAsia" w:ascii="仿宋" w:hAnsi="仿宋" w:eastAsia="仿宋" w:cs="仿宋"/>
          <w:kern w:val="0"/>
          <w:sz w:val="30"/>
          <w:szCs w:val="30"/>
          <w:highlight w:val="none"/>
          <w:u w:val="none"/>
        </w:rPr>
        <w:t>万元；结余分配</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124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41.61%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一般公共服务支出减少</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174</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124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41.61%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其它宣传事务支出减少</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174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事业收入</w:t>
      </w:r>
      <w:r>
        <w:rPr>
          <w:rFonts w:hint="eastAsia" w:ascii="仿宋" w:hAnsi="仿宋" w:eastAsia="仿宋" w:cs="仿宋"/>
          <w:sz w:val="30"/>
          <w:szCs w:val="30"/>
          <w:highlight w:val="none"/>
          <w:lang w:val="en-US" w:eastAsia="zh-CN"/>
        </w:rPr>
        <w:t>0万元，占0%；</w:t>
      </w:r>
      <w:r>
        <w:rPr>
          <w:rFonts w:hint="eastAsia" w:ascii="仿宋" w:hAnsi="仿宋" w:eastAsia="仿宋" w:cs="仿宋"/>
          <w:sz w:val="30"/>
          <w:szCs w:val="30"/>
          <w:highlight w:val="none"/>
        </w:rPr>
        <w:t>其他收入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174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124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41.61%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其它宣传事务支出减少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161万元，</w:t>
      </w:r>
      <w:r>
        <w:rPr>
          <w:rFonts w:hint="eastAsia" w:ascii="仿宋" w:hAnsi="仿宋" w:eastAsia="仿宋" w:cs="仿宋"/>
          <w:sz w:val="30"/>
          <w:szCs w:val="30"/>
          <w:highlight w:val="none"/>
        </w:rPr>
        <w:t>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85.06%，</w:t>
      </w:r>
      <w:r>
        <w:rPr>
          <w:rFonts w:hint="eastAsia" w:ascii="仿宋" w:hAnsi="仿宋" w:eastAsia="仿宋" w:cs="仿宋"/>
          <w:sz w:val="30"/>
          <w:szCs w:val="30"/>
          <w:highlight w:val="none"/>
          <w:lang w:eastAsia="zh-CN"/>
        </w:rPr>
        <w:t>项目支出</w:t>
      </w:r>
      <w:r>
        <w:rPr>
          <w:rFonts w:hint="eastAsia" w:ascii="仿宋" w:hAnsi="仿宋" w:eastAsia="仿宋" w:cs="仿宋"/>
          <w:sz w:val="30"/>
          <w:szCs w:val="30"/>
          <w:highlight w:val="none"/>
          <w:lang w:val="en-US" w:eastAsia="zh-CN"/>
        </w:rPr>
        <w:t>13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占支出合计的15.94%。</w:t>
      </w:r>
      <w:r>
        <w:rPr>
          <w:rFonts w:hint="eastAsia" w:ascii="仿宋" w:hAnsi="仿宋" w:eastAsia="仿宋" w:cs="仿宋"/>
          <w:sz w:val="30"/>
          <w:szCs w:val="30"/>
          <w:highlight w:val="none"/>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900" w:firstLineChars="300"/>
        <w:jc w:val="left"/>
        <w:textAlignment w:val="auto"/>
        <w:outlineLvl w:val="9"/>
        <w:rPr>
          <w:rFonts w:hint="eastAsia" w:ascii="仿宋" w:hAnsi="仿宋" w:eastAsia="仿宋" w:cs="仿宋"/>
          <w:sz w:val="32"/>
          <w:szCs w:val="32"/>
          <w:highlight w:val="none"/>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174</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124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41.61%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其它宣传事务支出减少</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一般公共预算财政拨款支出决算情况说明</w:t>
      </w:r>
    </w:p>
    <w:p>
      <w:pPr>
        <w:widowControl/>
        <w:numPr>
          <w:ilvl w:val="0"/>
          <w:numId w:val="0"/>
        </w:numPr>
        <w:wordWrap/>
        <w:adjustRightInd/>
        <w:snapToGrid/>
        <w:spacing w:line="360" w:lineRule="auto"/>
        <w:ind w:right="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 xml:space="preserve"> （一）一般公共预算财政拨款支出决算总体情况。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174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124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41.61%</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其它宣传事务支出减少</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174</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116</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66.7</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23</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13.2%；</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28</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16.09</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医疗卫生与计划生育支出</w:t>
      </w:r>
      <w:r>
        <w:rPr>
          <w:rFonts w:hint="eastAsia" w:ascii="仿宋" w:hAnsi="仿宋" w:eastAsia="仿宋" w:cs="仿宋"/>
          <w:sz w:val="30"/>
          <w:szCs w:val="30"/>
          <w:highlight w:val="none"/>
          <w:lang w:val="en-US" w:eastAsia="zh-CN"/>
        </w:rPr>
        <w:t>7万元，占4.02%</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widowControl/>
        <w:numPr>
          <w:ilvl w:val="0"/>
          <w:numId w:val="0"/>
        </w:numPr>
        <w:wordWrap/>
        <w:adjustRightInd/>
        <w:snapToGrid/>
        <w:spacing w:line="360" w:lineRule="auto"/>
        <w:ind w:left="0" w:leftChars="0" w:right="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130</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174</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133.8%</w:t>
      </w:r>
      <w:r>
        <w:rPr>
          <w:rFonts w:hint="eastAsia" w:ascii="仿宋" w:hAnsi="仿宋" w:eastAsia="仿宋" w:cs="仿宋"/>
          <w:sz w:val="30"/>
          <w:szCs w:val="30"/>
          <w:highlight w:val="none"/>
        </w:rPr>
        <w:t>。其中：</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130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116万元，完成年初预算的89.2%</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行政事业单位医疗卫生和计划生育支出</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7万元，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23万元，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28万元，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161</w:t>
      </w:r>
      <w:r>
        <w:rPr>
          <w:rFonts w:hint="eastAsia" w:ascii="仿宋" w:hAnsi="仿宋" w:eastAsia="仿宋" w:cs="仿宋"/>
          <w:sz w:val="30"/>
          <w:szCs w:val="30"/>
          <w:highlight w:val="none"/>
        </w:rPr>
        <w:t>万元，其中：</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151</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一般公共预算财政拨款“三公”经费支出决算情况说明</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2017年减少3万元,主要原因是无三公经费支出。。</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b/>
          <w:bCs/>
          <w:sz w:val="30"/>
          <w:szCs w:val="30"/>
          <w:highlight w:val="none"/>
        </w:rPr>
        <w:t>因公出国（境）费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；与上年决算相比，保持不变</w:t>
      </w:r>
      <w:r>
        <w:rPr>
          <w:rFonts w:hint="eastAsia" w:ascii="仿宋" w:hAnsi="仿宋" w:eastAsia="仿宋" w:cs="仿宋"/>
          <w:sz w:val="30"/>
          <w:szCs w:val="30"/>
          <w:highlight w:val="none"/>
          <w:lang w:val="en-US" w:eastAsia="zh-CN"/>
        </w:rPr>
        <w:t>，主要原因是无；</w:t>
      </w:r>
      <w:r>
        <w:rPr>
          <w:rFonts w:hint="eastAsia" w:ascii="仿宋" w:hAnsi="仿宋" w:eastAsia="仿宋" w:cs="仿宋"/>
          <w:sz w:val="30"/>
          <w:szCs w:val="30"/>
          <w:highlight w:val="none"/>
        </w:rPr>
        <w:t>全年安排因公出国（境）团组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个，累计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人次。</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w:t>
      </w: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主要原因是无；其中：公务用车购置支出0万元，</w:t>
      </w:r>
      <w:r>
        <w:rPr>
          <w:rFonts w:hint="eastAsia" w:ascii="仿宋" w:hAnsi="仿宋" w:eastAsia="仿宋" w:cs="仿宋"/>
          <w:sz w:val="30"/>
          <w:szCs w:val="30"/>
          <w:highlight w:val="none"/>
          <w:lang w:eastAsia="zh-CN"/>
        </w:rPr>
        <w:t>与上年决算比保持不变</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公务用车购置数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台，公务用车保有量为</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台，</w:t>
      </w:r>
      <w:r>
        <w:rPr>
          <w:rFonts w:hint="eastAsia" w:ascii="仿宋" w:hAnsi="仿宋" w:eastAsia="仿宋" w:cs="仿宋"/>
          <w:sz w:val="30"/>
          <w:szCs w:val="30"/>
          <w:highlight w:val="none"/>
          <w:lang w:val="en-US" w:eastAsia="zh-CN"/>
        </w:rPr>
        <w:t>公务用车运行维护费0万元。</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b/>
          <w:bCs/>
          <w:sz w:val="30"/>
          <w:szCs w:val="30"/>
          <w:highlight w:val="none"/>
          <w:lang w:val="en-US" w:eastAsia="zh-CN"/>
        </w:rPr>
        <w:t>3、</w:t>
      </w:r>
      <w:r>
        <w:rPr>
          <w:rFonts w:hint="eastAsia" w:ascii="仿宋" w:hAnsi="仿宋" w:eastAsia="仿宋" w:cs="仿宋"/>
          <w:b/>
          <w:bCs/>
          <w:sz w:val="30"/>
          <w:szCs w:val="30"/>
          <w:highlight w:val="none"/>
        </w:rPr>
        <w:t>公务接待费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无；与上年决算比下降</w:t>
      </w:r>
      <w:r>
        <w:rPr>
          <w:rFonts w:hint="eastAsia" w:ascii="仿宋" w:hAnsi="仿宋" w:eastAsia="仿宋" w:cs="仿宋"/>
          <w:sz w:val="30"/>
          <w:szCs w:val="30"/>
          <w:highlight w:val="none"/>
          <w:lang w:val="en-US" w:eastAsia="zh-CN"/>
        </w:rPr>
        <w:t>，主要原因是无。</w:t>
      </w:r>
      <w:r>
        <w:rPr>
          <w:rFonts w:hint="eastAsia" w:ascii="仿宋" w:hAnsi="仿宋" w:eastAsia="仿宋" w:cs="仿宋"/>
          <w:sz w:val="30"/>
          <w:szCs w:val="30"/>
          <w:highlight w:val="none"/>
        </w:rPr>
        <w:t>其中：国内公务接待费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万元，国内公务接待批次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个，国内公务接待人次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人；国（境）外公务接待费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万元，国（境）外公务接待批次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个，国（境）外公务接待人次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度政府性基金预算财政拨款年初结转和结余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万元，本年收入决算数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万元，年末结转和结余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年相比，政府性基金预算财政拨款支出增加</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万元，主要原因是</w:t>
      </w:r>
      <w:r>
        <w:rPr>
          <w:rFonts w:hint="eastAsia" w:ascii="仿宋" w:hAnsi="仿宋" w:eastAsia="仿宋" w:cs="仿宋"/>
          <w:sz w:val="30"/>
          <w:szCs w:val="30"/>
          <w:highlight w:val="none"/>
          <w:lang w:eastAsia="zh-CN"/>
        </w:rPr>
        <w:t>无。</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lang w:eastAsia="zh-CN"/>
        </w:rPr>
        <w:t>。</w:t>
      </w:r>
    </w:p>
    <w:p>
      <w:pPr>
        <w:widowControl/>
        <w:numPr>
          <w:ilvl w:val="0"/>
          <w:numId w:val="5"/>
        </w:numPr>
        <w:wordWrap/>
        <w:adjustRightInd/>
        <w:snapToGrid/>
        <w:spacing w:line="360" w:lineRule="auto"/>
        <w:ind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widowControl/>
        <w:numPr>
          <w:ilvl w:val="0"/>
          <w:numId w:val="0"/>
        </w:numPr>
        <w:wordWrap/>
        <w:adjustRightInd/>
        <w:snapToGrid/>
        <w:spacing w:line="360" w:lineRule="auto"/>
        <w:ind w:right="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2018年度没有XX万元以上项目、政府购买公共服务项目和市级以上专项，故没有开展绩效评价工作。</w:t>
      </w:r>
    </w:p>
    <w:p>
      <w:pPr>
        <w:widowControl/>
        <w:numPr>
          <w:ilvl w:val="0"/>
          <w:numId w:val="5"/>
        </w:numPr>
        <w:wordWrap/>
        <w:adjustRightInd/>
        <w:snapToGrid/>
        <w:spacing w:line="360" w:lineRule="auto"/>
        <w:ind w:left="0"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其他重要事项情况说明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较年初预算减少</w:t>
      </w:r>
      <w:r>
        <w:rPr>
          <w:rFonts w:hint="eastAsia" w:ascii="仿宋" w:hAnsi="仿宋" w:eastAsia="仿宋" w:cs="仿宋"/>
          <w:sz w:val="30"/>
          <w:szCs w:val="30"/>
          <w:highlight w:val="none"/>
          <w:lang w:val="en-US" w:eastAsia="zh-CN"/>
        </w:rPr>
        <w:t>10万元，减少50%，主要原因</w:t>
      </w:r>
      <w:r>
        <w:rPr>
          <w:rFonts w:hint="eastAsia" w:ascii="仿宋" w:hAnsi="仿宋" w:eastAsia="仿宋" w:cs="仿宋"/>
          <w:sz w:val="30"/>
          <w:szCs w:val="30"/>
          <w:highlight w:val="none"/>
          <w:lang w:eastAsia="zh-CN"/>
        </w:rPr>
        <w:t>预算执行期间根据实际情况调整预算</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较上年决算持平</w:t>
      </w:r>
      <w:r>
        <w:rPr>
          <w:rFonts w:hint="eastAsia" w:ascii="仿宋" w:hAnsi="仿宋" w:eastAsia="仿宋" w:cs="仿宋"/>
          <w:sz w:val="30"/>
          <w:szCs w:val="30"/>
          <w:highlight w:val="none"/>
        </w:rPr>
        <w:t>，主要原因是：压缩公用经费支出</w:t>
      </w:r>
      <w:r>
        <w:rPr>
          <w:rFonts w:hint="eastAsia" w:ascii="仿宋" w:hAnsi="仿宋" w:eastAsia="仿宋" w:cs="仿宋"/>
          <w:sz w:val="30"/>
          <w:szCs w:val="30"/>
          <w:highlight w:val="none"/>
          <w:lang w:eastAsia="zh-CN"/>
        </w:rPr>
        <w:t>。</w:t>
      </w:r>
    </w:p>
    <w:p>
      <w:pPr>
        <w:widowControl/>
        <w:numPr>
          <w:ilvl w:val="0"/>
          <w:numId w:val="6"/>
        </w:numPr>
        <w:wordWrap/>
        <w:adjustRightInd/>
        <w:snapToGrid/>
        <w:spacing w:line="360" w:lineRule="auto"/>
        <w:ind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政府采购支出情况</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firstLine="640"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Cs/>
          <w:color w:val="111111"/>
          <w:kern w:val="0"/>
          <w:sz w:val="32"/>
          <w:szCs w:val="32"/>
          <w:highlight w:val="none"/>
          <w:lang w:eastAsia="zh-CN"/>
        </w:rPr>
        <w:t>2018年本部门政府采购支出总额</w:t>
      </w:r>
      <w:r>
        <w:rPr>
          <w:rFonts w:hint="eastAsia" w:ascii="仿宋" w:hAnsi="仿宋" w:eastAsia="仿宋" w:cs="仿宋"/>
          <w:bCs/>
          <w:color w:val="111111"/>
          <w:kern w:val="0"/>
          <w:sz w:val="32"/>
          <w:szCs w:val="32"/>
          <w:highlight w:val="none"/>
          <w:lang w:val="en-US" w:eastAsia="zh-CN"/>
        </w:rPr>
        <w:t>559.95</w:t>
      </w:r>
      <w:r>
        <w:rPr>
          <w:rFonts w:hint="eastAsia" w:ascii="仿宋" w:hAnsi="仿宋" w:eastAsia="仿宋" w:cs="仿宋"/>
          <w:bCs/>
          <w:color w:val="111111"/>
          <w:kern w:val="0"/>
          <w:sz w:val="32"/>
          <w:szCs w:val="32"/>
          <w:highlight w:val="none"/>
          <w:lang w:eastAsia="zh-CN"/>
        </w:rPr>
        <w:t>万元，其中：一般公共货物支出</w:t>
      </w:r>
      <w:r>
        <w:rPr>
          <w:rFonts w:hint="eastAsia" w:ascii="仿宋" w:hAnsi="仿宋" w:eastAsia="仿宋" w:cs="仿宋"/>
          <w:bCs/>
          <w:color w:val="111111"/>
          <w:kern w:val="0"/>
          <w:sz w:val="32"/>
          <w:szCs w:val="32"/>
          <w:highlight w:val="none"/>
          <w:lang w:val="en-US" w:eastAsia="zh-CN"/>
        </w:rPr>
        <w:t>559.95</w:t>
      </w:r>
      <w:r>
        <w:rPr>
          <w:rFonts w:hint="eastAsia" w:ascii="仿宋" w:hAnsi="仿宋" w:eastAsia="仿宋" w:cs="仿宋"/>
          <w:bCs/>
          <w:color w:val="111111"/>
          <w:kern w:val="0"/>
          <w:sz w:val="32"/>
          <w:szCs w:val="32"/>
          <w:highlight w:val="none"/>
          <w:lang w:eastAsia="zh-CN"/>
        </w:rPr>
        <w:t>万元、政府采购工程支出0万元、政府采购服务支出0万元。</w:t>
      </w:r>
    </w:p>
    <w:p>
      <w:pPr>
        <w:widowControl/>
        <w:numPr>
          <w:ilvl w:val="0"/>
          <w:numId w:val="0"/>
        </w:numPr>
        <w:wordWrap/>
        <w:adjustRightInd/>
        <w:snapToGrid/>
        <w:spacing w:line="360" w:lineRule="auto"/>
        <w:ind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r>
        <w:rPr>
          <w:rFonts w:hint="eastAsia" w:ascii="仿宋" w:hAnsi="仿宋" w:eastAsia="仿宋" w:cs="仿宋"/>
          <w:bCs/>
          <w:color w:val="111111"/>
          <w:kern w:val="0"/>
          <w:sz w:val="32"/>
          <w:szCs w:val="32"/>
          <w:highlight w:val="none"/>
          <w:lang w:eastAsia="zh-CN"/>
        </w:rPr>
        <w:t>截至2018年12月31日，本部门共有车辆</w:t>
      </w:r>
      <w:r>
        <w:rPr>
          <w:rFonts w:hint="eastAsia" w:ascii="仿宋" w:hAnsi="仿宋" w:eastAsia="仿宋" w:cs="仿宋"/>
          <w:bCs/>
          <w:color w:val="111111"/>
          <w:kern w:val="0"/>
          <w:sz w:val="32"/>
          <w:szCs w:val="32"/>
          <w:highlight w:val="none"/>
          <w:lang w:val="en-US" w:eastAsia="zh-CN"/>
        </w:rPr>
        <w:t>2</w:t>
      </w:r>
      <w:r>
        <w:rPr>
          <w:rFonts w:hint="eastAsia" w:ascii="仿宋" w:hAnsi="仿宋" w:eastAsia="仿宋" w:cs="仿宋"/>
          <w:bCs/>
          <w:color w:val="111111"/>
          <w:kern w:val="0"/>
          <w:sz w:val="32"/>
          <w:szCs w:val="32"/>
          <w:highlight w:val="none"/>
          <w:lang w:eastAsia="zh-CN"/>
        </w:rPr>
        <w:t>辆，其中：副部（省）级及以上领导用车0辆、主要领导干部用车0辆、机要通信用车0辆，应急保障用车0辆、执法执勤用车0辆、特种专业技术用车0辆、离退休干部用车0辆，其他用车</w:t>
      </w:r>
      <w:r>
        <w:rPr>
          <w:rFonts w:hint="eastAsia" w:ascii="仿宋" w:hAnsi="仿宋" w:eastAsia="仿宋" w:cs="仿宋"/>
          <w:bCs/>
          <w:color w:val="111111"/>
          <w:kern w:val="0"/>
          <w:sz w:val="32"/>
          <w:szCs w:val="32"/>
          <w:highlight w:val="none"/>
          <w:lang w:val="en-US" w:eastAsia="zh-CN"/>
        </w:rPr>
        <w:t>2</w:t>
      </w:r>
      <w:r>
        <w:rPr>
          <w:rFonts w:hint="eastAsia" w:ascii="仿宋" w:hAnsi="仿宋" w:eastAsia="仿宋" w:cs="仿宋"/>
          <w:bCs/>
          <w:color w:val="111111"/>
          <w:kern w:val="0"/>
          <w:sz w:val="32"/>
          <w:szCs w:val="32"/>
          <w:highlight w:val="none"/>
          <w:lang w:eastAsia="zh-CN"/>
        </w:rPr>
        <w:t>辆。单价50万元以上通用设备0台(套)，单价50万元以上专用设备0台(套)。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val="en-US" w:eastAsia="zh-CN"/>
        </w:rPr>
        <w:t>安</w:t>
      </w:r>
      <w:r>
        <w:rPr>
          <w:rFonts w:hint="eastAsia" w:ascii="仿宋" w:hAnsi="仿宋" w:eastAsia="仿宋" w:cs="仿宋"/>
          <w:bCs/>
          <w:color w:val="111111"/>
          <w:kern w:val="0"/>
          <w:sz w:val="30"/>
          <w:szCs w:val="30"/>
          <w:highlight w:val="none"/>
        </w:rPr>
        <w:t>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bookmarkEnd w:id="0"/>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F2398"/>
    <w:multiLevelType w:val="singleLevel"/>
    <w:tmpl w:val="A8FF2398"/>
    <w:lvl w:ilvl="0" w:tentative="0">
      <w:start w:val="2"/>
      <w:numFmt w:val="chineseCounting"/>
      <w:suff w:val="nothing"/>
      <w:lvlText w:val="（%1）"/>
      <w:lvlJc w:val="left"/>
      <w:rPr>
        <w:rFonts w:hint="eastAsia"/>
      </w:rPr>
    </w:lvl>
  </w:abstractNum>
  <w:abstractNum w:abstractNumId="1">
    <w:nsid w:val="DA56DA53"/>
    <w:multiLevelType w:val="singleLevel"/>
    <w:tmpl w:val="DA56DA53"/>
    <w:lvl w:ilvl="0" w:tentative="0">
      <w:start w:val="1"/>
      <w:numFmt w:val="chineseCounting"/>
      <w:suff w:val="nothing"/>
      <w:lvlText w:val="%1、"/>
      <w:lvlJc w:val="left"/>
      <w:rPr>
        <w:rFonts w:hint="eastAsia"/>
      </w:rPr>
    </w:lvl>
  </w:abstractNum>
  <w:abstractNum w:abstractNumId="2">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3AA4C5C"/>
    <w:multiLevelType w:val="singleLevel"/>
    <w:tmpl w:val="53AA4C5C"/>
    <w:lvl w:ilvl="0" w:tentative="0">
      <w:start w:val="3"/>
      <w:numFmt w:val="chineseCounting"/>
      <w:suff w:val="space"/>
      <w:lvlText w:val="第%1部分"/>
      <w:lvlJc w:val="left"/>
      <w:rPr>
        <w:rFonts w:hint="eastAsia"/>
      </w:rPr>
    </w:lvl>
  </w:abstractNum>
  <w:abstractNum w:abstractNumId="5">
    <w:nsid w:val="5D7EDA3B"/>
    <w:multiLevelType w:val="singleLevel"/>
    <w:tmpl w:val="5D7EDA3B"/>
    <w:lvl w:ilvl="0" w:tentative="0">
      <w:start w:val="9"/>
      <w:numFmt w:val="chineseCounting"/>
      <w:suff w:val="nothing"/>
      <w:lvlText w:val="%1、"/>
      <w:lvlJc w:val="left"/>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6E494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DD304A5"/>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4B349C"/>
    <w:rsid w:val="49612299"/>
    <w:rsid w:val="49F10D10"/>
    <w:rsid w:val="4A7F6176"/>
    <w:rsid w:val="4B137C3E"/>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72E78"/>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4911C30"/>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Michael</cp:lastModifiedBy>
  <cp:lastPrinted>2019-10-16T06:30:00Z</cp:lastPrinted>
  <dcterms:modified xsi:type="dcterms:W3CDTF">2024-03-14T06:49:26Z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2EB1824AA47F4B8D838E1DCF02883924</vt:lpwstr>
  </property>
</Properties>
</file>