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bCs/>
          <w:sz w:val="44"/>
          <w:szCs w:val="44"/>
          <w:highlight w:val="none"/>
          <w:lang w:val="en-US"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饶河县市场监督管理局2018年度部门决算</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信息及有关情况说明</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r>
        <w:rPr>
          <w:rFonts w:hint="eastAsia" w:ascii="仿宋" w:hAnsi="仿宋" w:eastAsia="仿宋" w:cs="仿宋"/>
          <w:b/>
          <w:bCs/>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六</w:t>
      </w:r>
      <w:r>
        <w:rPr>
          <w:rFonts w:hint="eastAsia" w:ascii="仿宋" w:hAnsi="仿宋" w:eastAsia="仿宋" w:cs="仿宋"/>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七</w:t>
      </w:r>
      <w:r>
        <w:rPr>
          <w:rFonts w:hint="eastAsia" w:ascii="仿宋" w:hAnsi="仿宋" w:eastAsia="仿宋" w:cs="仿宋"/>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八</w:t>
      </w:r>
      <w:r>
        <w:rPr>
          <w:rFonts w:hint="eastAsia" w:ascii="仿宋" w:hAnsi="仿宋" w:eastAsia="仿宋" w:cs="仿宋"/>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九、</w:t>
      </w:r>
      <w:r>
        <w:rPr>
          <w:rFonts w:hint="eastAsia" w:ascii="仿宋" w:hAnsi="仿宋" w:eastAsia="仿宋" w:cs="仿宋"/>
          <w:b w:val="0"/>
          <w:bCs w:val="0"/>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eastAsia="zh-CN"/>
        </w:rPr>
        <w:t>十</w:t>
      </w:r>
      <w:r>
        <w:rPr>
          <w:rFonts w:hint="eastAsia" w:ascii="仿宋" w:hAnsi="仿宋" w:eastAsia="仿宋" w:cs="仿宋"/>
          <w:b w:val="0"/>
          <w:bCs w:val="0"/>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w:t>
      </w:r>
      <w:r>
        <w:rPr>
          <w:rFonts w:hint="eastAsia" w:ascii="仿宋" w:hAnsi="仿宋" w:eastAsia="仿宋" w:cs="仿宋"/>
          <w:b w:val="0"/>
          <w:bCs w:val="0"/>
          <w:sz w:val="30"/>
          <w:szCs w:val="30"/>
          <w:highlight w:val="none"/>
          <w:lang w:eastAsia="zh-CN"/>
        </w:rPr>
        <w:t>）</w:t>
      </w:r>
      <w:r>
        <w:rPr>
          <w:rFonts w:hint="eastAsia" w:ascii="仿宋" w:hAnsi="仿宋" w:eastAsia="仿宋" w:cs="仿宋"/>
          <w:b w:val="0"/>
          <w:bCs w:val="0"/>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rPr>
      </w:pPr>
      <w:r>
        <w:rPr>
          <w:rFonts w:hint="eastAsia" w:ascii="仿宋" w:hAnsi="仿宋" w:eastAsia="仿宋" w:cs="仿宋"/>
          <w:b/>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sz w:val="32"/>
          <w:szCs w:val="32"/>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第四部分</w:t>
      </w:r>
      <w:r>
        <w:rPr>
          <w:rFonts w:hint="eastAsia" w:ascii="仿宋" w:hAnsi="仿宋" w:eastAsia="仿宋" w:cs="仿宋"/>
          <w:b/>
          <w:sz w:val="32"/>
          <w:szCs w:val="32"/>
          <w:highlight w:val="none"/>
          <w:lang w:val="en-US" w:eastAsia="zh-CN"/>
        </w:rPr>
        <w:t>2018年度部门决算公开表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000000"/>
          <w:kern w:val="0"/>
          <w:sz w:val="32"/>
          <w:szCs w:val="32"/>
          <w:highlight w:val="none"/>
        </w:rPr>
      </w:pPr>
      <w:r>
        <w:rPr>
          <w:rFonts w:hint="eastAsia" w:ascii="仿宋" w:hAnsi="仿宋" w:eastAsia="仿宋" w:cs="仿宋"/>
          <w:b/>
          <w:bCs/>
          <w:color w:val="000000"/>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部门职责</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rPr>
        <w:t>（一）贯彻执行国家、省、市有关工商行政管理、质量技术监督、食品药品监督管理工作的方针、政策和法律、法规；拟订相关规范性文件和政策、措施并组织实施。</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（二）拟订并组织实施市场监督管理事业发展规划和技术机构建设规划；组织推进质量发展工作。</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（三）负责涉及工商行政管理、质量技术监督、食品药品监督管理的各类行政审批和行政许可并监督管理。组织查处违反工商行政管理、质量技术监督、食品药品监督管理法律、法规、规章的行为。</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（四）依法承担对各类市场经营秩序监管责任，维护公平竞争的市场经营秩序；组织开展企业信用体系建设，推进政府企业信用、行业信用建设，实施信用分类管理；依法监督管理经纪人、经纪机构及经纪活动。</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五）负责药品、医疗器械行政监督和技术监督，监督实施药品和医疗器械研制、生产、流通、使用等方面的质量管理规范;监督实施国家药品标准和国家基本药物目录;监督实施处方药、非处方药分类管理制度；负责药品、化妆品不良反应和医疗器械不良事件监测工作;组织实施执业药师资格认定制度，配合实施医药从业人员职业资格准入制度。</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（六）依法承担消费者权益保护责任，建立消费者权益保护体系，组织指导消费维权工作；负责做好涉及工商行政管理、质量技术监督、食品药品监督管理的申诉和举报工作。</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（七）依法实施合同行政监督管理，规范合同行为；组织管理注册商标、广告发布与广告经营活动，依法查处商标侵权、广告违法行为。</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八）负责质量管理和产品质量监督检验工作；负责纤维质量监督工作;组织产品质量预警、监测工作；依法组织协调重大质量事故的调查处理和缺陷产品召回制度；负责工业产品生产许可证和能效标识的监督管理；组织推进质量发展工作。</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 xml:space="preserve">（九）组织推行法定计量单位和国家计量制度；依法管理辖区计量器具及量值传递和比对工作；负责规范和监督商品计量和市场计量行为；负责实施制造、修理计量器具许可，计量检定员资格认定，计量标准器具核准，计量检定机构授权审批。 </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十）组织协调和指导推动各部门、各行业的标准化工作；依法组织制定地方标准规范；负责企业标准（食品安全企业标准除外,下同）备案管理；依法对各级各类标准的实施进行监督；管理组织机构代码、商品条码和信息技术标准化工作。</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（十一）负责管理合格评定工作；依法负责检验机构及其检验服务活动的监督管理工作；规范和监督认证市场行为；组织实施强制性认证产品监督工作；负责管理地理标志保护产品工作。</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（十二）负责锅炉、压力容器、压力管道、电梯、起重机械、客运索道、</w:t>
      </w:r>
      <w:r>
        <w:rPr>
          <w:rFonts w:hint="eastAsia" w:ascii="仿宋" w:hAnsi="仿宋" w:eastAsia="仿宋" w:cs="仿宋"/>
          <w:color w:val="333333"/>
          <w:kern w:val="0"/>
          <w:sz w:val="32"/>
          <w:szCs w:val="32"/>
        </w:rPr>
        <w:fldChar w:fldCharType="begin"/>
      </w:r>
      <w:r>
        <w:rPr>
          <w:rFonts w:hint="eastAsia" w:ascii="仿宋" w:hAnsi="仿宋" w:eastAsia="仿宋" w:cs="仿宋"/>
          <w:color w:val="333333"/>
          <w:kern w:val="0"/>
          <w:sz w:val="32"/>
          <w:szCs w:val="32"/>
        </w:rPr>
        <w:instrText xml:space="preserve"> HYPERLINK "http://baike.baidu.com/view/3474947.htm" \t "_blank" </w:instrText>
      </w:r>
      <w:r>
        <w:rPr>
          <w:rFonts w:hint="eastAsia" w:ascii="仿宋" w:hAnsi="仿宋" w:eastAsia="仿宋" w:cs="仿宋"/>
          <w:color w:val="333333"/>
          <w:kern w:val="0"/>
          <w:sz w:val="32"/>
          <w:szCs w:val="32"/>
        </w:rPr>
        <w:fldChar w:fldCharType="separate"/>
      </w:r>
      <w:r>
        <w:rPr>
          <w:rFonts w:hint="eastAsia" w:ascii="仿宋" w:hAnsi="仿宋" w:eastAsia="仿宋" w:cs="仿宋"/>
          <w:color w:val="333333"/>
          <w:kern w:val="0"/>
          <w:sz w:val="32"/>
          <w:szCs w:val="32"/>
        </w:rPr>
        <w:t>大型游乐设施</w:t>
      </w:r>
      <w:r>
        <w:rPr>
          <w:rFonts w:hint="eastAsia" w:ascii="仿宋" w:hAnsi="仿宋" w:eastAsia="仿宋" w:cs="仿宋"/>
          <w:color w:val="333333"/>
          <w:kern w:val="0"/>
          <w:sz w:val="32"/>
          <w:szCs w:val="32"/>
        </w:rPr>
        <w:fldChar w:fldCharType="end"/>
      </w:r>
      <w:r>
        <w:rPr>
          <w:rFonts w:hint="eastAsia" w:ascii="仿宋" w:hAnsi="仿宋" w:eastAsia="仿宋" w:cs="仿宋"/>
          <w:color w:val="333333"/>
          <w:kern w:val="0"/>
          <w:sz w:val="32"/>
          <w:szCs w:val="32"/>
        </w:rPr>
        <w:t>、场（厂）内专用机动车辆等特种设备的安全监察工作；监督检查高耗能特种设备节能标准的执行情况。</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（十三）依法承担食品安全监督管理工作；负责食品质量监督抽查、检测及处理工作，负责监督实施食品</w:t>
      </w:r>
      <w:r>
        <w:rPr>
          <w:rFonts w:hint="eastAsia" w:ascii="仿宋" w:hAnsi="仿宋" w:eastAsia="仿宋" w:cs="仿宋"/>
          <w:color w:val="333333"/>
          <w:kern w:val="0"/>
          <w:sz w:val="32"/>
          <w:szCs w:val="32"/>
        </w:rPr>
        <w:fldChar w:fldCharType="begin"/>
      </w:r>
      <w:r>
        <w:rPr>
          <w:rFonts w:hint="eastAsia" w:ascii="仿宋" w:hAnsi="仿宋" w:eastAsia="仿宋" w:cs="仿宋"/>
          <w:color w:val="333333"/>
          <w:kern w:val="0"/>
          <w:sz w:val="32"/>
          <w:szCs w:val="32"/>
        </w:rPr>
        <w:instrText xml:space="preserve"> HYPERLINK "http://www.315club.net/forum.php?mod=viewthread&amp;tid=2585" </w:instrText>
      </w:r>
      <w:r>
        <w:rPr>
          <w:rFonts w:hint="eastAsia" w:ascii="仿宋" w:hAnsi="仿宋" w:eastAsia="仿宋" w:cs="仿宋"/>
          <w:color w:val="333333"/>
          <w:kern w:val="0"/>
          <w:sz w:val="32"/>
          <w:szCs w:val="32"/>
        </w:rPr>
        <w:fldChar w:fldCharType="separate"/>
      </w:r>
      <w:r>
        <w:rPr>
          <w:rFonts w:hint="eastAsia" w:ascii="仿宋" w:hAnsi="仿宋" w:eastAsia="仿宋" w:cs="仿宋"/>
          <w:color w:val="333333"/>
          <w:kern w:val="0"/>
          <w:sz w:val="32"/>
          <w:szCs w:val="32"/>
        </w:rPr>
        <w:t>行政许可</w:t>
      </w:r>
      <w:r>
        <w:rPr>
          <w:rFonts w:hint="eastAsia" w:ascii="仿宋" w:hAnsi="仿宋" w:eastAsia="仿宋" w:cs="仿宋"/>
          <w:color w:val="333333"/>
          <w:kern w:val="0"/>
          <w:sz w:val="32"/>
          <w:szCs w:val="32"/>
        </w:rPr>
        <w:fldChar w:fldCharType="end"/>
      </w:r>
      <w:r>
        <w:rPr>
          <w:rFonts w:hint="eastAsia" w:ascii="仿宋" w:hAnsi="仿宋" w:eastAsia="仿宋" w:cs="仿宋"/>
          <w:color w:val="333333"/>
          <w:kern w:val="0"/>
          <w:sz w:val="32"/>
          <w:szCs w:val="32"/>
        </w:rPr>
        <w:t>，承担食品安全检查、整顿治理和食品安全突发事件的应对处置。</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（十四）负责保健食品、化妆品监督管理工作；监督实施保健食品、化妆品相关法律法规和管理规范。</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（十五）监督实施中药、民族药监督管理规范和质量标准；监督实施中药材生产质量管理规范、中药饮片炮制规范；组织实施中药品种保护制度。</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十六）负责饶河县大顶子山野生林蛙药用资源保护区的维护管理工作，依法发放野生药材采药、收购、运输证明，对野生药材资源的保护、开发和利用实施监督管理；查处违法破坏野生药材资源的行为以及负责全县野生药材资源普查工作。</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 xml:space="preserve">（十七）负责县政府食品安全委员会的日常工作；负责食品安全监督管理综合协调，推动健全协调联动机制；督促检查各乡镇人民政府履行食品安全监督管理并负责考核评价。 </w:t>
      </w:r>
    </w:p>
    <w:p>
      <w:pPr>
        <w:widowControl/>
        <w:numPr>
          <w:ilvl w:val="0"/>
          <w:numId w:val="0"/>
        </w:numPr>
        <w:spacing w:after="230"/>
        <w:jc w:val="left"/>
        <w:rPr>
          <w:rFonts w:hint="eastAsia" w:ascii="仿宋" w:hAnsi="仿宋" w:eastAsia="仿宋" w:cs="仿宋"/>
          <w:color w:val="333333"/>
          <w:kern w:val="0"/>
          <w:sz w:val="32"/>
          <w:szCs w:val="32"/>
        </w:rPr>
      </w:pPr>
      <w:r>
        <w:rPr>
          <w:rFonts w:hint="eastAsia" w:ascii="仿宋" w:hAnsi="仿宋" w:eastAsia="仿宋" w:cs="仿宋"/>
          <w:color w:val="333333"/>
          <w:kern w:val="0"/>
          <w:sz w:val="32"/>
          <w:szCs w:val="32"/>
          <w:lang w:val="en-US" w:eastAsia="zh-CN"/>
        </w:rPr>
        <w:t xml:space="preserve">   </w:t>
      </w:r>
      <w:r>
        <w:rPr>
          <w:rFonts w:hint="eastAsia" w:ascii="仿宋" w:hAnsi="仿宋" w:eastAsia="仿宋" w:cs="仿宋"/>
          <w:color w:val="333333"/>
          <w:kern w:val="0"/>
          <w:sz w:val="32"/>
          <w:szCs w:val="32"/>
        </w:rPr>
        <w:t>（十八）承办县委、县政府及上级业务主管部门交办的其他事项。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机构设置</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bCs/>
          <w:sz w:val="32"/>
          <w:szCs w:val="32"/>
        </w:rPr>
        <w:t>根据上述职责，县市场监督管理局设14个正股级内设机构，6个正股级派出机构和6个所属事业机构。</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（一）内设机构</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 xml:space="preserve">1.办公室   </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负责机关文电、信息、档案、保密、保卫、会务、提案议案办理等工作；承担综合性调研、政务公开、督查、新闻宣传、舆情管理和新闻发布等工作；负责对外联系、公务接待、政府采购、局机关办公用房、车辆和基建等后勤保障工作；负责编制、审核机关和直属单位事业发展计划及基本建设计划。</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2.组织人事股（纪检监察室）</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 管理本局及所属单位的机构编制工作；根据干部管理权限，考察管理干部，管理人事和劳动工资等工作；负责全局思想政治工作；组织推进基层文明规范化建设；组织开展教育培训、专业人才培养工作；负责全局评比表彰及优抚工作。</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监督检查本局及所属单位及工作人员贯彻执行法律、法规和政府的决定、命令以及本局各类规章制度情况，保障政令畅通，促进依法行政；协助党委抓好党风廉政勤政建设和反腐败工作。</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3.财务股</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负责机关财务、统计等工作；负责机关及所属单位基础设施建设和装备、固定资产的管理工作；负责机关财务经费预（决）算编制、会计核算和财务管理工作；指导派出机构、所属事业单位的财务、会计工作。</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4.政策法规宣传教育股</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贯彻执行国家和本县有关工商行政管理、质量技术监督、食品药品监督管理的法律、法规、规章和方针、政策、规划。全面推进依法行政工作，落实行政执法责任制；负责行政执法监督检查工作；承担规范性文件审核、清理工作；承担有关行政复议、行政应诉和赔偿工作；承担、指导行政处罚案件的核审、复核和听证工作；承担法制宣传、培训工作。</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5.公平交易股（消费者权益保护股、</w:t>
      </w:r>
      <w:r>
        <w:rPr>
          <w:rFonts w:hint="eastAsia" w:ascii="仿宋" w:hAnsi="仿宋" w:eastAsia="仿宋" w:cs="仿宋"/>
          <w:b/>
          <w:sz w:val="32"/>
          <w:szCs w:val="32"/>
        </w:rPr>
        <w:t>12315指挥中心合署办公</w:t>
      </w:r>
      <w:r>
        <w:rPr>
          <w:rFonts w:hint="eastAsia" w:ascii="仿宋" w:hAnsi="仿宋" w:eastAsia="仿宋" w:cs="仿宋"/>
          <w:b/>
          <w:bCs/>
          <w:sz w:val="32"/>
          <w:szCs w:val="32"/>
        </w:rPr>
        <w:t>）</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贯彻执行制止垄断和不正当竞争的法律、法规、规章、制度、措施、办法；承担反垄断执法相关工作；负责规范直销行为，查处传销行为；负责查处市场交易中的不正当竞争和流通领域的走私贩私及其他经济违法违规案件；拟定保护消费者权益的具体措施、办法并组织实施；承担流通领域商品质量监督管理工作；查处假冒伪劣等违法行为；开展有关服务领域消费维权工作；负责12315执法体系建设；负责统一的消费者咨询、申诉、举报受理、处理和网络体系建设工作。</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6.市场规范管理股（商标广告监督管理股）</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拟定并组织实施规范市场秩序的规章制度和具体措施；承担规范维护各类市场经营秩序工作，做好商品交易市场规划引导工作。建立、培育市场管理专业人员队伍，指导建立市场长效管理机制；建立完善市场举办单位的检测体系，做好市场检测复核比对工作；建立和完善市场食品安全追溯体系；监督管理和培育发展经纪人；组织实施商品交易市场信用分类管理工作；组织实施市场专项治理工作；开展对各类交易市场的登记及统计、分析工作；组织实施合同行政监督管理；组织实施消费类格式合同条款备案管理；开展经济合同行政指导、调解、信用评价服务；管理动产抵押物登记；查处合同欺诈行为等违法行为；指导市场协会、经纪人协会工作。指导网络商品交易及有关服务行为的监督管理，加大对网络经济的扶持力度，严厉打击各类网络经济犯罪行为，维护健康有序的网络交易秩序。</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承担注册商标监督管理工作，依法保护商标专用权；受理商标咨询、查询，办理商标包括商品商标、服务商标、集体商标和证明商标的注册工作；监督管理广告活动；查处虚假广告等违法行为；指导广告经营单位建立、健全业务管理制度；办理广告业发展与管理情况统计及调研分析工作，指导广告业健康发展。</w:t>
      </w:r>
    </w:p>
    <w:p>
      <w:pPr>
        <w:spacing w:line="600" w:lineRule="exact"/>
        <w:ind w:firstLine="643" w:firstLineChars="200"/>
        <w:rPr>
          <w:rFonts w:hint="eastAsia" w:ascii="仿宋" w:hAnsi="仿宋" w:eastAsia="仿宋" w:cs="仿宋"/>
          <w:b/>
          <w:sz w:val="32"/>
          <w:szCs w:val="32"/>
        </w:rPr>
      </w:pPr>
      <w:r>
        <w:rPr>
          <w:rFonts w:hint="eastAsia" w:ascii="仿宋" w:hAnsi="仿宋" w:eastAsia="仿宋" w:cs="仿宋"/>
          <w:b/>
          <w:bCs/>
          <w:sz w:val="32"/>
          <w:szCs w:val="32"/>
        </w:rPr>
        <w:t>7.</w:t>
      </w:r>
      <w:r>
        <w:rPr>
          <w:rFonts w:hint="eastAsia" w:ascii="仿宋" w:hAnsi="仿宋" w:eastAsia="仿宋" w:cs="仿宋"/>
          <w:b/>
          <w:sz w:val="32"/>
          <w:szCs w:val="32"/>
        </w:rPr>
        <w:t>质量标准计量监督管理股</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负责组织实施质量振兴的政策、措施和质量奖励、产品质量诚信制度；组织推进名牌发展战略；推广质量管理先进经验和科学管理方法；组织一般产品质量事故的调查并提出整改意见；承办重大工程设备质量监理有关工作；承担产品防伪的监督管理工作；负责推行国家法定计量单位；负责管理计量标准、计量器具；依法管理计量技术机构及计量检定人员的资质资格；组织量值传递、强制检定和比对工作；监督管理商品量和市场计量行为；组织计量仲裁检定、调解计量纠纷。</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负责组织实施产品质量县级监督抽查工作；组织协调产品质量安全强制检验和风险监控工作；指导协调行业和专业产品质量监督工作；负责工业产品生产许可监督管理工作；组织开展本辖区产品质量专项整治和专项打假活动。</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负责组织贯彻国家标准、行业标准和地方标准；负责企业标准备案工作；指导建立健全标准体系和采用国际标准、国外先进标准等企业标准化工作；组织协调农业标准化工作；管理组织机构代码和商品条码工作；负责本辖区地理标志保护产品工作；组织查处认证市场违法违规行为；负责管理合格评定工作；依法负责检验机构及其检验服务活动的监督管理工作；规范和监督认证市场行为； </w:t>
      </w:r>
    </w:p>
    <w:p>
      <w:pPr>
        <w:spacing w:line="600" w:lineRule="exact"/>
        <w:ind w:firstLine="643" w:firstLineChars="200"/>
        <w:rPr>
          <w:rFonts w:hint="eastAsia" w:ascii="仿宋" w:hAnsi="仿宋" w:eastAsia="仿宋" w:cs="仿宋"/>
          <w:b/>
          <w:sz w:val="32"/>
          <w:szCs w:val="32"/>
        </w:rPr>
      </w:pPr>
      <w:r>
        <w:rPr>
          <w:rFonts w:hint="eastAsia" w:ascii="仿宋" w:hAnsi="仿宋" w:eastAsia="仿宋" w:cs="仿宋"/>
          <w:b/>
          <w:bCs/>
          <w:sz w:val="32"/>
          <w:szCs w:val="32"/>
        </w:rPr>
        <w:t>8.</w:t>
      </w:r>
      <w:r>
        <w:rPr>
          <w:rFonts w:hint="eastAsia" w:ascii="仿宋" w:hAnsi="仿宋" w:eastAsia="仿宋" w:cs="仿宋"/>
          <w:b/>
          <w:sz w:val="32"/>
          <w:szCs w:val="32"/>
        </w:rPr>
        <w:t xml:space="preserve">行政审批股  </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国家和省、市关于工商行政管理、质量技术监督、食品药品监督管理工作的有关方针、政策和法律、法规，负责工商行政管理、质量技术监督、食品药品监督管理方面有关行政审批事项的受理和审批工作；负责组织协调行政审批事项的勘查、论证、审核等相关工作；负责有关行政许可证的发放工作；负责行政审批专用章的使用管理；负责行政审批事项的行政复议和行政应诉；负责法律、法规、规章规定由工商行政管理、质量技术监督、食品药品监督管理部门承担的其他行政审批事项。</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9.特种设备安全监察股</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负责依法对锅炉、压力容器、压力管道、电梯、起重机械、客运索道、大型游乐设施、场（厂）内专用机动车辆等特种设备的制造、安装、改造、维修、使用、检验检测安全监察；监督管理特种设备作业人员的资格；负责高耗能特种设备节能监督管理工作。</w:t>
      </w:r>
    </w:p>
    <w:p>
      <w:pPr>
        <w:spacing w:line="600" w:lineRule="exact"/>
        <w:ind w:firstLine="643" w:firstLineChars="200"/>
        <w:rPr>
          <w:rFonts w:hint="eastAsia" w:ascii="仿宋" w:hAnsi="仿宋" w:eastAsia="仿宋" w:cs="仿宋"/>
          <w:b/>
          <w:sz w:val="32"/>
          <w:szCs w:val="32"/>
        </w:rPr>
      </w:pPr>
      <w:r>
        <w:rPr>
          <w:rFonts w:hint="eastAsia" w:ascii="仿宋" w:hAnsi="仿宋" w:eastAsia="仿宋" w:cs="仿宋"/>
          <w:b/>
          <w:bCs/>
          <w:sz w:val="32"/>
          <w:szCs w:val="32"/>
        </w:rPr>
        <w:t>10.</w:t>
      </w:r>
      <w:r>
        <w:rPr>
          <w:rFonts w:hint="eastAsia" w:ascii="仿宋" w:hAnsi="仿宋" w:eastAsia="仿宋" w:cs="仿宋"/>
          <w:b/>
          <w:sz w:val="32"/>
          <w:szCs w:val="32"/>
        </w:rPr>
        <w:t>食品监督管理股</w:t>
      </w:r>
    </w:p>
    <w:p>
      <w:pPr>
        <w:pStyle w:val="3"/>
        <w:shd w:val="clear" w:color="auto" w:fill="FFFFFF"/>
        <w:spacing w:line="600" w:lineRule="exact"/>
        <w:ind w:firstLine="640" w:firstLineChars="200"/>
        <w:rPr>
          <w:rFonts w:hint="eastAsia" w:ascii="仿宋" w:hAnsi="仿宋" w:eastAsia="仿宋" w:cs="仿宋"/>
          <w:sz w:val="32"/>
          <w:szCs w:val="32"/>
        </w:rPr>
      </w:pPr>
      <w:r>
        <w:rPr>
          <w:rFonts w:hint="eastAsia" w:ascii="仿宋" w:hAnsi="仿宋" w:eastAsia="仿宋" w:cs="仿宋"/>
          <w:bCs/>
          <w:kern w:val="2"/>
          <w:sz w:val="32"/>
          <w:szCs w:val="32"/>
        </w:rPr>
        <w:t>组织实施食品生产加工、流通、餐饮服务检查、质量监测等环节食品安全监督工作；负责</w:t>
      </w:r>
      <w:r>
        <w:rPr>
          <w:rFonts w:hint="eastAsia" w:ascii="仿宋" w:hAnsi="仿宋" w:eastAsia="仿宋" w:cs="仿宋"/>
          <w:sz w:val="32"/>
          <w:szCs w:val="32"/>
        </w:rPr>
        <w:t>食品添加剂的生产经营及食品生产经营者使用食品添加剂、食品相关产品监督管理工作；负责用于食品的包装材料、容器、洗涤剂、消毒剂和用于食品生产经营的工具、设备（以下称食品相关产品）的生产经营监督管理工作；</w:t>
      </w:r>
      <w:r>
        <w:rPr>
          <w:rFonts w:hint="eastAsia" w:ascii="仿宋" w:hAnsi="仿宋" w:eastAsia="仿宋" w:cs="仿宋"/>
          <w:kern w:val="2"/>
          <w:sz w:val="32"/>
          <w:szCs w:val="32"/>
        </w:rPr>
        <w:t>参与拟订或制定辖区生产加工、流通、餐饮服务食品安全监督管理的制度、计划和措施并组织监督实施；组织开展食品经营许可及监督检查工作；负责不安全食品召回的监督管理工作；指导生产、流通、消费环节食品安全电子监管追溯体系和诚信体系建设；参与重大活动食品安全保障工作；参与食品安全宣传教育工作；承担县食品安全委员会办公室的日常工作；承担食品应急处置工作；组织查处重大食品安全事故；负责发布食品安全质量信息；负责酒类流通管理工作。</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11.保健食品化妆品监督管理股</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监督实施保健食品、化妆品相关法律法规及标准的执行；负责保健食品生产经营日常监管，负责化妆品生产经营卫生监督；监督实施保健食品、化妆品生产经营质量管理规范。</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12.药品监督管理股</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监督实施有关药品法律、法规和规章;负责对药品的研制、生产、流通、使用进行行政监督；负责监督管理麻醉药品、精神药品、医疗用毒性药品、放射性药品及特种药品；监督药品生产、药品经营、医疗机构制剂配制质量管理规范的实施；监督中药材生产质量管理规范、中药饮片炮制规范的实施；配合有关部门实施国家基本药物制度；监督药品分类管理制度和中药饮片购销规则的实施；负责药品信息化建设和信息综合、信息公开工作。</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13.医疗器械监督管理股</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监督实施有关医疗器械法律、法规和规章；负责医疗器械研制、生产、流通和使用的监督管理工作。</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14.个体私营企业监督管理股（登记注册监督管理股）</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调查研究个体、民营经济的发展与管理情况；研究制定个体、民营经济发展与监督管理的具体措施、办法；承担辖区各类市场主体的注册登记事项监管工作；加强各类市场主体的信用分类监管。</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 xml:space="preserve">管理工商企业、农民专业合作社和从事经营活动的单位、个人的登记注册，依法核定企业名称，审查、核准、颁发有关证照，并对其进行监督管理。 </w:t>
      </w:r>
    </w:p>
    <w:p>
      <w:p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（二）派出机构</w:t>
      </w:r>
    </w:p>
    <w:p>
      <w:pPr>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结合我县实际，以基层工商所为基础，组建6个基层市场监管派出机构，为股级机构。</w:t>
      </w:r>
    </w:p>
    <w:p>
      <w:pPr>
        <w:numPr>
          <w:ilvl w:val="0"/>
          <w:numId w:val="4"/>
        </w:num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饶河县城南市场监督管理所。</w:t>
      </w:r>
    </w:p>
    <w:p>
      <w:pPr>
        <w:numPr>
          <w:ilvl w:val="0"/>
          <w:numId w:val="0"/>
        </w:numPr>
        <w:spacing w:line="600" w:lineRule="exact"/>
        <w:rPr>
          <w:rFonts w:hint="eastAsia" w:ascii="仿宋" w:hAnsi="仿宋" w:eastAsia="仿宋" w:cs="仿宋"/>
          <w:bCs/>
          <w:sz w:val="32"/>
          <w:szCs w:val="32"/>
        </w:rPr>
      </w:pP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2.饶河县城北市场监督管理所。</w:t>
      </w:r>
    </w:p>
    <w:p>
      <w:pPr>
        <w:numPr>
          <w:ilvl w:val="0"/>
          <w:numId w:val="5"/>
        </w:num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饶河县西丰市场监督管理所。</w:t>
      </w:r>
    </w:p>
    <w:p>
      <w:pPr>
        <w:numPr>
          <w:ilvl w:val="0"/>
          <w:numId w:val="0"/>
        </w:numPr>
        <w:spacing w:line="600" w:lineRule="exact"/>
        <w:rPr>
          <w:rFonts w:hint="eastAsia" w:ascii="仿宋" w:hAnsi="仿宋" w:eastAsia="仿宋" w:cs="仿宋"/>
          <w:bCs/>
          <w:sz w:val="32"/>
          <w:szCs w:val="32"/>
        </w:rPr>
      </w:pP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4.饶河县小佳河市场监督管理所。</w:t>
      </w:r>
    </w:p>
    <w:p>
      <w:pPr>
        <w:numPr>
          <w:ilvl w:val="0"/>
          <w:numId w:val="6"/>
        </w:numPr>
        <w:spacing w:line="60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饶河县四排市场监督管理所。</w:t>
      </w:r>
    </w:p>
    <w:p>
      <w:pPr>
        <w:numPr>
          <w:ilvl w:val="0"/>
          <w:numId w:val="0"/>
        </w:numPr>
        <w:spacing w:line="600" w:lineRule="exact"/>
        <w:rPr>
          <w:rFonts w:hint="eastAsia" w:ascii="仿宋" w:hAnsi="仿宋" w:eastAsia="仿宋" w:cs="仿宋"/>
          <w:bCs/>
          <w:sz w:val="32"/>
          <w:szCs w:val="32"/>
        </w:rPr>
      </w:pP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6.饶河县五林洞市场监督管理所。</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lang w:val="en-US" w:eastAsia="zh-CN"/>
        </w:rPr>
      </w:pPr>
    </w:p>
    <w:p>
      <w:pPr>
        <w:keepNext w:val="0"/>
        <w:keepLines w:val="0"/>
        <w:pageBreakBefore w:val="0"/>
        <w:widowControl/>
        <w:numPr>
          <w:ilvl w:val="0"/>
          <w:numId w:val="7"/>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部门决算编报范围及</w:t>
      </w:r>
      <w:r>
        <w:rPr>
          <w:rFonts w:hint="eastAsia" w:ascii="仿宋" w:hAnsi="仿宋" w:eastAsia="仿宋" w:cs="仿宋"/>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color w:val="333333"/>
          <w:kern w:val="0"/>
          <w:sz w:val="32"/>
          <w:szCs w:val="32"/>
          <w:lang w:val="en-US" w:eastAsia="zh-CN"/>
        </w:rPr>
        <w:t>2018年度纳入本部门决算的编制范围的单位有1个，</w:t>
      </w:r>
      <w:r>
        <w:rPr>
          <w:rFonts w:hint="eastAsia" w:ascii="仿宋" w:hAnsi="仿宋" w:eastAsia="仿宋" w:cs="仿宋"/>
          <w:sz w:val="32"/>
          <w:szCs w:val="32"/>
          <w:highlight w:val="none"/>
          <w:lang w:val="en-US" w:eastAsia="zh-CN"/>
        </w:rPr>
        <w:t xml:space="preserve"> </w:t>
      </w:r>
      <w:r>
        <w:rPr>
          <w:rFonts w:hint="eastAsia" w:ascii="仿宋" w:hAnsi="仿宋" w:eastAsia="仿宋" w:cs="仿宋"/>
          <w:color w:val="333333"/>
          <w:kern w:val="0"/>
          <w:sz w:val="32"/>
          <w:szCs w:val="32"/>
          <w:lang w:val="en-US" w:eastAsia="zh-CN"/>
        </w:rPr>
        <w:t>行政编制87人，事业编制39人，退休人数50人。实有人数共计126人。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textAlignment w:val="auto"/>
        <w:outlineLvl w:val="9"/>
        <w:rPr>
          <w:rFonts w:hint="eastAsia" w:ascii="仿宋" w:hAnsi="仿宋" w:eastAsia="仿宋" w:cs="仿宋"/>
          <w:b/>
          <w:bCs/>
          <w:sz w:val="32"/>
          <w:szCs w:val="32"/>
          <w:highlight w:val="none"/>
        </w:rPr>
      </w:pPr>
      <w:r>
        <w:rPr>
          <w:rFonts w:hint="eastAsia" w:ascii="仿宋" w:hAnsi="仿宋" w:eastAsia="仿宋" w:cs="仿宋"/>
          <w:b/>
          <w:sz w:val="32"/>
          <w:szCs w:val="32"/>
          <w:highlight w:val="none"/>
        </w:rPr>
        <w:t>第二部分201</w:t>
      </w:r>
      <w:r>
        <w:rPr>
          <w:rFonts w:hint="eastAsia" w:ascii="仿宋" w:hAnsi="仿宋" w:eastAsia="仿宋" w:cs="仿宋"/>
          <w:b/>
          <w:sz w:val="32"/>
          <w:szCs w:val="32"/>
          <w:highlight w:val="none"/>
          <w:lang w:val="en-US" w:eastAsia="zh-CN"/>
        </w:rPr>
        <w:t>8</w:t>
      </w:r>
      <w:r>
        <w:rPr>
          <w:rFonts w:hint="eastAsia" w:ascii="仿宋" w:hAnsi="仿宋" w:eastAsia="仿宋" w:cs="仿宋"/>
          <w:b/>
          <w:sz w:val="32"/>
          <w:szCs w:val="32"/>
          <w:highlight w:val="none"/>
        </w:rPr>
        <w:t>年部门预算执行总体情况说明</w:t>
      </w:r>
    </w:p>
    <w:p>
      <w:pPr>
        <w:keepNext w:val="0"/>
        <w:keepLines w:val="0"/>
        <w:pageBreakBefore w:val="0"/>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sz w:val="32"/>
          <w:szCs w:val="32"/>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kern w:val="0"/>
          <w:sz w:val="32"/>
          <w:szCs w:val="32"/>
          <w:highlight w:val="none"/>
          <w:u w:val="none"/>
          <w:lang w:eastAsia="zh-CN"/>
        </w:rPr>
        <w:t>2018年</w:t>
      </w:r>
      <w:r>
        <w:rPr>
          <w:rFonts w:hint="eastAsia" w:ascii="仿宋" w:hAnsi="仿宋" w:eastAsia="仿宋" w:cs="仿宋"/>
          <w:kern w:val="0"/>
          <w:sz w:val="32"/>
          <w:szCs w:val="32"/>
          <w:highlight w:val="none"/>
          <w:u w:val="none"/>
        </w:rPr>
        <w:t>度部门决算</w:t>
      </w:r>
      <w:r>
        <w:rPr>
          <w:rFonts w:hint="eastAsia" w:ascii="仿宋" w:hAnsi="仿宋" w:eastAsia="仿宋" w:cs="仿宋"/>
          <w:kern w:val="0"/>
          <w:sz w:val="32"/>
          <w:szCs w:val="32"/>
          <w:highlight w:val="none"/>
          <w:u w:val="none"/>
          <w:lang w:eastAsia="zh-CN"/>
        </w:rPr>
        <w:t>收、支总计</w:t>
      </w:r>
      <w:r>
        <w:rPr>
          <w:rFonts w:hint="eastAsia" w:ascii="仿宋" w:hAnsi="仿宋" w:eastAsia="仿宋" w:cs="仿宋"/>
          <w:kern w:val="0"/>
          <w:sz w:val="32"/>
          <w:szCs w:val="32"/>
          <w:highlight w:val="none"/>
          <w:u w:val="none"/>
          <w:lang w:val="en-US" w:eastAsia="zh-CN"/>
        </w:rPr>
        <w:t>2878万元，其中：</w:t>
      </w:r>
      <w:r>
        <w:rPr>
          <w:rFonts w:hint="eastAsia" w:ascii="仿宋" w:hAnsi="仿宋" w:eastAsia="仿宋" w:cs="仿宋"/>
          <w:kern w:val="0"/>
          <w:sz w:val="32"/>
          <w:szCs w:val="32"/>
          <w:highlight w:val="none"/>
          <w:u w:val="none"/>
        </w:rPr>
        <w:t>本年收入</w:t>
      </w:r>
      <w:r>
        <w:rPr>
          <w:rFonts w:hint="eastAsia" w:ascii="仿宋" w:hAnsi="仿宋" w:eastAsia="仿宋" w:cs="仿宋"/>
          <w:kern w:val="0"/>
          <w:sz w:val="32"/>
          <w:szCs w:val="32"/>
          <w:highlight w:val="none"/>
          <w:u w:val="none"/>
          <w:lang w:val="en-US" w:eastAsia="zh-CN"/>
        </w:rPr>
        <w:t>1439</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年初结转和结余</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kern w:val="0"/>
          <w:sz w:val="32"/>
          <w:szCs w:val="32"/>
          <w:highlight w:val="none"/>
          <w:u w:val="none"/>
        </w:rPr>
        <w:t>本年支出</w:t>
      </w:r>
      <w:r>
        <w:rPr>
          <w:rFonts w:hint="eastAsia" w:ascii="仿宋" w:hAnsi="仿宋" w:eastAsia="仿宋" w:cs="仿宋"/>
          <w:kern w:val="0"/>
          <w:sz w:val="32"/>
          <w:szCs w:val="32"/>
          <w:highlight w:val="none"/>
          <w:u w:val="none"/>
          <w:lang w:val="en-US" w:eastAsia="zh-CN"/>
        </w:rPr>
        <w:t>1439</w:t>
      </w:r>
      <w:r>
        <w:rPr>
          <w:rFonts w:hint="eastAsia" w:ascii="仿宋" w:hAnsi="仿宋" w:eastAsia="仿宋" w:cs="仿宋"/>
          <w:kern w:val="0"/>
          <w:sz w:val="32"/>
          <w:szCs w:val="32"/>
          <w:highlight w:val="none"/>
          <w:u w:val="none"/>
        </w:rPr>
        <w:t>万元；结余分配</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万元，年末结转和结余</w:t>
      </w:r>
      <w:r>
        <w:rPr>
          <w:rFonts w:hint="eastAsia" w:ascii="仿宋" w:hAnsi="仿宋" w:eastAsia="仿宋" w:cs="仿宋"/>
          <w:kern w:val="0"/>
          <w:sz w:val="32"/>
          <w:szCs w:val="32"/>
          <w:highlight w:val="none"/>
          <w:u w:val="none"/>
          <w:lang w:val="en-US" w:eastAsia="zh-CN"/>
        </w:rPr>
        <w:t>0</w:t>
      </w:r>
      <w:r>
        <w:rPr>
          <w:rFonts w:hint="eastAsia" w:ascii="仿宋" w:hAnsi="仿宋" w:eastAsia="仿宋" w:cs="仿宋"/>
          <w:kern w:val="0"/>
          <w:sz w:val="32"/>
          <w:szCs w:val="32"/>
          <w:highlight w:val="none"/>
          <w:u w:val="none"/>
        </w:rPr>
        <w:t>万元</w:t>
      </w:r>
      <w:r>
        <w:rPr>
          <w:rFonts w:hint="eastAsia" w:ascii="仿宋" w:hAnsi="仿宋" w:eastAsia="仿宋" w:cs="仿宋"/>
          <w:kern w:val="0"/>
          <w:sz w:val="32"/>
          <w:szCs w:val="32"/>
          <w:highlight w:val="none"/>
          <w:u w:val="none"/>
          <w:lang w:eastAsia="zh-CN"/>
        </w:rPr>
        <w:t>。</w:t>
      </w:r>
      <w:r>
        <w:rPr>
          <w:rFonts w:hint="eastAsia" w:ascii="仿宋" w:hAnsi="仿宋" w:eastAsia="仿宋" w:cs="仿宋"/>
          <w:sz w:val="32"/>
          <w:szCs w:val="32"/>
          <w:highlight w:val="none"/>
        </w:rPr>
        <w:t>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收、支总计</w:t>
      </w:r>
      <w:r>
        <w:rPr>
          <w:rFonts w:hint="eastAsia" w:ascii="仿宋" w:hAnsi="仿宋" w:eastAsia="仿宋" w:cs="仿宋"/>
          <w:sz w:val="32"/>
          <w:szCs w:val="32"/>
          <w:highlight w:val="none"/>
          <w:lang w:eastAsia="zh-CN"/>
        </w:rPr>
        <w:t>均</w:t>
      </w:r>
      <w:r>
        <w:rPr>
          <w:rFonts w:hint="eastAsia" w:ascii="仿宋" w:hAnsi="仿宋" w:eastAsia="仿宋" w:cs="仿宋"/>
          <w:sz w:val="32"/>
          <w:szCs w:val="32"/>
          <w:highlight w:val="none"/>
          <w:lang w:val="en-US" w:eastAsia="zh-CN"/>
        </w:rPr>
        <w:t>减少3368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w:t>
      </w:r>
      <w:r>
        <w:rPr>
          <w:rFonts w:hint="eastAsia" w:ascii="仿宋" w:hAnsi="仿宋" w:eastAsia="仿宋" w:cs="仿宋"/>
          <w:sz w:val="32"/>
          <w:szCs w:val="32"/>
          <w:highlight w:val="none"/>
          <w:lang w:val="en-US" w:eastAsia="zh-CN"/>
        </w:rPr>
        <w:t>减少70%</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2017年有大型建设项目。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本年收入合计</w:t>
      </w:r>
      <w:r>
        <w:rPr>
          <w:rFonts w:hint="eastAsia" w:ascii="仿宋" w:hAnsi="仿宋" w:eastAsia="仿宋" w:cs="仿宋"/>
          <w:kern w:val="0"/>
          <w:sz w:val="32"/>
          <w:szCs w:val="32"/>
          <w:highlight w:val="none"/>
          <w:u w:val="none"/>
          <w:lang w:val="en-US" w:eastAsia="zh-CN"/>
        </w:rPr>
        <w:t>1439</w:t>
      </w:r>
      <w:r>
        <w:rPr>
          <w:rFonts w:hint="eastAsia" w:ascii="仿宋" w:hAnsi="仿宋" w:eastAsia="仿宋" w:cs="仿宋"/>
          <w:sz w:val="32"/>
          <w:szCs w:val="32"/>
          <w:highlight w:val="none"/>
        </w:rPr>
        <w:t>万元，与201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度</w:t>
      </w:r>
      <w:r>
        <w:rPr>
          <w:rFonts w:hint="eastAsia" w:ascii="仿宋" w:hAnsi="仿宋" w:eastAsia="仿宋" w:cs="仿宋"/>
          <w:sz w:val="32"/>
          <w:szCs w:val="32"/>
          <w:highlight w:val="none"/>
        </w:rPr>
        <w:t>相比</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减少3368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w:t>
      </w:r>
      <w:r>
        <w:rPr>
          <w:rFonts w:hint="eastAsia" w:ascii="仿宋" w:hAnsi="仿宋" w:eastAsia="仿宋" w:cs="仿宋"/>
          <w:sz w:val="32"/>
          <w:szCs w:val="32"/>
          <w:highlight w:val="none"/>
          <w:lang w:val="en-US" w:eastAsia="zh-CN"/>
        </w:rPr>
        <w:t>减少70</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2017年有大型建设项目。</w:t>
      </w:r>
      <w:r>
        <w:rPr>
          <w:rFonts w:hint="eastAsia" w:ascii="仿宋" w:hAnsi="仿宋" w:eastAsia="仿宋" w:cs="仿宋"/>
          <w:sz w:val="32"/>
          <w:szCs w:val="32"/>
          <w:highlight w:val="none"/>
        </w:rPr>
        <w:t>其中：财政拨款收入</w:t>
      </w:r>
      <w:r>
        <w:rPr>
          <w:rFonts w:hint="eastAsia" w:ascii="仿宋" w:hAnsi="仿宋" w:eastAsia="仿宋" w:cs="仿宋"/>
          <w:sz w:val="32"/>
          <w:szCs w:val="32"/>
          <w:highlight w:val="none"/>
          <w:lang w:val="en-US" w:eastAsia="zh-CN"/>
        </w:rPr>
        <w:t>1439</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事业收入</w:t>
      </w:r>
      <w:r>
        <w:rPr>
          <w:rFonts w:hint="eastAsia" w:ascii="仿宋" w:hAnsi="仿宋" w:eastAsia="仿宋" w:cs="仿宋"/>
          <w:sz w:val="32"/>
          <w:szCs w:val="32"/>
          <w:highlight w:val="none"/>
          <w:lang w:val="en-US" w:eastAsia="zh-CN"/>
        </w:rPr>
        <w:t>0万元，占0%；</w:t>
      </w:r>
      <w:r>
        <w:rPr>
          <w:rFonts w:hint="eastAsia" w:ascii="仿宋" w:hAnsi="仿宋" w:eastAsia="仿宋" w:cs="仿宋"/>
          <w:sz w:val="32"/>
          <w:szCs w:val="32"/>
          <w:highlight w:val="none"/>
        </w:rPr>
        <w:t>其他收入</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收入合计的</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本年支出合计</w:t>
      </w:r>
      <w:r>
        <w:rPr>
          <w:rFonts w:hint="eastAsia" w:ascii="仿宋" w:hAnsi="仿宋" w:eastAsia="仿宋" w:cs="仿宋"/>
          <w:sz w:val="32"/>
          <w:szCs w:val="32"/>
          <w:highlight w:val="none"/>
          <w:lang w:val="en-US" w:eastAsia="zh-CN"/>
        </w:rPr>
        <w:t>1439</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与2017年度相比，减少3368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同比</w:t>
      </w:r>
      <w:r>
        <w:rPr>
          <w:rFonts w:hint="eastAsia" w:ascii="仿宋" w:hAnsi="仿宋" w:eastAsia="仿宋" w:cs="仿宋"/>
          <w:sz w:val="32"/>
          <w:szCs w:val="32"/>
          <w:highlight w:val="none"/>
          <w:lang w:val="en-US" w:eastAsia="zh-CN"/>
        </w:rPr>
        <w:t>减少70</w:t>
      </w:r>
      <w:r>
        <w:rPr>
          <w:rFonts w:hint="eastAsia" w:ascii="仿宋" w:hAnsi="仿宋" w:eastAsia="仿宋" w:cs="仿宋"/>
          <w:sz w:val="32"/>
          <w:szCs w:val="32"/>
          <w:highlight w:val="none"/>
        </w:rPr>
        <w:t>%。主要原因：</w:t>
      </w:r>
      <w:r>
        <w:rPr>
          <w:rFonts w:hint="eastAsia" w:ascii="仿宋" w:hAnsi="仿宋" w:eastAsia="仿宋" w:cs="仿宋"/>
          <w:sz w:val="32"/>
          <w:szCs w:val="32"/>
          <w:highlight w:val="none"/>
          <w:lang w:val="en-US" w:eastAsia="zh-CN"/>
        </w:rPr>
        <w:t>2017年度有大型建设项目。</w:t>
      </w:r>
      <w:r>
        <w:rPr>
          <w:rFonts w:hint="eastAsia" w:ascii="仿宋" w:hAnsi="仿宋" w:eastAsia="仿宋" w:cs="仿宋"/>
          <w:sz w:val="32"/>
          <w:szCs w:val="32"/>
          <w:highlight w:val="none"/>
        </w:rPr>
        <w:t>其中：基本支出</w:t>
      </w:r>
      <w:r>
        <w:rPr>
          <w:rFonts w:hint="eastAsia" w:ascii="仿宋" w:hAnsi="仿宋" w:eastAsia="仿宋" w:cs="仿宋"/>
          <w:sz w:val="32"/>
          <w:szCs w:val="32"/>
          <w:highlight w:val="none"/>
          <w:lang w:val="en-US" w:eastAsia="zh-CN"/>
        </w:rPr>
        <w:t>1318</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92</w:t>
      </w:r>
      <w:r>
        <w:rPr>
          <w:rFonts w:hint="eastAsia" w:ascii="仿宋" w:hAnsi="仿宋" w:eastAsia="仿宋" w:cs="仿宋"/>
          <w:sz w:val="32"/>
          <w:szCs w:val="32"/>
          <w:highlight w:val="none"/>
        </w:rPr>
        <w:t>%；项目支出</w:t>
      </w:r>
      <w:r>
        <w:rPr>
          <w:rFonts w:hint="eastAsia" w:ascii="仿宋" w:hAnsi="仿宋" w:eastAsia="仿宋" w:cs="仿宋"/>
          <w:sz w:val="32"/>
          <w:szCs w:val="32"/>
          <w:highlight w:val="none"/>
          <w:lang w:val="en-US" w:eastAsia="zh-CN"/>
        </w:rPr>
        <w:t>121</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eastAsia="zh-CN"/>
        </w:rPr>
        <w:t>支出合计的</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2018年</w:t>
      </w:r>
      <w:r>
        <w:rPr>
          <w:rFonts w:hint="eastAsia" w:ascii="仿宋" w:hAnsi="仿宋" w:eastAsia="仿宋" w:cs="仿宋"/>
          <w:color w:val="auto"/>
          <w:sz w:val="32"/>
          <w:szCs w:val="32"/>
          <w:highlight w:val="none"/>
        </w:rPr>
        <w:t>度财政拨款收、支总计</w:t>
      </w:r>
      <w:r>
        <w:rPr>
          <w:rFonts w:hint="eastAsia" w:ascii="仿宋" w:hAnsi="仿宋" w:eastAsia="仿宋" w:cs="仿宋"/>
          <w:color w:val="auto"/>
          <w:sz w:val="32"/>
          <w:szCs w:val="32"/>
          <w:highlight w:val="none"/>
          <w:lang w:val="en-US" w:eastAsia="zh-CN"/>
        </w:rPr>
        <w:t>2878</w:t>
      </w:r>
      <w:r>
        <w:rPr>
          <w:rFonts w:hint="eastAsia" w:ascii="仿宋" w:hAnsi="仿宋" w:eastAsia="仿宋" w:cs="仿宋"/>
          <w:color w:val="auto"/>
          <w:sz w:val="32"/>
          <w:szCs w:val="32"/>
          <w:highlight w:val="none"/>
        </w:rPr>
        <w:t>万元。与201</w:t>
      </w:r>
      <w:r>
        <w:rPr>
          <w:rFonts w:hint="eastAsia" w:ascii="仿宋" w:hAnsi="仿宋" w:eastAsia="仿宋" w:cs="仿宋"/>
          <w:color w:val="auto"/>
          <w:sz w:val="32"/>
          <w:szCs w:val="32"/>
          <w:highlight w:val="none"/>
          <w:lang w:val="en-US" w:eastAsia="zh-CN"/>
        </w:rPr>
        <w:t>7年度</w:t>
      </w:r>
      <w:r>
        <w:rPr>
          <w:rFonts w:hint="eastAsia" w:ascii="仿宋" w:hAnsi="仿宋" w:eastAsia="仿宋" w:cs="仿宋"/>
          <w:color w:val="auto"/>
          <w:sz w:val="32"/>
          <w:szCs w:val="32"/>
          <w:highlight w:val="none"/>
        </w:rPr>
        <w:t>相比，财政拨款收、支总计各</w:t>
      </w:r>
      <w:r>
        <w:rPr>
          <w:rFonts w:hint="eastAsia" w:ascii="仿宋" w:hAnsi="仿宋" w:eastAsia="仿宋" w:cs="仿宋"/>
          <w:color w:val="auto"/>
          <w:sz w:val="32"/>
          <w:szCs w:val="32"/>
          <w:highlight w:val="none"/>
          <w:lang w:val="en-US" w:eastAsia="zh-CN"/>
        </w:rPr>
        <w:t>减少3368</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val="en-US" w:eastAsia="zh-CN"/>
        </w:rPr>
        <w:t>减少70</w:t>
      </w:r>
      <w:r>
        <w:rPr>
          <w:rFonts w:hint="eastAsia" w:ascii="仿宋" w:hAnsi="仿宋" w:eastAsia="仿宋" w:cs="仿宋"/>
          <w:color w:val="auto"/>
          <w:sz w:val="32"/>
          <w:szCs w:val="32"/>
          <w:highlight w:val="none"/>
        </w:rPr>
        <w:t>%。主要原因：</w:t>
      </w:r>
      <w:r>
        <w:rPr>
          <w:rFonts w:hint="eastAsia" w:ascii="仿宋" w:hAnsi="仿宋" w:eastAsia="仿宋" w:cs="仿宋"/>
          <w:sz w:val="32"/>
          <w:szCs w:val="32"/>
          <w:highlight w:val="none"/>
          <w:lang w:val="en-US" w:eastAsia="zh-CN"/>
        </w:rPr>
        <w:t>2017年度有大型建设项目。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（一）一般公共预算财政拨款支出决算总体情况。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1439</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与</w:t>
      </w:r>
      <w:r>
        <w:rPr>
          <w:rFonts w:hint="eastAsia" w:ascii="仿宋" w:hAnsi="仿宋" w:eastAsia="仿宋" w:cs="仿宋"/>
          <w:sz w:val="32"/>
          <w:szCs w:val="32"/>
          <w:highlight w:val="none"/>
          <w:lang w:val="en-US" w:eastAsia="zh-CN"/>
        </w:rPr>
        <w:t>2017年决算数相比，减少3368万元，减少70</w:t>
      </w:r>
      <w:r>
        <w:rPr>
          <w:rFonts w:hint="eastAsia" w:ascii="仿宋" w:hAnsi="仿宋" w:eastAsia="仿宋" w:cs="仿宋"/>
          <w:sz w:val="32"/>
          <w:szCs w:val="32"/>
          <w:highlight w:val="none"/>
        </w:rPr>
        <w:t>%，</w:t>
      </w:r>
      <w:r>
        <w:rPr>
          <w:rFonts w:hint="eastAsia" w:ascii="仿宋" w:hAnsi="仿宋" w:eastAsia="仿宋" w:cs="仿宋"/>
          <w:color w:val="auto"/>
          <w:sz w:val="32"/>
          <w:szCs w:val="32"/>
          <w:highlight w:val="none"/>
        </w:rPr>
        <w:t>主要原因：</w:t>
      </w:r>
      <w:r>
        <w:rPr>
          <w:rFonts w:hint="eastAsia" w:ascii="仿宋" w:hAnsi="仿宋" w:eastAsia="仿宋" w:cs="仿宋"/>
          <w:sz w:val="32"/>
          <w:szCs w:val="32"/>
          <w:highlight w:val="none"/>
          <w:lang w:val="en-US" w:eastAsia="zh-CN"/>
        </w:rPr>
        <w:t>2017年度有大型建设项目。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（二）一般公共预算财政拨款支出决算结构情况。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w:t>
      </w:r>
      <w:r>
        <w:rPr>
          <w:rFonts w:hint="eastAsia" w:ascii="仿宋" w:hAnsi="仿宋" w:eastAsia="仿宋" w:cs="仿宋"/>
          <w:sz w:val="32"/>
          <w:szCs w:val="32"/>
          <w:highlight w:val="none"/>
          <w:lang w:val="en-US" w:eastAsia="zh-CN"/>
        </w:rPr>
        <w:t>1439</w:t>
      </w:r>
      <w:r>
        <w:rPr>
          <w:rFonts w:hint="eastAsia" w:ascii="仿宋" w:hAnsi="仿宋" w:eastAsia="仿宋" w:cs="仿宋"/>
          <w:sz w:val="32"/>
          <w:szCs w:val="32"/>
          <w:highlight w:val="none"/>
        </w:rPr>
        <w:t>万元，主要用于以下方面：一般公共服务支出（类）</w:t>
      </w:r>
      <w:r>
        <w:rPr>
          <w:rFonts w:hint="eastAsia" w:ascii="仿宋" w:hAnsi="仿宋" w:eastAsia="仿宋" w:cs="仿宋"/>
          <w:sz w:val="32"/>
          <w:szCs w:val="32"/>
          <w:highlight w:val="none"/>
          <w:lang w:val="en-US" w:eastAsia="zh-CN"/>
        </w:rPr>
        <w:t>913</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63</w:t>
      </w:r>
      <w:r>
        <w:rPr>
          <w:rFonts w:hint="eastAsia" w:ascii="仿宋" w:hAnsi="仿宋" w:eastAsia="仿宋" w:cs="仿宋"/>
          <w:sz w:val="32"/>
          <w:szCs w:val="32"/>
          <w:highlight w:val="none"/>
        </w:rPr>
        <w:t>%；社会保障和就业支出</w:t>
      </w:r>
      <w:r>
        <w:rPr>
          <w:rFonts w:hint="eastAsia" w:ascii="仿宋" w:hAnsi="仿宋" w:eastAsia="仿宋" w:cs="仿宋"/>
          <w:sz w:val="32"/>
          <w:szCs w:val="32"/>
          <w:highlight w:val="none"/>
          <w:lang w:eastAsia="zh-CN"/>
        </w:rPr>
        <w:t>（类）</w:t>
      </w:r>
      <w:r>
        <w:rPr>
          <w:rFonts w:hint="eastAsia" w:ascii="仿宋" w:hAnsi="仿宋" w:eastAsia="仿宋" w:cs="仿宋"/>
          <w:sz w:val="32"/>
          <w:szCs w:val="32"/>
          <w:highlight w:val="none"/>
          <w:lang w:val="en-US" w:eastAsia="zh-CN"/>
        </w:rPr>
        <w:t>212</w:t>
      </w:r>
      <w:r>
        <w:rPr>
          <w:rFonts w:hint="eastAsia" w:ascii="仿宋" w:hAnsi="仿宋" w:eastAsia="仿宋" w:cs="仿宋"/>
          <w:sz w:val="32"/>
          <w:szCs w:val="32"/>
          <w:highlight w:val="none"/>
          <w:lang w:eastAsia="zh-CN"/>
        </w:rPr>
        <w:t>万元，占</w:t>
      </w:r>
      <w:r>
        <w:rPr>
          <w:rFonts w:hint="eastAsia" w:ascii="仿宋" w:hAnsi="仿宋" w:eastAsia="仿宋" w:cs="仿宋"/>
          <w:sz w:val="32"/>
          <w:szCs w:val="32"/>
          <w:highlight w:val="none"/>
          <w:lang w:val="en-US" w:eastAsia="zh-CN"/>
        </w:rPr>
        <w:t>15%；医疗卫生与计划生育</w:t>
      </w:r>
      <w:r>
        <w:rPr>
          <w:rFonts w:hint="eastAsia" w:ascii="仿宋" w:hAnsi="仿宋" w:eastAsia="仿宋" w:cs="仿宋"/>
          <w:sz w:val="32"/>
          <w:szCs w:val="32"/>
          <w:highlight w:val="none"/>
        </w:rPr>
        <w:t>支出（类）</w:t>
      </w:r>
      <w:r>
        <w:rPr>
          <w:rFonts w:hint="eastAsia" w:ascii="仿宋" w:hAnsi="仿宋" w:eastAsia="仿宋" w:cs="仿宋"/>
          <w:sz w:val="32"/>
          <w:szCs w:val="32"/>
          <w:highlight w:val="none"/>
          <w:lang w:val="en-US" w:eastAsia="zh-CN"/>
        </w:rPr>
        <w:t>81</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6</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；住房保障支出</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233</w:t>
      </w:r>
      <w:r>
        <w:rPr>
          <w:rFonts w:hint="eastAsia" w:ascii="仿宋" w:hAnsi="仿宋" w:eastAsia="仿宋" w:cs="仿宋"/>
          <w:sz w:val="32"/>
          <w:szCs w:val="32"/>
          <w:highlight w:val="none"/>
        </w:rPr>
        <w:t>万元，占</w:t>
      </w:r>
      <w:r>
        <w:rPr>
          <w:rFonts w:hint="eastAsia" w:ascii="仿宋" w:hAnsi="仿宋" w:eastAsia="仿宋" w:cs="仿宋"/>
          <w:sz w:val="32"/>
          <w:szCs w:val="32"/>
          <w:highlight w:val="none"/>
          <w:lang w:val="en-US" w:eastAsia="zh-CN"/>
        </w:rPr>
        <w:t>16</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度一般公共预算财政拨款支出年初预算为</w:t>
      </w:r>
      <w:r>
        <w:rPr>
          <w:rFonts w:hint="eastAsia" w:ascii="仿宋" w:hAnsi="仿宋" w:eastAsia="仿宋" w:cs="仿宋"/>
          <w:sz w:val="32"/>
          <w:szCs w:val="32"/>
          <w:highlight w:val="none"/>
          <w:lang w:val="en-US" w:eastAsia="zh-CN"/>
        </w:rPr>
        <w:t>861</w:t>
      </w:r>
      <w:r>
        <w:rPr>
          <w:rFonts w:hint="eastAsia" w:ascii="仿宋" w:hAnsi="仿宋" w:eastAsia="仿宋" w:cs="仿宋"/>
          <w:sz w:val="32"/>
          <w:szCs w:val="32"/>
          <w:highlight w:val="none"/>
        </w:rPr>
        <w:t>万元，支出决算为</w:t>
      </w:r>
      <w:r>
        <w:rPr>
          <w:rFonts w:hint="eastAsia" w:ascii="仿宋" w:hAnsi="仿宋" w:eastAsia="仿宋" w:cs="仿宋"/>
          <w:sz w:val="32"/>
          <w:szCs w:val="32"/>
          <w:highlight w:val="none"/>
          <w:lang w:val="en-US" w:eastAsia="zh-CN"/>
        </w:rPr>
        <w:t>1439</w:t>
      </w:r>
      <w:r>
        <w:rPr>
          <w:rFonts w:hint="eastAsia" w:ascii="仿宋" w:hAnsi="仿宋" w:eastAsia="仿宋" w:cs="仿宋"/>
          <w:sz w:val="32"/>
          <w:szCs w:val="32"/>
          <w:highlight w:val="none"/>
        </w:rPr>
        <w:t>万元，完成年初预算的</w:t>
      </w:r>
      <w:r>
        <w:rPr>
          <w:rFonts w:hint="eastAsia" w:ascii="仿宋" w:hAnsi="仿宋" w:eastAsia="仿宋" w:cs="仿宋"/>
          <w:sz w:val="32"/>
          <w:szCs w:val="32"/>
          <w:highlight w:val="none"/>
          <w:lang w:val="en-US" w:eastAsia="zh-CN"/>
        </w:rPr>
        <w:t>167%</w:t>
      </w:r>
      <w:r>
        <w:rPr>
          <w:rFonts w:hint="eastAsia" w:ascii="仿宋" w:hAnsi="仿宋" w:eastAsia="仿宋" w:cs="仿宋"/>
          <w:sz w:val="32"/>
          <w:szCs w:val="32"/>
          <w:highlight w:val="none"/>
        </w:rPr>
        <w:t>。其中：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行政运行</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812</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812万元，完成年初预算的100%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2</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一般行政管理事务</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101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101万元，完成年初预算的100%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3、一般公共服务支出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财政事务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机关服务</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4、社会保障和就业支出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行政事业单位离退休</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未归口管理的行政单位离退休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56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56万元，完成年初预算的100%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5、社会保障和就业支出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其他社会保障和就业支出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其他社会保障和就业支出</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156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156万元，完成年初预算的100%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6、农林水支出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农村综合改革</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对村级一事一议的补助</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7、资源勘探信息等支出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国有资产监管</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行政运行</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8、住房保障支出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类）</w:t>
      </w:r>
      <w:r>
        <w:rPr>
          <w:rFonts w:hint="eastAsia" w:ascii="仿宋" w:hAnsi="仿宋" w:eastAsia="仿宋" w:cs="仿宋"/>
          <w:sz w:val="32"/>
          <w:szCs w:val="32"/>
          <w:highlight w:val="none"/>
          <w:lang w:val="en-US" w:eastAsia="zh-CN"/>
        </w:rPr>
        <w:t>住房改革支出</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款）</w:t>
      </w:r>
      <w:r>
        <w:rPr>
          <w:rFonts w:hint="eastAsia" w:ascii="仿宋" w:hAnsi="仿宋" w:eastAsia="仿宋" w:cs="仿宋"/>
          <w:sz w:val="32"/>
          <w:szCs w:val="32"/>
          <w:highlight w:val="none"/>
          <w:lang w:val="en-US" w:eastAsia="zh-CN"/>
        </w:rPr>
        <w:t>住房公积金</w:t>
      </w:r>
      <w:r>
        <w:rPr>
          <w:rFonts w:hint="eastAsia" w:ascii="仿宋" w:hAnsi="仿宋" w:eastAsia="仿宋" w:cs="仿宋"/>
          <w:sz w:val="32"/>
          <w:szCs w:val="32"/>
          <w:highlight w:val="none"/>
        </w:rPr>
        <w:t>（项）</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2018</w:t>
      </w:r>
      <w:r>
        <w:rPr>
          <w:rFonts w:hint="eastAsia" w:ascii="仿宋" w:hAnsi="仿宋" w:eastAsia="仿宋" w:cs="仿宋"/>
          <w:sz w:val="32"/>
          <w:szCs w:val="32"/>
          <w:highlight w:val="none"/>
        </w:rPr>
        <w:t>年初预算为</w:t>
      </w:r>
      <w:r>
        <w:rPr>
          <w:rFonts w:hint="eastAsia" w:ascii="仿宋" w:hAnsi="仿宋" w:eastAsia="仿宋" w:cs="仿宋"/>
          <w:sz w:val="32"/>
          <w:szCs w:val="32"/>
          <w:highlight w:val="none"/>
          <w:lang w:val="en-US" w:eastAsia="zh-CN"/>
        </w:rPr>
        <w:t>155</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支出决算为</w:t>
      </w:r>
      <w:r>
        <w:rPr>
          <w:rFonts w:hint="eastAsia" w:ascii="仿宋" w:hAnsi="仿宋" w:eastAsia="仿宋" w:cs="仿宋"/>
          <w:sz w:val="32"/>
          <w:szCs w:val="32"/>
          <w:highlight w:val="none"/>
          <w:lang w:val="en-US" w:eastAsia="zh-CN"/>
        </w:rPr>
        <w:t>155万元，完成年初预算的100%</w:t>
      </w:r>
      <w:r>
        <w:rPr>
          <w:rFonts w:hint="eastAsia" w:ascii="仿宋" w:hAnsi="仿宋" w:eastAsia="仿宋" w:cs="仿宋"/>
          <w:sz w:val="32"/>
          <w:szCs w:val="32"/>
          <w:highlight w:val="none"/>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度一般公共预算财政拨款基本支出</w:t>
      </w:r>
      <w:r>
        <w:rPr>
          <w:rFonts w:hint="eastAsia" w:ascii="仿宋" w:hAnsi="仿宋" w:eastAsia="仿宋" w:cs="仿宋"/>
          <w:sz w:val="32"/>
          <w:szCs w:val="32"/>
          <w:highlight w:val="none"/>
          <w:lang w:val="en-US" w:eastAsia="zh-CN"/>
        </w:rPr>
        <w:t>1318</w:t>
      </w:r>
      <w:r>
        <w:rPr>
          <w:rFonts w:hint="eastAsia" w:ascii="仿宋" w:hAnsi="仿宋" w:eastAsia="仿宋" w:cs="仿宋"/>
          <w:sz w:val="32"/>
          <w:szCs w:val="32"/>
          <w:highlight w:val="none"/>
        </w:rPr>
        <w:t>万元，其中：</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人员经费</w:t>
      </w:r>
      <w:r>
        <w:rPr>
          <w:rFonts w:hint="eastAsia" w:ascii="仿宋" w:hAnsi="仿宋" w:eastAsia="仿宋" w:cs="仿宋"/>
          <w:sz w:val="32"/>
          <w:szCs w:val="32"/>
          <w:highlight w:val="none"/>
          <w:lang w:val="en-US" w:eastAsia="zh-CN"/>
        </w:rPr>
        <w:t>1242</w:t>
      </w:r>
      <w:r>
        <w:rPr>
          <w:rFonts w:hint="eastAsia" w:ascii="仿宋" w:hAnsi="仿宋" w:eastAsia="仿宋" w:cs="仿宋"/>
          <w:sz w:val="32"/>
          <w:szCs w:val="32"/>
          <w:highlight w:val="none"/>
        </w:rPr>
        <w:t>万元，主要包括：基本工资、津贴补贴、奖金、伙食补助费</w:t>
      </w:r>
      <w:r>
        <w:rPr>
          <w:rFonts w:hint="eastAsia" w:ascii="仿宋" w:hAnsi="仿宋" w:eastAsia="仿宋" w:cs="仿宋"/>
          <w:sz w:val="32"/>
          <w:szCs w:val="32"/>
          <w:highlight w:val="none"/>
          <w:lang w:eastAsia="zh-CN"/>
        </w:rPr>
        <w:t>、住房公积金、</w:t>
      </w:r>
      <w:r>
        <w:rPr>
          <w:rFonts w:hint="eastAsia" w:ascii="仿宋" w:hAnsi="仿宋" w:eastAsia="仿宋" w:cs="仿宋"/>
          <w:sz w:val="32"/>
          <w:szCs w:val="32"/>
          <w:highlight w:val="none"/>
        </w:rPr>
        <w:t>其他</w:t>
      </w:r>
      <w:r>
        <w:rPr>
          <w:rFonts w:hint="eastAsia" w:ascii="仿宋" w:hAnsi="仿宋" w:eastAsia="仿宋" w:cs="仿宋"/>
          <w:sz w:val="32"/>
          <w:szCs w:val="32"/>
          <w:highlight w:val="none"/>
          <w:lang w:eastAsia="zh-CN"/>
        </w:rPr>
        <w:t>工资福利支出、</w:t>
      </w:r>
      <w:r>
        <w:rPr>
          <w:rFonts w:hint="eastAsia" w:ascii="仿宋" w:hAnsi="仿宋" w:eastAsia="仿宋" w:cs="仿宋"/>
          <w:sz w:val="32"/>
          <w:szCs w:val="32"/>
          <w:highlight w:val="none"/>
        </w:rPr>
        <w:t>退休费、抚恤金、生活补助、</w:t>
      </w:r>
      <w:r>
        <w:rPr>
          <w:rFonts w:hint="eastAsia" w:ascii="仿宋" w:hAnsi="仿宋" w:eastAsia="仿宋" w:cs="仿宋"/>
          <w:sz w:val="32"/>
          <w:szCs w:val="32"/>
          <w:highlight w:val="none"/>
          <w:lang w:eastAsia="zh-CN"/>
        </w:rPr>
        <w:t>助学金、</w:t>
      </w:r>
      <w:r>
        <w:rPr>
          <w:rFonts w:hint="eastAsia" w:ascii="仿宋" w:hAnsi="仿宋" w:eastAsia="仿宋" w:cs="仿宋"/>
          <w:sz w:val="32"/>
          <w:szCs w:val="32"/>
          <w:highlight w:val="none"/>
        </w:rPr>
        <w:t>奖励金、其他对个人和家庭的补助支出；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公用经费</w:t>
      </w:r>
      <w:r>
        <w:rPr>
          <w:rFonts w:hint="eastAsia" w:ascii="仿宋" w:hAnsi="仿宋" w:eastAsia="仿宋" w:cs="仿宋"/>
          <w:sz w:val="32"/>
          <w:szCs w:val="32"/>
          <w:highlight w:val="none"/>
          <w:lang w:val="en-US" w:eastAsia="zh-CN"/>
        </w:rPr>
        <w:t>76</w:t>
      </w:r>
      <w:r>
        <w:rPr>
          <w:rFonts w:hint="eastAsia" w:ascii="仿宋" w:hAnsi="仿宋" w:eastAsia="仿宋" w:cs="仿宋"/>
          <w:sz w:val="32"/>
          <w:szCs w:val="32"/>
          <w:highlight w:val="none"/>
        </w:rPr>
        <w:t>万元，主要包括：办公费、印刷费、手续费</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水费、电费、邮电费、取暖费、差旅费、维修（护）费、租赁费、会议费、培训费、专用材料费、劳务费、委托业务费、其他商品和服务支出</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（一）“三公”经费财政拨款支出决算总体情况说明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度“三公”经费财政拨款支出</w:t>
      </w:r>
      <w:r>
        <w:rPr>
          <w:rFonts w:hint="eastAsia" w:ascii="仿宋" w:hAnsi="仿宋" w:eastAsia="仿宋" w:cs="仿宋"/>
          <w:sz w:val="32"/>
          <w:szCs w:val="32"/>
          <w:highlight w:val="none"/>
          <w:lang w:eastAsia="zh-CN"/>
        </w:rPr>
        <w:t>决算</w:t>
      </w:r>
      <w:r>
        <w:rPr>
          <w:rFonts w:hint="eastAsia" w:ascii="仿宋" w:hAnsi="仿宋" w:eastAsia="仿宋" w:cs="仿宋"/>
          <w:sz w:val="32"/>
          <w:szCs w:val="32"/>
          <w:highlight w:val="none"/>
        </w:rPr>
        <w:t>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与2017年决算数一致。年初预算为5万元，</w:t>
      </w:r>
      <w:r>
        <w:rPr>
          <w:rFonts w:hint="eastAsia" w:ascii="仿宋" w:hAnsi="仿宋" w:eastAsia="仿宋" w:cs="仿宋"/>
          <w:sz w:val="32"/>
          <w:szCs w:val="32"/>
          <w:highlight w:val="none"/>
        </w:rPr>
        <w:t>完成预算的</w:t>
      </w:r>
      <w:r>
        <w:rPr>
          <w:rFonts w:hint="eastAsia" w:ascii="仿宋" w:hAnsi="仿宋" w:eastAsia="仿宋" w:cs="仿宋"/>
          <w:sz w:val="32"/>
          <w:szCs w:val="32"/>
          <w:highlight w:val="none"/>
          <w:lang w:val="en-US" w:eastAsia="zh-CN"/>
        </w:rPr>
        <w:t>100%。</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（二）“三公”经费财政拨款支出决算具体情况说明。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1、</w:t>
      </w:r>
      <w:r>
        <w:rPr>
          <w:rFonts w:hint="eastAsia" w:ascii="仿宋" w:hAnsi="仿宋" w:eastAsia="仿宋" w:cs="仿宋"/>
          <w:b/>
          <w:bCs/>
          <w:sz w:val="32"/>
          <w:szCs w:val="32"/>
          <w:highlight w:val="none"/>
        </w:rPr>
        <w:t>因公出国（境）费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2、</w:t>
      </w:r>
      <w:r>
        <w:rPr>
          <w:rFonts w:hint="eastAsia" w:ascii="仿宋" w:hAnsi="仿宋" w:eastAsia="仿宋" w:cs="仿宋"/>
          <w:b/>
          <w:bCs/>
          <w:sz w:val="32"/>
          <w:szCs w:val="32"/>
          <w:highlight w:val="none"/>
        </w:rPr>
        <w:t>公务用车购置及运行费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5</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万元，完成预算的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9"/>
        <w:rPr>
          <w:rFonts w:hint="eastAsia" w:ascii="仿宋" w:hAnsi="仿宋" w:eastAsia="仿宋" w:cs="仿宋"/>
          <w:sz w:val="32"/>
          <w:szCs w:val="32"/>
          <w:highlight w:val="none"/>
          <w:lang w:val="en-US"/>
        </w:rPr>
      </w:pPr>
      <w:r>
        <w:rPr>
          <w:rFonts w:hint="eastAsia" w:ascii="仿宋" w:hAnsi="仿宋" w:eastAsia="仿宋" w:cs="仿宋"/>
          <w:b/>
          <w:bCs/>
          <w:sz w:val="32"/>
          <w:szCs w:val="32"/>
          <w:highlight w:val="none"/>
          <w:lang w:val="en-US" w:eastAsia="zh-CN"/>
        </w:rPr>
        <w:t>3、</w:t>
      </w:r>
      <w:r>
        <w:rPr>
          <w:rFonts w:hint="eastAsia" w:ascii="仿宋" w:hAnsi="仿宋" w:eastAsia="仿宋" w:cs="仿宋"/>
          <w:b/>
          <w:bCs/>
          <w:sz w:val="32"/>
          <w:szCs w:val="32"/>
          <w:highlight w:val="none"/>
        </w:rPr>
        <w:t>公务接待费</w:t>
      </w:r>
      <w:r>
        <w:rPr>
          <w:rFonts w:hint="eastAsia" w:ascii="仿宋" w:hAnsi="仿宋" w:eastAsia="仿宋" w:cs="仿宋"/>
          <w:b w:val="0"/>
          <w:bCs w:val="0"/>
          <w:sz w:val="32"/>
          <w:szCs w:val="32"/>
          <w:highlight w:val="none"/>
          <w:lang w:eastAsia="zh-CN"/>
        </w:rPr>
        <w:t>年初预算为</w:t>
      </w:r>
      <w:r>
        <w:rPr>
          <w:rFonts w:hint="eastAsia" w:ascii="仿宋" w:hAnsi="仿宋" w:eastAsia="仿宋" w:cs="仿宋"/>
          <w:sz w:val="32"/>
          <w:szCs w:val="32"/>
          <w:highlight w:val="none"/>
          <w:lang w:val="en-US" w:eastAsia="zh-CN"/>
        </w:rPr>
        <w:t>0</w:t>
      </w:r>
      <w:r>
        <w:rPr>
          <w:rFonts w:hint="eastAsia" w:ascii="仿宋" w:hAnsi="仿宋" w:eastAsia="仿宋" w:cs="仿宋"/>
          <w:b w:val="0"/>
          <w:bCs w:val="0"/>
          <w:sz w:val="32"/>
          <w:szCs w:val="32"/>
          <w:highlight w:val="none"/>
          <w:lang w:val="en-US" w:eastAsia="zh-CN"/>
        </w:rPr>
        <w:t>万元，</w:t>
      </w:r>
      <w:r>
        <w:rPr>
          <w:rFonts w:hint="eastAsia" w:ascii="仿宋" w:hAnsi="仿宋" w:eastAsia="仿宋" w:cs="仿宋"/>
          <w:sz w:val="32"/>
          <w:szCs w:val="32"/>
          <w:highlight w:val="none"/>
        </w:rPr>
        <w:t>支出决算为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 xml:space="preserve">   </w:t>
      </w:r>
      <w:r>
        <w:rPr>
          <w:rFonts w:hint="eastAsia" w:ascii="仿宋" w:hAnsi="仿宋" w:eastAsia="仿宋" w:cs="仿宋"/>
          <w:b/>
          <w:bCs/>
          <w:sz w:val="32"/>
          <w:szCs w:val="32"/>
          <w:highlight w:val="none"/>
        </w:rPr>
        <w:t>八、政府性基金预算财政拨款收入支出决算情况说明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sz w:val="32"/>
          <w:szCs w:val="32"/>
          <w:highlight w:val="none"/>
          <w:lang w:val="en-US" w:eastAsia="zh-CN"/>
        </w:rPr>
        <w:t>无。</w:t>
      </w:r>
    </w:p>
    <w:p>
      <w:pPr>
        <w:keepNext w:val="0"/>
        <w:keepLines w:val="0"/>
        <w:pageBreakBefore w:val="0"/>
        <w:widowControl/>
        <w:numPr>
          <w:ilvl w:val="0"/>
          <w:numId w:val="8"/>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
          <w:bCs/>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2018年度没有20万元以上项目、政府购买公共服务项目和市级以上专项，故没有开展绩效评价工作。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eastAsia="zh-CN"/>
        </w:rPr>
        <w:t>2018年度</w:t>
      </w:r>
      <w:r>
        <w:rPr>
          <w:rFonts w:hint="eastAsia" w:ascii="仿宋" w:hAnsi="仿宋" w:eastAsia="仿宋" w:cs="仿宋"/>
          <w:color w:val="auto"/>
          <w:sz w:val="32"/>
          <w:szCs w:val="32"/>
          <w:highlight w:val="none"/>
        </w:rPr>
        <w:t>机关运行经费支出</w:t>
      </w:r>
      <w:r>
        <w:rPr>
          <w:rFonts w:hint="eastAsia" w:ascii="仿宋" w:hAnsi="仿宋" w:eastAsia="仿宋" w:cs="仿宋"/>
          <w:color w:val="auto"/>
          <w:sz w:val="32"/>
          <w:szCs w:val="32"/>
          <w:highlight w:val="none"/>
          <w:lang w:val="en-US" w:eastAsia="zh-CN"/>
        </w:rPr>
        <w:t>76</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val="en-US" w:eastAsia="zh-CN"/>
        </w:rPr>
        <w:t>比</w:t>
      </w:r>
      <w:r>
        <w:rPr>
          <w:rFonts w:hint="eastAsia" w:ascii="仿宋" w:hAnsi="仿宋" w:eastAsia="仿宋" w:cs="仿宋"/>
          <w:color w:val="auto"/>
          <w:sz w:val="32"/>
          <w:szCs w:val="32"/>
          <w:highlight w:val="none"/>
          <w:lang w:eastAsia="zh-CN"/>
        </w:rPr>
        <w:t>年初预算</w:t>
      </w:r>
      <w:r>
        <w:rPr>
          <w:rFonts w:hint="eastAsia" w:ascii="仿宋" w:hAnsi="仿宋" w:eastAsia="仿宋" w:cs="仿宋"/>
          <w:color w:val="auto"/>
          <w:sz w:val="32"/>
          <w:szCs w:val="32"/>
          <w:highlight w:val="none"/>
          <w:lang w:val="en-US" w:eastAsia="zh-CN"/>
        </w:rPr>
        <w:t>减少224万元，下降75%，主要原因</w:t>
      </w:r>
      <w:r>
        <w:rPr>
          <w:rFonts w:hint="eastAsia" w:ascii="仿宋" w:hAnsi="仿宋" w:eastAsia="仿宋" w:cs="仿宋"/>
          <w:color w:val="auto"/>
          <w:sz w:val="32"/>
          <w:szCs w:val="32"/>
          <w:highlight w:val="none"/>
          <w:lang w:eastAsia="zh-CN"/>
        </w:rPr>
        <w:t>预算执行期间根据实际情况调整预算</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lang w:eastAsia="zh-CN"/>
        </w:rPr>
        <w:t>较上年决算减少</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万元，</w:t>
      </w:r>
      <w:r>
        <w:rPr>
          <w:rFonts w:hint="eastAsia" w:ascii="仿宋" w:hAnsi="仿宋" w:eastAsia="仿宋" w:cs="仿宋"/>
          <w:color w:val="auto"/>
          <w:sz w:val="32"/>
          <w:szCs w:val="32"/>
          <w:highlight w:val="none"/>
          <w:lang w:eastAsia="zh-CN"/>
        </w:rPr>
        <w:t>同比下降</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主要原因是：压缩公用经费支出</w:t>
      </w:r>
      <w:r>
        <w:rPr>
          <w:rFonts w:hint="eastAsia" w:ascii="仿宋" w:hAnsi="仿宋" w:eastAsia="仿宋" w:cs="仿宋"/>
          <w:color w:val="auto"/>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本部门政府采购支出总额</w:t>
      </w:r>
      <w:r>
        <w:rPr>
          <w:rFonts w:hint="eastAsia" w:ascii="仿宋" w:hAnsi="仿宋" w:eastAsia="仿宋" w:cs="仿宋"/>
          <w:sz w:val="32"/>
          <w:szCs w:val="32"/>
          <w:highlight w:val="none"/>
          <w:lang w:val="en-US" w:eastAsia="zh-CN"/>
        </w:rPr>
        <w:t>18.26</w:t>
      </w:r>
      <w:r>
        <w:rPr>
          <w:rFonts w:hint="eastAsia" w:ascii="仿宋" w:hAnsi="仿宋" w:eastAsia="仿宋" w:cs="仿宋"/>
          <w:sz w:val="32"/>
          <w:szCs w:val="32"/>
          <w:highlight w:val="none"/>
        </w:rPr>
        <w:t>万元，其中：政府采购货物支出</w:t>
      </w:r>
      <w:r>
        <w:rPr>
          <w:rFonts w:hint="eastAsia" w:ascii="仿宋" w:hAnsi="仿宋" w:eastAsia="仿宋" w:cs="仿宋"/>
          <w:sz w:val="32"/>
          <w:szCs w:val="32"/>
          <w:highlight w:val="none"/>
          <w:lang w:val="en-US" w:eastAsia="zh-CN"/>
        </w:rPr>
        <w:t>18.26</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授予中小企业合同金额</w:t>
      </w:r>
      <w:r>
        <w:rPr>
          <w:rFonts w:hint="eastAsia" w:ascii="仿宋" w:hAnsi="仿宋" w:eastAsia="仿宋" w:cs="仿宋"/>
          <w:sz w:val="32"/>
          <w:szCs w:val="32"/>
          <w:highlight w:val="none"/>
          <w:lang w:val="en-US" w:eastAsia="zh-CN"/>
        </w:rPr>
        <w:t>18.26</w:t>
      </w:r>
      <w:r>
        <w:rPr>
          <w:rFonts w:hint="eastAsia" w:ascii="仿宋" w:hAnsi="仿宋" w:eastAsia="仿宋" w:cs="仿宋"/>
          <w:sz w:val="32"/>
          <w:szCs w:val="32"/>
          <w:highlight w:val="none"/>
        </w:rPr>
        <w:t>万元，占政府采购支出总额的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截至</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12月31日，本部门共有车辆</w:t>
      </w:r>
      <w:r>
        <w:rPr>
          <w:rFonts w:hint="eastAsia" w:ascii="仿宋" w:hAnsi="仿宋" w:eastAsia="仿宋" w:cs="仿宋"/>
          <w:sz w:val="32"/>
          <w:szCs w:val="32"/>
          <w:highlight w:val="none"/>
          <w:lang w:val="en-US" w:eastAsia="zh-CN"/>
        </w:rPr>
        <w:t>15</w:t>
      </w:r>
      <w:r>
        <w:rPr>
          <w:rFonts w:hint="eastAsia" w:ascii="仿宋" w:hAnsi="仿宋" w:eastAsia="仿宋" w:cs="仿宋"/>
          <w:sz w:val="32"/>
          <w:szCs w:val="32"/>
          <w:highlight w:val="none"/>
        </w:rPr>
        <w:t>辆，其中</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副部（省）级及以上领导用车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辆、主要领导干部用车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辆、机要通信用车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应急保障用车</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辆、执法执勤用车</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辆、特种专业技术用车</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、离退休干部用车</w:t>
      </w:r>
      <w:r>
        <w:rPr>
          <w:rFonts w:hint="eastAsia" w:ascii="仿宋" w:hAnsi="仿宋" w:eastAsia="仿宋" w:cs="仿宋"/>
          <w:sz w:val="32"/>
          <w:szCs w:val="32"/>
          <w:highlight w:val="none"/>
          <w:lang w:val="en-US" w:eastAsia="zh-CN"/>
        </w:rPr>
        <w:t>0辆，</w:t>
      </w:r>
      <w:r>
        <w:rPr>
          <w:rFonts w:hint="eastAsia" w:ascii="仿宋" w:hAnsi="仿宋" w:eastAsia="仿宋" w:cs="仿宋"/>
          <w:sz w:val="32"/>
          <w:szCs w:val="32"/>
          <w:highlight w:val="none"/>
        </w:rPr>
        <w:t>其他用车</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单价</w:t>
      </w:r>
      <w:r>
        <w:rPr>
          <w:rFonts w:hint="eastAsia" w:ascii="仿宋" w:hAnsi="仿宋" w:eastAsia="仿宋" w:cs="仿宋"/>
          <w:sz w:val="32"/>
          <w:szCs w:val="32"/>
          <w:highlight w:val="none"/>
          <w:lang w:val="en-US" w:eastAsia="zh-CN"/>
        </w:rPr>
        <w:t>50</w:t>
      </w:r>
      <w:r>
        <w:rPr>
          <w:rFonts w:hint="eastAsia" w:ascii="仿宋" w:hAnsi="仿宋" w:eastAsia="仿宋" w:cs="仿宋"/>
          <w:sz w:val="32"/>
          <w:szCs w:val="32"/>
          <w:highlight w:val="none"/>
        </w:rPr>
        <w:t>万元以上通用设备</w:t>
      </w:r>
      <w:r>
        <w:rPr>
          <w:rFonts w:hint="eastAsia" w:ascii="仿宋" w:hAnsi="仿宋" w:eastAsia="仿宋" w:cs="仿宋"/>
          <w:sz w:val="32"/>
          <w:szCs w:val="32"/>
          <w:highlight w:val="none"/>
          <w:lang w:val="en-US" w:eastAsia="zh-CN"/>
        </w:rPr>
        <w:t>0台</w:t>
      </w:r>
      <w:r>
        <w:rPr>
          <w:rFonts w:hint="eastAsia" w:ascii="仿宋" w:hAnsi="仿宋" w:eastAsia="仿宋" w:cs="仿宋"/>
          <w:sz w:val="32"/>
          <w:szCs w:val="32"/>
          <w:highlight w:val="none"/>
        </w:rPr>
        <w:t>(套)，单价</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万元以上专用设备</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台(套)。</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2"/>
          <w:szCs w:val="32"/>
          <w:highlight w:val="none"/>
        </w:rPr>
        <w:t>根据《</w:t>
      </w:r>
      <w:r>
        <w:rPr>
          <w:rFonts w:hint="eastAsia" w:ascii="仿宋" w:hAnsi="仿宋" w:eastAsia="仿宋" w:cs="仿宋"/>
          <w:sz w:val="32"/>
          <w:szCs w:val="32"/>
          <w:highlight w:val="none"/>
          <w:lang w:eastAsia="zh-CN"/>
        </w:rPr>
        <w:t>2018年</w:t>
      </w:r>
      <w:r>
        <w:rPr>
          <w:rFonts w:hint="eastAsia" w:ascii="仿宋" w:hAnsi="仿宋" w:eastAsia="仿宋" w:cs="仿宋"/>
          <w:sz w:val="32"/>
          <w:szCs w:val="32"/>
          <w:highlight w:val="none"/>
        </w:rPr>
        <w:t>政府收支分类科目》对</w:t>
      </w:r>
      <w:r>
        <w:rPr>
          <w:rFonts w:hint="eastAsia" w:ascii="仿宋" w:hAnsi="仿宋" w:eastAsia="仿宋" w:cs="仿宋"/>
          <w:sz w:val="32"/>
          <w:szCs w:val="32"/>
          <w:highlight w:val="none"/>
          <w:lang w:eastAsia="zh-CN"/>
        </w:rPr>
        <w:t>2018年度</w:t>
      </w:r>
      <w:r>
        <w:rPr>
          <w:rFonts w:hint="eastAsia" w:ascii="仿宋" w:hAnsi="仿宋" w:eastAsia="仿宋" w:cs="仿宋"/>
          <w:sz w:val="32"/>
          <w:szCs w:val="32"/>
          <w:highlight w:val="none"/>
        </w:rPr>
        <w:t>部门决算</w:t>
      </w:r>
      <w:r>
        <w:rPr>
          <w:rFonts w:hint="eastAsia" w:ascii="仿宋" w:hAnsi="仿宋" w:eastAsia="仿宋" w:cs="仿宋"/>
          <w:sz w:val="32"/>
          <w:szCs w:val="32"/>
          <w:highlight w:val="none"/>
          <w:lang w:eastAsia="zh-CN"/>
        </w:rPr>
        <w:t>公开</w:t>
      </w:r>
      <w:r>
        <w:rPr>
          <w:rFonts w:hint="eastAsia" w:ascii="仿宋" w:hAnsi="仿宋" w:eastAsia="仿宋" w:cs="仿宋"/>
          <w:sz w:val="32"/>
          <w:szCs w:val="32"/>
          <w:highlight w:val="none"/>
        </w:rPr>
        <w:t>中相关名词解释如下：</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　　财政拨款收入：反映财政部门用公共预算收入安排的预算单位资金。</w:t>
      </w:r>
    </w:p>
    <w:p>
      <w:pPr>
        <w:keepNext w:val="0"/>
        <w:keepLines w:val="0"/>
        <w:pageBreakBefore w:val="0"/>
        <w:kinsoku/>
        <w:wordWrap/>
        <w:overflowPunct/>
        <w:topLinePunct w:val="0"/>
        <w:autoSpaceDE/>
        <w:autoSpaceDN/>
        <w:bidi w:val="0"/>
        <w:adjustRightInd/>
        <w:snapToGrid/>
        <w:spacing w:line="360" w:lineRule="auto"/>
        <w:ind w:right="0" w:rightChars="0" w:firstLine="660"/>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sz w:val="32"/>
          <w:szCs w:val="32"/>
          <w:highlight w:val="none"/>
        </w:rPr>
        <w:t>一般公共预算拨款</w:t>
      </w:r>
      <w:r>
        <w:rPr>
          <w:rFonts w:hint="eastAsia" w:ascii="仿宋" w:hAnsi="仿宋" w:eastAsia="仿宋" w:cs="仿宋"/>
          <w:bCs/>
          <w:color w:val="111111"/>
          <w:kern w:val="0"/>
          <w:sz w:val="32"/>
          <w:szCs w:val="32"/>
          <w:highlight w:val="none"/>
        </w:rPr>
        <w:t>：</w:t>
      </w:r>
      <w:r>
        <w:rPr>
          <w:rFonts w:hint="eastAsia" w:ascii="仿宋" w:hAnsi="仿宋" w:eastAsia="仿宋" w:cs="仿宋"/>
          <w:color w:val="111111"/>
          <w:kern w:val="0"/>
          <w:sz w:val="32"/>
          <w:szCs w:val="32"/>
          <w:highlight w:val="none"/>
        </w:rPr>
        <w:t>指单位本年度从区级财政部门取得的财政拨款。</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i/>
          <w:iCs/>
          <w:color w:val="111111"/>
          <w:kern w:val="0"/>
          <w:sz w:val="32"/>
          <w:szCs w:val="32"/>
          <w:highlight w:val="none"/>
        </w:rPr>
      </w:pPr>
      <w:r>
        <w:rPr>
          <w:rFonts w:hint="eastAsia" w:ascii="仿宋" w:hAnsi="仿宋" w:eastAsia="仿宋" w:cs="仿宋"/>
          <w:bCs/>
          <w:color w:val="111111"/>
          <w:kern w:val="0"/>
          <w:sz w:val="32"/>
          <w:szCs w:val="32"/>
          <w:highlight w:val="none"/>
        </w:rPr>
        <w:t>事业收入：</w:t>
      </w:r>
      <w:r>
        <w:rPr>
          <w:rFonts w:hint="eastAsia" w:ascii="仿宋" w:hAnsi="仿宋" w:eastAsia="仿宋" w:cs="仿宋"/>
          <w:color w:val="111111"/>
          <w:kern w:val="0"/>
          <w:sz w:val="32"/>
          <w:szCs w:val="32"/>
          <w:highlight w:val="none"/>
        </w:rPr>
        <w:t>指事业单位开展专业业务活动及其辅助活动取得的收入，事业单位收到的财政专户实际核拨的教育收费等资金在此反映。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360" w:lineRule="auto"/>
        <w:ind w:right="0" w:rightChars="0" w:firstLine="645"/>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bCs/>
          <w:color w:val="111111"/>
          <w:kern w:val="0"/>
          <w:sz w:val="32"/>
          <w:szCs w:val="32"/>
          <w:highlight w:val="none"/>
        </w:rPr>
        <w:t>其他收入：</w:t>
      </w:r>
      <w:r>
        <w:rPr>
          <w:rFonts w:hint="eastAsia" w:ascii="仿宋" w:hAnsi="仿宋" w:eastAsia="仿宋" w:cs="仿宋"/>
          <w:color w:val="111111"/>
          <w:kern w:val="0"/>
          <w:sz w:val="32"/>
          <w:szCs w:val="32"/>
          <w:highlight w:val="none"/>
        </w:rPr>
        <w:t>指单位取得的除上述“财政拨款收入”、“事业收入”、“经营收入”等以外的各项收入。</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用事业基金弥补收支差额：</w:t>
      </w:r>
      <w:r>
        <w:rPr>
          <w:rFonts w:hint="eastAsia" w:ascii="仿宋" w:hAnsi="仿宋" w:eastAsia="仿宋" w:cs="仿宋"/>
          <w:color w:val="111111"/>
          <w:kern w:val="0"/>
          <w:sz w:val="32"/>
          <w:szCs w:val="32"/>
          <w:highlight w:val="none"/>
        </w:rPr>
        <w:t>指事业单位用事业基金弥补当年收支差额的数额。 </w:t>
      </w:r>
    </w:p>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111111"/>
          <w:kern w:val="0"/>
          <w:sz w:val="32"/>
          <w:szCs w:val="32"/>
          <w:highlight w:val="none"/>
        </w:rPr>
      </w:pPr>
      <w:r>
        <w:rPr>
          <w:rFonts w:hint="eastAsia" w:ascii="仿宋" w:hAnsi="仿宋" w:eastAsia="仿宋" w:cs="仿宋"/>
          <w:color w:val="111111"/>
          <w:kern w:val="0"/>
          <w:sz w:val="32"/>
          <w:szCs w:val="32"/>
          <w:highlight w:val="none"/>
        </w:rPr>
        <w:t>　　</w:t>
      </w:r>
      <w:r>
        <w:rPr>
          <w:rFonts w:hint="eastAsia" w:ascii="仿宋" w:hAnsi="仿宋" w:eastAsia="仿宋" w:cs="仿宋"/>
          <w:bCs/>
          <w:color w:val="111111"/>
          <w:kern w:val="0"/>
          <w:sz w:val="32"/>
          <w:szCs w:val="32"/>
          <w:highlight w:val="none"/>
        </w:rPr>
        <w:t>年初结转和结余：</w:t>
      </w:r>
      <w:r>
        <w:rPr>
          <w:rFonts w:hint="eastAsia" w:ascii="仿宋" w:hAnsi="仿宋" w:eastAsia="仿宋" w:cs="仿宋"/>
          <w:color w:val="111111"/>
          <w:kern w:val="0"/>
          <w:sz w:val="32"/>
          <w:szCs w:val="32"/>
          <w:highlight w:val="none"/>
        </w:rPr>
        <w:t>指单位上年结转本年使用的基本支出结转、项目支出结转和结余和经营结余。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年末结转和结余资金：指本年度或以前年度预算安排、因客观条件发生变化无法按原计划实施，需要延迟到以后年度按有关规定继续使用的资金。</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一般公共财政预算支出：反映公共财政预算收入安排的支出。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对个人和家庭的补助：反映政府用于对个人和家庭的补助支出。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政府性基金预算：对依照法律、行政法规的规定，在一定期限内向特定对象征收、收取或者其他方式筹集的资金，专项用于特定公共事业发展的收支预算。</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　　政府性基金支出：反映政府基金收入</w:t>
      </w:r>
      <w:r>
        <w:rPr>
          <w:rFonts w:hint="eastAsia" w:ascii="仿宋" w:hAnsi="仿宋" w:eastAsia="仿宋" w:cs="仿宋"/>
          <w:bCs/>
          <w:color w:val="111111"/>
          <w:kern w:val="0"/>
          <w:sz w:val="32"/>
          <w:szCs w:val="32"/>
          <w:highlight w:val="none"/>
          <w:lang w:val="en-US" w:eastAsia="zh-CN"/>
        </w:rPr>
        <w:t>安排</w:t>
      </w:r>
      <w:bookmarkStart w:id="0" w:name="_GoBack"/>
      <w:bookmarkEnd w:id="0"/>
      <w:r>
        <w:rPr>
          <w:rFonts w:hint="eastAsia" w:ascii="仿宋" w:hAnsi="仿宋" w:eastAsia="仿宋" w:cs="仿宋"/>
          <w:bCs/>
          <w:color w:val="111111"/>
          <w:kern w:val="0"/>
          <w:sz w:val="32"/>
          <w:szCs w:val="32"/>
          <w:highlight w:val="none"/>
        </w:rPr>
        <w:t>的支出。</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rPr>
        <w:t>基本支出：指为保障机构正常运转、完成日常工作任务而发生的人员支出和公用支出。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项目支出：指在基本支出之外为完成特定的行政任务或事业发展目标所发生的支出。</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政府采购：指国家各级政府为从事日常的政务活动或为了满足公共服务的目的，利用国家</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"http://baike.so.com/doc/5716834-5929560.html"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财政性资金</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和政府借款购买货物、工程和服务的行为。政府采购不仅是指具体的</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"http://baike.so.com/doc/4796448-5012566.html"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采购过程</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，而且是采购政策、采购程序、采购过程及采购管理的总称，是一种对公共采购管理的制度。</w:t>
      </w:r>
      <w:r>
        <w:rPr>
          <w:rFonts w:hint="eastAsia" w:ascii="仿宋" w:hAnsi="仿宋" w:eastAsia="仿宋" w:cs="仿宋"/>
          <w:bCs/>
          <w:color w:val="111111"/>
          <w:kern w:val="0"/>
          <w:sz w:val="32"/>
          <w:szCs w:val="32"/>
          <w:highlight w:val="none"/>
        </w:rPr>
        <w:br w:type="textWrapping"/>
      </w:r>
      <w:r>
        <w:rPr>
          <w:rFonts w:hint="eastAsia" w:ascii="仿宋" w:hAnsi="仿宋" w:eastAsia="仿宋" w:cs="仿宋"/>
          <w:bCs/>
          <w:color w:val="111111"/>
          <w:kern w:val="0"/>
          <w:sz w:val="32"/>
          <w:szCs w:val="32"/>
          <w:highlight w:val="none"/>
          <w:lang w:val="en-US" w:eastAsia="zh-CN"/>
        </w:rPr>
        <w:t xml:space="preserve">    </w:t>
      </w:r>
      <w:r>
        <w:rPr>
          <w:rFonts w:hint="eastAsia" w:ascii="仿宋" w:hAnsi="仿宋" w:eastAsia="仿宋" w:cs="仿宋"/>
          <w:bCs/>
          <w:color w:val="111111"/>
          <w:kern w:val="0"/>
          <w:sz w:val="32"/>
          <w:szCs w:val="32"/>
          <w:highlight w:val="none"/>
        </w:rPr>
        <w:t>国有资产：国有资产是法律上确定为国家所有并能为国家提供经济和</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"http://baike.so.com/doc/741806-785246.html"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社会效益</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的各种</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"http://baike.so.com/doc/7798608-8072703.html"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经济资源</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的总和。就是属于国家所有的一切</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"http://baike.so.com/doc/5368106-5603892.html"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财产</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和财</w:t>
      </w:r>
      <w:r>
        <w:rPr>
          <w:rFonts w:hint="eastAsia" w:ascii="仿宋" w:hAnsi="仿宋" w:eastAsia="仿宋" w:cs="仿宋"/>
          <w:bCs/>
          <w:color w:val="111111"/>
          <w:kern w:val="0"/>
          <w:sz w:val="32"/>
          <w:szCs w:val="32"/>
          <w:highlight w:val="none"/>
        </w:rPr>
        <w:fldChar w:fldCharType="begin"/>
      </w:r>
      <w:r>
        <w:rPr>
          <w:rFonts w:hint="eastAsia" w:ascii="仿宋" w:hAnsi="仿宋" w:eastAsia="仿宋" w:cs="仿宋"/>
          <w:bCs/>
          <w:color w:val="111111"/>
          <w:kern w:val="0"/>
          <w:sz w:val="32"/>
          <w:szCs w:val="32"/>
          <w:highlight w:val="none"/>
        </w:rPr>
        <w:instrText xml:space="preserve"> HYPERLINK "http://baike.so.com/doc/5399886-5637441.html" \t "_blank" </w:instrText>
      </w:r>
      <w:r>
        <w:rPr>
          <w:rFonts w:hint="eastAsia" w:ascii="仿宋" w:hAnsi="仿宋" w:eastAsia="仿宋" w:cs="仿宋"/>
          <w:bCs/>
          <w:color w:val="111111"/>
          <w:kern w:val="0"/>
          <w:sz w:val="32"/>
          <w:szCs w:val="32"/>
          <w:highlight w:val="none"/>
        </w:rPr>
        <w:fldChar w:fldCharType="separate"/>
      </w:r>
      <w:r>
        <w:rPr>
          <w:rFonts w:hint="eastAsia" w:ascii="仿宋" w:hAnsi="仿宋" w:eastAsia="仿宋" w:cs="仿宋"/>
          <w:bCs/>
          <w:color w:val="111111"/>
          <w:kern w:val="0"/>
          <w:sz w:val="32"/>
          <w:szCs w:val="32"/>
          <w:highlight w:val="none"/>
        </w:rPr>
        <w:t>产权</w:t>
      </w:r>
      <w:r>
        <w:rPr>
          <w:rFonts w:hint="eastAsia" w:ascii="仿宋" w:hAnsi="仿宋" w:eastAsia="仿宋" w:cs="仿宋"/>
          <w:bCs/>
          <w:color w:val="111111"/>
          <w:kern w:val="0"/>
          <w:sz w:val="32"/>
          <w:szCs w:val="32"/>
          <w:highlight w:val="none"/>
        </w:rPr>
        <w:fldChar w:fldCharType="end"/>
      </w:r>
      <w:r>
        <w:rPr>
          <w:rFonts w:hint="eastAsia" w:ascii="仿宋" w:hAnsi="仿宋" w:eastAsia="仿宋" w:cs="仿宋"/>
          <w:bCs/>
          <w:color w:val="111111"/>
          <w:kern w:val="0"/>
          <w:sz w:val="32"/>
          <w:szCs w:val="32"/>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附件：2018年度部门决算公开表格</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val="en-US" w:eastAsia="zh-CN"/>
        </w:rPr>
      </w:pPr>
      <w:r>
        <w:rPr>
          <w:rFonts w:hint="eastAsia" w:ascii="仿宋" w:hAnsi="仿宋" w:eastAsia="仿宋" w:cs="仿宋"/>
          <w:bCs/>
          <w:color w:val="111111"/>
          <w:kern w:val="0"/>
          <w:sz w:val="32"/>
          <w:szCs w:val="32"/>
          <w:highlight w:val="none"/>
          <w:lang w:val="en-US" w:eastAsia="zh-CN"/>
        </w:rPr>
        <w:t>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收入决算表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财政拨款收入支出决算总表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一般公共预算财政拨款基本支出决算表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一般公共预算财政拨款“三公”经费支出决算表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rPr>
      </w:pPr>
      <w:r>
        <w:rPr>
          <w:rFonts w:hint="eastAsia" w:ascii="仿宋" w:hAnsi="仿宋" w:eastAsia="仿宋" w:cs="仿宋"/>
          <w:bCs/>
          <w:color w:val="111111"/>
          <w:kern w:val="0"/>
          <w:sz w:val="32"/>
          <w:szCs w:val="32"/>
          <w:highlight w:val="none"/>
        </w:rPr>
        <w:t>政府性基金预算财政拨款收入支出决算表</w:t>
      </w: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bCs/>
          <w:color w:val="111111"/>
          <w:kern w:val="0"/>
          <w:sz w:val="32"/>
          <w:szCs w:val="32"/>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firstLine="600" w:firstLineChars="200"/>
        <w:textAlignment w:val="auto"/>
        <w:outlineLvl w:val="9"/>
        <w:rPr>
          <w:rFonts w:hint="eastAsia" w:ascii="仿宋" w:hAnsi="仿宋" w:eastAsia="仿宋" w:cs="仿宋"/>
          <w:kern w:val="0"/>
          <w:sz w:val="30"/>
          <w:szCs w:val="30"/>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highlight w:val="none"/>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EDA3B"/>
    <w:multiLevelType w:val="singleLevel"/>
    <w:tmpl w:val="5D7EDA3B"/>
    <w:lvl w:ilvl="0" w:tentative="0">
      <w:start w:val="9"/>
      <w:numFmt w:val="chineseCounting"/>
      <w:suff w:val="nothing"/>
      <w:lvlText w:val="%1、"/>
      <w:lvlJc w:val="left"/>
    </w:lvl>
  </w:abstractNum>
  <w:abstractNum w:abstractNumId="4">
    <w:nsid w:val="5DA67E84"/>
    <w:multiLevelType w:val="singleLevel"/>
    <w:tmpl w:val="5DA67E84"/>
    <w:lvl w:ilvl="0" w:tentative="0">
      <w:start w:val="1"/>
      <w:numFmt w:val="decimal"/>
      <w:suff w:val="nothing"/>
      <w:lvlText w:val="%1."/>
      <w:lvlJc w:val="left"/>
    </w:lvl>
  </w:abstractNum>
  <w:abstractNum w:abstractNumId="5">
    <w:nsid w:val="5DA67E9D"/>
    <w:multiLevelType w:val="singleLevel"/>
    <w:tmpl w:val="5DA67E9D"/>
    <w:lvl w:ilvl="0" w:tentative="0">
      <w:start w:val="3"/>
      <w:numFmt w:val="decimal"/>
      <w:suff w:val="nothing"/>
      <w:lvlText w:val="%1."/>
      <w:lvlJc w:val="left"/>
    </w:lvl>
  </w:abstractNum>
  <w:abstractNum w:abstractNumId="6">
    <w:nsid w:val="5DA67EB4"/>
    <w:multiLevelType w:val="singleLevel"/>
    <w:tmpl w:val="5DA67EB4"/>
    <w:lvl w:ilvl="0" w:tentative="0">
      <w:start w:val="5"/>
      <w:numFmt w:val="decimal"/>
      <w:suff w:val="nothing"/>
      <w:lvlText w:val="%1."/>
      <w:lvlJc w:val="left"/>
    </w:lvl>
  </w:abstractNum>
  <w:abstractNum w:abstractNumId="7">
    <w:nsid w:val="5DA682EA"/>
    <w:multiLevelType w:val="singleLevel"/>
    <w:tmpl w:val="5DA682EA"/>
    <w:lvl w:ilvl="0" w:tentative="0">
      <w:start w:val="3"/>
      <w:numFmt w:val="chineseCounting"/>
      <w:suff w:val="nothing"/>
      <w:lvlText w:val="%1、"/>
      <w:lvlJc w:val="left"/>
    </w:lvl>
  </w:abstractNum>
  <w:num w:numId="1">
    <w:abstractNumId w:val="1"/>
  </w:num>
  <w:num w:numId="2">
    <w:abstractNumId w:val="2"/>
  </w:num>
  <w:num w:numId="3">
    <w:abstractNumId w:val="0"/>
  </w:num>
  <w:num w:numId="4">
    <w:abstractNumId w:val="4"/>
  </w:num>
  <w:num w:numId="5">
    <w:abstractNumId w:val="5"/>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jYTRiOTM2YTFjMGYwYWIyN2QxM2NkYzYyZGMyYzIifQ=="/>
  </w:docVars>
  <w:rsids>
    <w:rsidRoot w:val="141522A4"/>
    <w:rsid w:val="00252B57"/>
    <w:rsid w:val="004D28BB"/>
    <w:rsid w:val="0064582E"/>
    <w:rsid w:val="008557E7"/>
    <w:rsid w:val="00C0162D"/>
    <w:rsid w:val="01085369"/>
    <w:rsid w:val="013F122A"/>
    <w:rsid w:val="01D81B17"/>
    <w:rsid w:val="02056C4D"/>
    <w:rsid w:val="021B6ED4"/>
    <w:rsid w:val="023F13DB"/>
    <w:rsid w:val="026066D5"/>
    <w:rsid w:val="029224CF"/>
    <w:rsid w:val="02B37A71"/>
    <w:rsid w:val="02FB0053"/>
    <w:rsid w:val="032D5CC6"/>
    <w:rsid w:val="03456C94"/>
    <w:rsid w:val="036A7041"/>
    <w:rsid w:val="0372233B"/>
    <w:rsid w:val="037D750B"/>
    <w:rsid w:val="03CD392E"/>
    <w:rsid w:val="03D81BFC"/>
    <w:rsid w:val="04101647"/>
    <w:rsid w:val="041E2DE3"/>
    <w:rsid w:val="04DF25D8"/>
    <w:rsid w:val="058F3CD4"/>
    <w:rsid w:val="05D07B73"/>
    <w:rsid w:val="061D3241"/>
    <w:rsid w:val="06265BAD"/>
    <w:rsid w:val="0633713A"/>
    <w:rsid w:val="0674676D"/>
    <w:rsid w:val="06EE4F18"/>
    <w:rsid w:val="07160592"/>
    <w:rsid w:val="072041B7"/>
    <w:rsid w:val="073129CE"/>
    <w:rsid w:val="075B29A0"/>
    <w:rsid w:val="07874C92"/>
    <w:rsid w:val="08012502"/>
    <w:rsid w:val="084670B2"/>
    <w:rsid w:val="087830FF"/>
    <w:rsid w:val="088B3B8C"/>
    <w:rsid w:val="0894421E"/>
    <w:rsid w:val="08A3498B"/>
    <w:rsid w:val="08F04202"/>
    <w:rsid w:val="090E785C"/>
    <w:rsid w:val="092248D9"/>
    <w:rsid w:val="093B0FC9"/>
    <w:rsid w:val="09561265"/>
    <w:rsid w:val="099C4029"/>
    <w:rsid w:val="09B50255"/>
    <w:rsid w:val="09E539AA"/>
    <w:rsid w:val="09FC2316"/>
    <w:rsid w:val="0A11221C"/>
    <w:rsid w:val="0A220A86"/>
    <w:rsid w:val="0ABC48D5"/>
    <w:rsid w:val="0ACA3F20"/>
    <w:rsid w:val="0ACF20CF"/>
    <w:rsid w:val="0B3324B9"/>
    <w:rsid w:val="0B65121C"/>
    <w:rsid w:val="0BC654D1"/>
    <w:rsid w:val="0C24248A"/>
    <w:rsid w:val="0C28537D"/>
    <w:rsid w:val="0CC46B8B"/>
    <w:rsid w:val="0CD159E4"/>
    <w:rsid w:val="0D246A78"/>
    <w:rsid w:val="0D410992"/>
    <w:rsid w:val="0D5E7D65"/>
    <w:rsid w:val="0DCE1277"/>
    <w:rsid w:val="0E1A3CAC"/>
    <w:rsid w:val="0E7F0C0C"/>
    <w:rsid w:val="0ECD5696"/>
    <w:rsid w:val="0FBA5764"/>
    <w:rsid w:val="105F31FD"/>
    <w:rsid w:val="10655A3A"/>
    <w:rsid w:val="111937AD"/>
    <w:rsid w:val="11614362"/>
    <w:rsid w:val="11EF5D70"/>
    <w:rsid w:val="122C4214"/>
    <w:rsid w:val="124A2012"/>
    <w:rsid w:val="13F15BAA"/>
    <w:rsid w:val="141522A4"/>
    <w:rsid w:val="145101A2"/>
    <w:rsid w:val="145C1DAC"/>
    <w:rsid w:val="145E21B2"/>
    <w:rsid w:val="149D7C22"/>
    <w:rsid w:val="14C16853"/>
    <w:rsid w:val="15CE4E6C"/>
    <w:rsid w:val="15DC05E9"/>
    <w:rsid w:val="16292D38"/>
    <w:rsid w:val="164964BC"/>
    <w:rsid w:val="16BC76C9"/>
    <w:rsid w:val="16EA1D4C"/>
    <w:rsid w:val="17A60DC6"/>
    <w:rsid w:val="180D60E6"/>
    <w:rsid w:val="18D1043D"/>
    <w:rsid w:val="18F50A19"/>
    <w:rsid w:val="18F92BD2"/>
    <w:rsid w:val="19663C21"/>
    <w:rsid w:val="19722A55"/>
    <w:rsid w:val="19732BF8"/>
    <w:rsid w:val="19AC136C"/>
    <w:rsid w:val="1A2C2747"/>
    <w:rsid w:val="1A356445"/>
    <w:rsid w:val="1A8E2AE4"/>
    <w:rsid w:val="1AD54B1A"/>
    <w:rsid w:val="1AFB35A7"/>
    <w:rsid w:val="1B0A0091"/>
    <w:rsid w:val="1B324E77"/>
    <w:rsid w:val="1B62795A"/>
    <w:rsid w:val="1B7541AC"/>
    <w:rsid w:val="1BB90A3E"/>
    <w:rsid w:val="1BCA16D9"/>
    <w:rsid w:val="1C1E0652"/>
    <w:rsid w:val="1C2527A8"/>
    <w:rsid w:val="1C2664D7"/>
    <w:rsid w:val="1C3521E8"/>
    <w:rsid w:val="1C6B5BB5"/>
    <w:rsid w:val="1CB4248D"/>
    <w:rsid w:val="1CCC7EAC"/>
    <w:rsid w:val="1D5970C9"/>
    <w:rsid w:val="1DD71951"/>
    <w:rsid w:val="1E3E4241"/>
    <w:rsid w:val="1E7E4DD1"/>
    <w:rsid w:val="1EE81910"/>
    <w:rsid w:val="1F096E9E"/>
    <w:rsid w:val="20341693"/>
    <w:rsid w:val="208D009A"/>
    <w:rsid w:val="209730DE"/>
    <w:rsid w:val="20A7189B"/>
    <w:rsid w:val="20DE39CC"/>
    <w:rsid w:val="21585A77"/>
    <w:rsid w:val="21965ECE"/>
    <w:rsid w:val="21B4059F"/>
    <w:rsid w:val="222608DB"/>
    <w:rsid w:val="225125A5"/>
    <w:rsid w:val="227C0527"/>
    <w:rsid w:val="22897FD1"/>
    <w:rsid w:val="229E246E"/>
    <w:rsid w:val="22B54AA2"/>
    <w:rsid w:val="234D0F55"/>
    <w:rsid w:val="23C62C14"/>
    <w:rsid w:val="23EB4166"/>
    <w:rsid w:val="23EF79F8"/>
    <w:rsid w:val="241C6F4C"/>
    <w:rsid w:val="243B6E0E"/>
    <w:rsid w:val="2446447F"/>
    <w:rsid w:val="246F00D9"/>
    <w:rsid w:val="248B02A1"/>
    <w:rsid w:val="249A1586"/>
    <w:rsid w:val="258B1D72"/>
    <w:rsid w:val="25D0378A"/>
    <w:rsid w:val="25FA0DB4"/>
    <w:rsid w:val="26241031"/>
    <w:rsid w:val="262D370B"/>
    <w:rsid w:val="26B10EFE"/>
    <w:rsid w:val="2700050A"/>
    <w:rsid w:val="27534AF4"/>
    <w:rsid w:val="277C33F5"/>
    <w:rsid w:val="27AA352E"/>
    <w:rsid w:val="28080359"/>
    <w:rsid w:val="28415CB2"/>
    <w:rsid w:val="284819BC"/>
    <w:rsid w:val="285C7260"/>
    <w:rsid w:val="289A3343"/>
    <w:rsid w:val="28D2600D"/>
    <w:rsid w:val="293B5244"/>
    <w:rsid w:val="296524ED"/>
    <w:rsid w:val="29991184"/>
    <w:rsid w:val="2A675CA6"/>
    <w:rsid w:val="2B2D1149"/>
    <w:rsid w:val="2BD33C97"/>
    <w:rsid w:val="2C2439A5"/>
    <w:rsid w:val="2C880874"/>
    <w:rsid w:val="2D8B3C93"/>
    <w:rsid w:val="2E257CFA"/>
    <w:rsid w:val="2F0326CC"/>
    <w:rsid w:val="2F494622"/>
    <w:rsid w:val="2F574F68"/>
    <w:rsid w:val="2FA56B72"/>
    <w:rsid w:val="2FA8566D"/>
    <w:rsid w:val="2FF44D1F"/>
    <w:rsid w:val="301E1A57"/>
    <w:rsid w:val="303A7656"/>
    <w:rsid w:val="305A001C"/>
    <w:rsid w:val="30852914"/>
    <w:rsid w:val="30D01C13"/>
    <w:rsid w:val="30F2228E"/>
    <w:rsid w:val="31236FB3"/>
    <w:rsid w:val="312D1038"/>
    <w:rsid w:val="31431466"/>
    <w:rsid w:val="318A0C0B"/>
    <w:rsid w:val="31B12627"/>
    <w:rsid w:val="31B14F25"/>
    <w:rsid w:val="32117BFA"/>
    <w:rsid w:val="32CE4ACD"/>
    <w:rsid w:val="33950C09"/>
    <w:rsid w:val="33A52EDF"/>
    <w:rsid w:val="33B00D4E"/>
    <w:rsid w:val="33B30709"/>
    <w:rsid w:val="33D52F52"/>
    <w:rsid w:val="342D1FD0"/>
    <w:rsid w:val="347F1DF5"/>
    <w:rsid w:val="348148BB"/>
    <w:rsid w:val="349E4F95"/>
    <w:rsid w:val="353D309D"/>
    <w:rsid w:val="354B0485"/>
    <w:rsid w:val="359D1E5E"/>
    <w:rsid w:val="35A27AEB"/>
    <w:rsid w:val="35D376B6"/>
    <w:rsid w:val="35F6519D"/>
    <w:rsid w:val="35FE4E30"/>
    <w:rsid w:val="363D1DEA"/>
    <w:rsid w:val="36864B31"/>
    <w:rsid w:val="36A976DC"/>
    <w:rsid w:val="36B46223"/>
    <w:rsid w:val="36DD41C9"/>
    <w:rsid w:val="37156E11"/>
    <w:rsid w:val="371668A7"/>
    <w:rsid w:val="3723736C"/>
    <w:rsid w:val="376B06D5"/>
    <w:rsid w:val="37AF46C9"/>
    <w:rsid w:val="37DD3D7B"/>
    <w:rsid w:val="380E2783"/>
    <w:rsid w:val="38A67532"/>
    <w:rsid w:val="38B91545"/>
    <w:rsid w:val="39346EA1"/>
    <w:rsid w:val="3942192D"/>
    <w:rsid w:val="395039EC"/>
    <w:rsid w:val="397015C0"/>
    <w:rsid w:val="39AA7758"/>
    <w:rsid w:val="39C905DA"/>
    <w:rsid w:val="39DF2A5A"/>
    <w:rsid w:val="3A1671FA"/>
    <w:rsid w:val="3A7817E8"/>
    <w:rsid w:val="3B560162"/>
    <w:rsid w:val="3B6067D0"/>
    <w:rsid w:val="3B655587"/>
    <w:rsid w:val="3B786C9E"/>
    <w:rsid w:val="3BDC189F"/>
    <w:rsid w:val="3BED1019"/>
    <w:rsid w:val="3C56526F"/>
    <w:rsid w:val="3C5E18A9"/>
    <w:rsid w:val="3CAC750F"/>
    <w:rsid w:val="3CB6492A"/>
    <w:rsid w:val="3CC101FD"/>
    <w:rsid w:val="3CD320A6"/>
    <w:rsid w:val="3D064FB3"/>
    <w:rsid w:val="3D0E0C91"/>
    <w:rsid w:val="3D1D5B1A"/>
    <w:rsid w:val="3DC2625E"/>
    <w:rsid w:val="3DCC19E5"/>
    <w:rsid w:val="3DED2837"/>
    <w:rsid w:val="3DEE04D3"/>
    <w:rsid w:val="3E000F09"/>
    <w:rsid w:val="3E0C4CB4"/>
    <w:rsid w:val="3E242614"/>
    <w:rsid w:val="3E2F7465"/>
    <w:rsid w:val="3E890E84"/>
    <w:rsid w:val="3EF617B7"/>
    <w:rsid w:val="3F1B0D68"/>
    <w:rsid w:val="3FAF30EC"/>
    <w:rsid w:val="3FCF46D7"/>
    <w:rsid w:val="3FDC3CEB"/>
    <w:rsid w:val="40004AE5"/>
    <w:rsid w:val="4049017B"/>
    <w:rsid w:val="406C277E"/>
    <w:rsid w:val="40917F6E"/>
    <w:rsid w:val="40C60AA1"/>
    <w:rsid w:val="40CA2084"/>
    <w:rsid w:val="410F41E6"/>
    <w:rsid w:val="413B01B8"/>
    <w:rsid w:val="41452265"/>
    <w:rsid w:val="419732B8"/>
    <w:rsid w:val="41AF3079"/>
    <w:rsid w:val="42A416BF"/>
    <w:rsid w:val="42BD15F0"/>
    <w:rsid w:val="42C0261B"/>
    <w:rsid w:val="430E5674"/>
    <w:rsid w:val="43342B06"/>
    <w:rsid w:val="4349281A"/>
    <w:rsid w:val="43497224"/>
    <w:rsid w:val="436918DA"/>
    <w:rsid w:val="45114AD5"/>
    <w:rsid w:val="454D033D"/>
    <w:rsid w:val="454D1830"/>
    <w:rsid w:val="455C498F"/>
    <w:rsid w:val="456626DA"/>
    <w:rsid w:val="457E5F6B"/>
    <w:rsid w:val="469D50B4"/>
    <w:rsid w:val="469F2AFB"/>
    <w:rsid w:val="46B844C7"/>
    <w:rsid w:val="46F01C23"/>
    <w:rsid w:val="47271A13"/>
    <w:rsid w:val="4752048D"/>
    <w:rsid w:val="476511CB"/>
    <w:rsid w:val="47E7503F"/>
    <w:rsid w:val="480B68BA"/>
    <w:rsid w:val="481C5784"/>
    <w:rsid w:val="48260746"/>
    <w:rsid w:val="48522F96"/>
    <w:rsid w:val="487530F0"/>
    <w:rsid w:val="48D63829"/>
    <w:rsid w:val="48E37E88"/>
    <w:rsid w:val="490A248A"/>
    <w:rsid w:val="493B4F8E"/>
    <w:rsid w:val="49A90FBC"/>
    <w:rsid w:val="49D46395"/>
    <w:rsid w:val="49F10D10"/>
    <w:rsid w:val="49FD2243"/>
    <w:rsid w:val="4A3C1D13"/>
    <w:rsid w:val="4A5A14CD"/>
    <w:rsid w:val="4A7F6176"/>
    <w:rsid w:val="4B292024"/>
    <w:rsid w:val="4B6F38E8"/>
    <w:rsid w:val="4BF91344"/>
    <w:rsid w:val="4CE65541"/>
    <w:rsid w:val="4DFF3087"/>
    <w:rsid w:val="4E837D65"/>
    <w:rsid w:val="4EB457CE"/>
    <w:rsid w:val="4ED624CF"/>
    <w:rsid w:val="4EFC0914"/>
    <w:rsid w:val="4F5D4E27"/>
    <w:rsid w:val="4FC007D2"/>
    <w:rsid w:val="4FCA7A0D"/>
    <w:rsid w:val="4FD8218C"/>
    <w:rsid w:val="50126FB6"/>
    <w:rsid w:val="504618A3"/>
    <w:rsid w:val="50755092"/>
    <w:rsid w:val="51077A2F"/>
    <w:rsid w:val="510E570E"/>
    <w:rsid w:val="510F5285"/>
    <w:rsid w:val="514F7C53"/>
    <w:rsid w:val="51663AB7"/>
    <w:rsid w:val="519D0D67"/>
    <w:rsid w:val="526410F9"/>
    <w:rsid w:val="52DA4F90"/>
    <w:rsid w:val="52E61086"/>
    <w:rsid w:val="530A248E"/>
    <w:rsid w:val="532154A8"/>
    <w:rsid w:val="532400E8"/>
    <w:rsid w:val="53957630"/>
    <w:rsid w:val="53DF1E0D"/>
    <w:rsid w:val="547218BE"/>
    <w:rsid w:val="5533174C"/>
    <w:rsid w:val="55750B95"/>
    <w:rsid w:val="55FD2C9C"/>
    <w:rsid w:val="56991C19"/>
    <w:rsid w:val="56AE6DA8"/>
    <w:rsid w:val="56BF45D7"/>
    <w:rsid w:val="57744A4E"/>
    <w:rsid w:val="57E32236"/>
    <w:rsid w:val="58091D99"/>
    <w:rsid w:val="58AF2417"/>
    <w:rsid w:val="58B77229"/>
    <w:rsid w:val="595C25FA"/>
    <w:rsid w:val="59857969"/>
    <w:rsid w:val="59F87D38"/>
    <w:rsid w:val="5A2439BE"/>
    <w:rsid w:val="5A3E437B"/>
    <w:rsid w:val="5A693D23"/>
    <w:rsid w:val="5A6B5A90"/>
    <w:rsid w:val="5AC00483"/>
    <w:rsid w:val="5B50022A"/>
    <w:rsid w:val="5C603064"/>
    <w:rsid w:val="5C7A28AC"/>
    <w:rsid w:val="5CA4036C"/>
    <w:rsid w:val="5CC24268"/>
    <w:rsid w:val="5CDC3175"/>
    <w:rsid w:val="5D3C290B"/>
    <w:rsid w:val="5D6B2104"/>
    <w:rsid w:val="5D950584"/>
    <w:rsid w:val="5D9C411E"/>
    <w:rsid w:val="5DBA78EB"/>
    <w:rsid w:val="5E2B259A"/>
    <w:rsid w:val="5E326634"/>
    <w:rsid w:val="5E5A0D60"/>
    <w:rsid w:val="5EC53E9C"/>
    <w:rsid w:val="5ECE087A"/>
    <w:rsid w:val="5F070739"/>
    <w:rsid w:val="5F3C4F00"/>
    <w:rsid w:val="601310E5"/>
    <w:rsid w:val="601C7D6A"/>
    <w:rsid w:val="606B1DA7"/>
    <w:rsid w:val="606D372C"/>
    <w:rsid w:val="60DC3EFE"/>
    <w:rsid w:val="60FB2217"/>
    <w:rsid w:val="612D4AD1"/>
    <w:rsid w:val="61916FE3"/>
    <w:rsid w:val="61BC32CB"/>
    <w:rsid w:val="61E845A6"/>
    <w:rsid w:val="62630CA1"/>
    <w:rsid w:val="626A0CEB"/>
    <w:rsid w:val="62925F60"/>
    <w:rsid w:val="62974C19"/>
    <w:rsid w:val="62FF022C"/>
    <w:rsid w:val="63144422"/>
    <w:rsid w:val="631B68BB"/>
    <w:rsid w:val="63441D54"/>
    <w:rsid w:val="640006FF"/>
    <w:rsid w:val="64322302"/>
    <w:rsid w:val="64572746"/>
    <w:rsid w:val="64636829"/>
    <w:rsid w:val="64CF1313"/>
    <w:rsid w:val="64D83620"/>
    <w:rsid w:val="64E35DF7"/>
    <w:rsid w:val="65505D1E"/>
    <w:rsid w:val="657D0288"/>
    <w:rsid w:val="658855F7"/>
    <w:rsid w:val="65924E36"/>
    <w:rsid w:val="66180DDE"/>
    <w:rsid w:val="66605A30"/>
    <w:rsid w:val="668D7F58"/>
    <w:rsid w:val="66A30172"/>
    <w:rsid w:val="66AE7710"/>
    <w:rsid w:val="66BB423A"/>
    <w:rsid w:val="66F6710F"/>
    <w:rsid w:val="67161F53"/>
    <w:rsid w:val="6750357E"/>
    <w:rsid w:val="67C024E3"/>
    <w:rsid w:val="67C60157"/>
    <w:rsid w:val="681A17A6"/>
    <w:rsid w:val="686D0D06"/>
    <w:rsid w:val="689913DD"/>
    <w:rsid w:val="68E328A1"/>
    <w:rsid w:val="69093FDB"/>
    <w:rsid w:val="6917546E"/>
    <w:rsid w:val="69850C5D"/>
    <w:rsid w:val="69942ACE"/>
    <w:rsid w:val="69B10065"/>
    <w:rsid w:val="69BE3A95"/>
    <w:rsid w:val="69C7339C"/>
    <w:rsid w:val="6A05571E"/>
    <w:rsid w:val="6B0A0C3B"/>
    <w:rsid w:val="6B2A7ADB"/>
    <w:rsid w:val="6B4A2B57"/>
    <w:rsid w:val="6BC81C42"/>
    <w:rsid w:val="6BD702C2"/>
    <w:rsid w:val="6C0C1489"/>
    <w:rsid w:val="6C6F6CF3"/>
    <w:rsid w:val="6CA1218F"/>
    <w:rsid w:val="6D455388"/>
    <w:rsid w:val="6D535020"/>
    <w:rsid w:val="6D5C5D0D"/>
    <w:rsid w:val="6E1B719A"/>
    <w:rsid w:val="6E253E16"/>
    <w:rsid w:val="6E873D36"/>
    <w:rsid w:val="6EB4012D"/>
    <w:rsid w:val="6EE3061B"/>
    <w:rsid w:val="6FB963DE"/>
    <w:rsid w:val="6FF40766"/>
    <w:rsid w:val="70310EB8"/>
    <w:rsid w:val="707343A5"/>
    <w:rsid w:val="709869D1"/>
    <w:rsid w:val="70AD4A8A"/>
    <w:rsid w:val="713D3639"/>
    <w:rsid w:val="7143339F"/>
    <w:rsid w:val="71B7411E"/>
    <w:rsid w:val="71D37919"/>
    <w:rsid w:val="72DE3D50"/>
    <w:rsid w:val="7366480B"/>
    <w:rsid w:val="73945713"/>
    <w:rsid w:val="74021633"/>
    <w:rsid w:val="7439147C"/>
    <w:rsid w:val="743B1C78"/>
    <w:rsid w:val="74492A3A"/>
    <w:rsid w:val="748D3CDD"/>
    <w:rsid w:val="755D0190"/>
    <w:rsid w:val="7569271E"/>
    <w:rsid w:val="75BE6124"/>
    <w:rsid w:val="75C475DB"/>
    <w:rsid w:val="75E406CC"/>
    <w:rsid w:val="75E94C7E"/>
    <w:rsid w:val="76067DED"/>
    <w:rsid w:val="7609181B"/>
    <w:rsid w:val="76292FE4"/>
    <w:rsid w:val="766B3EB3"/>
    <w:rsid w:val="76B41149"/>
    <w:rsid w:val="76D4023D"/>
    <w:rsid w:val="770254C6"/>
    <w:rsid w:val="7793137B"/>
    <w:rsid w:val="77B278B2"/>
    <w:rsid w:val="77EC3589"/>
    <w:rsid w:val="77FA1CD4"/>
    <w:rsid w:val="77FD2102"/>
    <w:rsid w:val="791450BF"/>
    <w:rsid w:val="79256D0D"/>
    <w:rsid w:val="799A1446"/>
    <w:rsid w:val="79A150C5"/>
    <w:rsid w:val="79FF63A7"/>
    <w:rsid w:val="7A3A52C0"/>
    <w:rsid w:val="7ADA5644"/>
    <w:rsid w:val="7B2047CB"/>
    <w:rsid w:val="7B483738"/>
    <w:rsid w:val="7BD06401"/>
    <w:rsid w:val="7BF908CF"/>
    <w:rsid w:val="7C9B09F8"/>
    <w:rsid w:val="7D254C66"/>
    <w:rsid w:val="7D2865F7"/>
    <w:rsid w:val="7D456302"/>
    <w:rsid w:val="7D5B6D22"/>
    <w:rsid w:val="7DC032B1"/>
    <w:rsid w:val="7EFE21F5"/>
    <w:rsid w:val="7F4608F2"/>
    <w:rsid w:val="7FB0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character" w:styleId="6">
    <w:name w:val="Strong"/>
    <w:basedOn w:val="5"/>
    <w:autoRedefine/>
    <w:qFormat/>
    <w:uiPriority w:val="0"/>
    <w:rPr>
      <w:b/>
    </w:rPr>
  </w:style>
  <w:style w:type="character" w:styleId="7">
    <w:name w:val="page number"/>
    <w:basedOn w:val="5"/>
    <w:autoRedefine/>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139</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Administrator</cp:lastModifiedBy>
  <cp:lastPrinted>2018-10-11T04:40:00Z</cp:lastPrinted>
  <dcterms:modified xsi:type="dcterms:W3CDTF">2024-03-15T05:44:32Z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ED5D2C4D7F3F40D98636F412A237DB20_12</vt:lpwstr>
  </property>
</Properties>
</file>