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饶河县总工会2018年度部门决算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spacing w:line="660"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贯彻执行国家有关财政、税收方面的法律、法规和规章；拟定和执行集贤县财政、税收的发展中长期规划、改革方案及其他有关规定；提出运用财税政策实施调控和综合平衡社会财力的建议；执行分配政策。</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（二）负责提出全县财政、预算、国有资本资金基础管理、税收、会计等地方立法项目的建议，根据县人民政府委托起草有关的地方性规章和规范性文件草案。</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三）编制年度县本级预、决算草案，组织全县预算执行；受县人民政府委托，向县人民代表大会报告本级和全县预算及其执行情况，向县人大常委会报告财政决算；监督全县各级财政预算的执行；管理县本级各项财政投入，管理预算外资金和财政专户，对社会财力进行综合平衡；管理有关政府基金。</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（四）参与制定全县宏观经济政策，参与全县各项改革，对全县经济运行和国民收入分配进行有效调控。</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（五）负责监督执行国家税收和税收条例、决定、规定及有关实施细则；拟定地方性税收政策和减免税规定；提出对财政影响较大的临时特案减免税的建议。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六）管理全县公共支出；贯彻执行行政事业单位的财务制度及需要全县统一规定的开支标准和支出政策；监督执行《事业单位财务规则》、《行政单位财务规则》；管理全县直属行政事业单位的财务和资产；拟订和执行本县政府采购政策，监督管理政府采购工作；管理行政事业性收费和有关票据；管理和制定住房资金财务制度；制定基本建设财务制度。</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（七）办理和监督全县财政的经济发展支出、财政投入挖潜改造资金等；负责农业综合开发；监督执行《企业财务通则》。</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（八）管理全县财政社会保障支出，草拟社会保障资金的财务管理制度，组织实施对社会保障资金使用的财政监督。</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（九）执行国有资本金基础管理的方针政策、改革方案、规章制度、管理办法；组织实施国有企业的清产核资、资本金权属界定和登记；负责国有资本金的统计、分析，管理和监督财产评估业务。</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（十）执行金融、保险、政府债务和证券的有关政策，管理和监督县政府的国内外债务；管理全县境外贷款；监督管理全县彩票发行市场；受县政府委托，在国际金融市场筹资。</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（十一）监督执行会计管理制度；监督执行政府总预算、行政和事业单位及分行业的会计制度；负责对县直行政事业单位集中进行会计核算和承担县直企业财务总监的派驻工作；管理和指导全县会计工作。</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（十二）监督财税政策、法律法规和财务会计制度的执行情况；检查反映财政收支管理中的重大问题，提出加强财政管理的政策建议。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（十三）制定全县财政研究计划和财政教育计划，组织全县财政干部的培训；负责财政宣传和财政信息工作。</w:t>
      </w:r>
    </w:p>
    <w:p>
      <w:pPr>
        <w:ind w:firstLine="640" w:firstLineChars="200"/>
        <w:rPr>
          <w:rFonts w:hint="eastAsia" w:ascii="仿宋" w:hAnsi="仿宋" w:eastAsia="仿宋" w:cs="仿宋"/>
          <w:b/>
          <w:color w:val="000000"/>
          <w:kern w:val="0"/>
          <w:sz w:val="32"/>
          <w:szCs w:val="32"/>
          <w:highlight w:val="none"/>
          <w:lang w:bidi="ar"/>
        </w:rPr>
      </w:pPr>
      <w:r>
        <w:rPr>
          <w:rFonts w:hint="eastAsia" w:ascii="仿宋" w:hAnsi="仿宋" w:eastAsia="仿宋"/>
          <w:sz w:val="32"/>
          <w:szCs w:val="32"/>
          <w:highlight w:val="none"/>
        </w:rPr>
        <w:t>（十四）完成县政府及上级业务部门交办的其他工作。</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lang w:eastAsia="zh-CN"/>
        </w:rPr>
      </w:pPr>
      <w:r>
        <w:rPr>
          <w:rFonts w:hint="eastAsia" w:ascii="仿宋" w:hAnsi="仿宋" w:eastAsia="仿宋"/>
          <w:sz w:val="32"/>
          <w:szCs w:val="32"/>
          <w:highlight w:val="none"/>
        </w:rPr>
        <w:t>根据上述职责，县</w:t>
      </w:r>
      <w:r>
        <w:rPr>
          <w:rFonts w:hint="eastAsia" w:ascii="仿宋" w:hAnsi="仿宋" w:eastAsia="仿宋"/>
          <w:sz w:val="32"/>
          <w:szCs w:val="32"/>
          <w:highlight w:val="none"/>
          <w:lang w:eastAsia="zh-CN"/>
        </w:rPr>
        <w:t>总工会设置：办公室、财务部、组宣部、权益保障部。</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的单位有1个，为2018年末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7</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8</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25人，其中：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15</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109万元，其中：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109</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109</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与</w:t>
      </w:r>
      <w:r>
        <w:rPr>
          <w:rFonts w:hint="eastAsia" w:ascii="仿宋" w:hAnsi="仿宋" w:eastAsia="仿宋" w:cs="仿宋"/>
          <w:sz w:val="30"/>
          <w:szCs w:val="30"/>
          <w:highlight w:val="none"/>
        </w:rPr>
        <w:t>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与2017年度相比，减少36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109</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36</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33</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2017年决算数相比，减少9万元，减少7</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44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41</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35</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32%；医疗卫生与计划生育支出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21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80%</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55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44万元，完成年初预算的80%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机关服务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9万元，完成年初预算的100%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57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26万元，完成年初预算的46%</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9万元，完成年初预算的90%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21万元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106</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rPr>
        <w:t>（一）“三公”经费财政拨款支出决算总体情况说明</w:t>
      </w:r>
      <w:r>
        <w:rPr>
          <w:rFonts w:hint="eastAsia" w:ascii="仿宋" w:hAnsi="仿宋" w:eastAsia="仿宋" w:cs="仿宋"/>
          <w:b/>
          <w:bCs/>
          <w:sz w:val="30"/>
          <w:szCs w:val="30"/>
          <w:highlight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退休一人、离休去世一人。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136万元</w:t>
      </w:r>
      <w:r>
        <w:rPr>
          <w:rFonts w:hint="eastAsia" w:ascii="仿宋" w:hAnsi="仿宋" w:eastAsia="仿宋" w:cs="仿宋"/>
          <w:sz w:val="30"/>
          <w:szCs w:val="30"/>
          <w:highlight w:val="none"/>
        </w:rPr>
        <w:t>，支出决算</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109万元，</w:t>
      </w:r>
      <w:r>
        <w:rPr>
          <w:rFonts w:hint="eastAsia" w:ascii="仿宋" w:hAnsi="仿宋" w:eastAsia="仿宋" w:cs="仿宋"/>
          <w:sz w:val="30"/>
          <w:szCs w:val="30"/>
          <w:highlight w:val="none"/>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109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27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同比下降</w:t>
      </w:r>
      <w:r>
        <w:rPr>
          <w:rFonts w:hint="eastAsia" w:ascii="仿宋" w:hAnsi="仿宋" w:eastAsia="仿宋" w:cs="仿宋"/>
          <w:sz w:val="30"/>
          <w:szCs w:val="30"/>
          <w:highlight w:val="none"/>
          <w:lang w:val="en-US" w:eastAsia="zh-CN"/>
        </w:rPr>
        <w:t>25</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主要原因是：压缩公用经费支出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无</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eastAsia="zh-CN"/>
        </w:rPr>
        <w:t>安排</w:t>
      </w:r>
      <w:r>
        <w:rPr>
          <w:rFonts w:hint="eastAsia" w:ascii="仿宋" w:hAnsi="仿宋" w:eastAsia="仿宋" w:cs="仿宋"/>
          <w:bCs/>
          <w:color w:val="111111"/>
          <w:kern w:val="0"/>
          <w:sz w:val="30"/>
          <w:szCs w:val="30"/>
          <w:highlight w:val="none"/>
        </w:rPr>
        <w:t>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w:t>
      </w:r>
      <w:bookmarkStart w:id="0" w:name="_GoBack"/>
      <w:r>
        <w:rPr>
          <w:rFonts w:hint="eastAsia" w:ascii="仿宋" w:hAnsi="仿宋" w:eastAsia="仿宋" w:cs="仿宋"/>
          <w:bCs/>
          <w:color w:val="111111"/>
          <w:kern w:val="0"/>
          <w:sz w:val="30"/>
          <w:szCs w:val="30"/>
          <w:highlight w:val="none"/>
          <w:lang w:val="en-US" w:eastAsia="zh-CN"/>
        </w:rPr>
        <w:t>安排</w:t>
      </w:r>
      <w:bookmarkEnd w:id="0"/>
      <w:r>
        <w:rPr>
          <w:rFonts w:hint="eastAsia" w:ascii="仿宋" w:hAnsi="仿宋" w:eastAsia="仿宋" w:cs="仿宋"/>
          <w:bCs/>
          <w:color w:val="111111"/>
          <w:kern w:val="0"/>
          <w:sz w:val="30"/>
          <w:szCs w:val="30"/>
          <w:highlight w:val="none"/>
          <w:lang w:val="en-US" w:eastAsia="zh-CN"/>
        </w:rPr>
        <w:t>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1ZDI5MTI0MDg3MGY5YTg5ZDZhNDczOWY2YWEyNzEifQ=="/>
  </w:docVars>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1F2398"/>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CF35351"/>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57091A"/>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B7B06F2"/>
    <w:rsid w:val="5C603064"/>
    <w:rsid w:val="5C7A28AC"/>
    <w:rsid w:val="5CDC3175"/>
    <w:rsid w:val="5CE76CD3"/>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7A64171"/>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autoRedefine/>
    <w:qFormat/>
    <w:uiPriority w:val="0"/>
    <w:rPr>
      <w:b/>
    </w:rPr>
  </w:style>
  <w:style w:type="character" w:styleId="7">
    <w:name w:val="page number"/>
    <w:basedOn w:val="5"/>
    <w:autoRedefine/>
    <w:qFormat/>
    <w:uiPriority w:val="0"/>
  </w:style>
  <w:style w:type="character" w:styleId="8">
    <w:name w:val="Hyperlink"/>
    <w:autoRedefine/>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44</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王晓晶</cp:lastModifiedBy>
  <cp:lastPrinted>2018-10-11T04:40:00Z</cp:lastPrinted>
  <dcterms:modified xsi:type="dcterms:W3CDTF">2024-03-15T01:46:51Z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E6A17EEB03124060AB6CAE68AE9A65AC_12</vt:lpwstr>
  </property>
</Properties>
</file>