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color w:val="333333"/>
          <w:kern w:val="0"/>
          <w:sz w:val="44"/>
          <w:szCs w:val="44"/>
          <w:lang w:eastAsia="zh-CN"/>
        </w:rPr>
        <w:t>饶河县纪律检查委员会</w:t>
      </w:r>
      <w:r>
        <w:rPr>
          <w:rFonts w:hint="eastAsia" w:ascii="仿宋" w:hAnsi="仿宋" w:eastAsia="仿宋" w:cs="仿宋"/>
          <w:b/>
          <w:bCs/>
          <w:sz w:val="44"/>
          <w:szCs w:val="44"/>
          <w:highlight w:val="none"/>
          <w:lang w:val="en-US" w:eastAsia="zh-CN"/>
        </w:rPr>
        <w:t>2018年度部门决算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（二</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widowControl/>
        <w:spacing w:after="230"/>
        <w:jc w:val="both"/>
        <w:rPr>
          <w:rFonts w:hint="eastAsia" w:ascii="仿宋" w:hAnsi="仿宋" w:eastAsia="仿宋" w:cs="仿宋"/>
          <w:b/>
          <w:bCs/>
          <w:color w:val="333333"/>
          <w:kern w:val="0"/>
          <w:sz w:val="32"/>
          <w:szCs w:val="32"/>
        </w:rPr>
      </w:pPr>
    </w:p>
    <w:p>
      <w:pPr>
        <w:widowControl/>
        <w:spacing w:after="230"/>
        <w:ind w:firstLine="480"/>
        <w:jc w:val="center"/>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rPr>
        <w:t>第一部分 </w:t>
      </w:r>
      <w:r>
        <w:rPr>
          <w:rFonts w:hint="eastAsia" w:ascii="仿宋" w:hAnsi="仿宋" w:eastAsia="仿宋" w:cs="仿宋"/>
          <w:b/>
          <w:bCs/>
          <w:color w:val="333333"/>
          <w:kern w:val="0"/>
          <w:sz w:val="32"/>
          <w:szCs w:val="32"/>
          <w:lang w:eastAsia="zh-CN"/>
        </w:rPr>
        <w:t>饶河县纪律检查委员会</w:t>
      </w:r>
      <w:r>
        <w:rPr>
          <w:rFonts w:hint="eastAsia" w:ascii="仿宋" w:hAnsi="仿宋" w:eastAsia="仿宋" w:cs="仿宋"/>
          <w:b/>
          <w:bCs/>
          <w:color w:val="333333"/>
          <w:kern w:val="0"/>
          <w:sz w:val="32"/>
          <w:szCs w:val="32"/>
        </w:rPr>
        <w:t>基本情况</w:t>
      </w:r>
    </w:p>
    <w:p>
      <w:pPr>
        <w:widowControl/>
        <w:spacing w:after="230"/>
        <w:ind w:firstLine="48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 </w:t>
      </w:r>
    </w:p>
    <w:p>
      <w:pPr>
        <w:widowControl/>
        <w:spacing w:after="230"/>
        <w:ind w:firstLine="48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一、部门职责</w:t>
      </w:r>
    </w:p>
    <w:p>
      <w:pPr>
        <w:widowControl/>
        <w:spacing w:after="230"/>
        <w:jc w:val="left"/>
        <w:rPr>
          <w:rFonts w:hint="eastAsia" w:ascii="仿宋" w:hAnsi="仿宋" w:eastAsia="仿宋" w:cs="仿宋"/>
          <w:color w:val="333333"/>
          <w:kern w:val="0"/>
          <w:sz w:val="32"/>
          <w:szCs w:val="32"/>
          <w:lang w:eastAsia="zh-CN"/>
        </w:rPr>
      </w:pPr>
      <w:r>
        <w:rPr>
          <w:rFonts w:hint="eastAsia" w:ascii="仿宋" w:hAnsi="仿宋" w:eastAsia="仿宋" w:cs="仿宋"/>
          <w:color w:val="000000"/>
          <w:sz w:val="32"/>
          <w:szCs w:val="32"/>
          <w:lang w:eastAsia="zh-CN"/>
        </w:rPr>
        <w:t>　　</w:t>
      </w:r>
      <w:r>
        <w:rPr>
          <w:rFonts w:hint="eastAsia" w:ascii="仿宋" w:hAnsi="仿宋" w:eastAsia="仿宋" w:cs="仿宋"/>
          <w:color w:val="333333"/>
          <w:kern w:val="0"/>
          <w:sz w:val="32"/>
          <w:szCs w:val="32"/>
          <w:lang w:eastAsia="zh-CN"/>
        </w:rPr>
        <w:t>饶河县纪委与县监委合署办公，县纪委、监委的主要职责是推进全面从严治党，贯彻落实上级关于党风廉政建设和反腐败工作的决定，维护党的章程和党内法规；贯彻落实上级有关监察工作的决定，监督、检查县政府各部门及其工作人员执行国家政策和法规等情况；检查、处理县委管理的干部违反党的章程及党内法规或国家政策、法律、法规、政纪的行为，依法对县委管理的行使公权力的公职人员进行监察，调查职务违法和职务犯罪。</w:t>
      </w:r>
    </w:p>
    <w:p>
      <w:pPr>
        <w:widowControl/>
        <w:spacing w:after="230"/>
        <w:ind w:firstLine="48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二、机构设置</w:t>
      </w:r>
    </w:p>
    <w:p>
      <w:pPr>
        <w:widowControl/>
        <w:spacing w:after="23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1、县纪委监察局设置内设机构10个。</w:t>
      </w:r>
    </w:p>
    <w:p>
      <w:pPr>
        <w:widowControl/>
        <w:spacing w:after="23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信访室、办公室、组织部、宣传部、案件监督管理室、第一至第四纪检监察室、案件审理室</w:t>
      </w:r>
    </w:p>
    <w:p>
      <w:pPr>
        <w:widowControl/>
        <w:numPr>
          <w:ilvl w:val="0"/>
          <w:numId w:val="4"/>
        </w:numPr>
        <w:spacing w:after="23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县委党风廉政建设领导小组办公室（县委县政府党风政风监督室、县委县政府纠风部门和行业不正之风办公室）设在县纪委</w:t>
      </w:r>
    </w:p>
    <w:p>
      <w:pPr>
        <w:widowControl/>
        <w:numPr>
          <w:ilvl w:val="0"/>
          <w:numId w:val="4"/>
        </w:numPr>
        <w:spacing w:after="23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县纪委下设机构（饶河镇纪工委、小佳河镇纪工委）</w:t>
      </w:r>
    </w:p>
    <w:p>
      <w:pPr>
        <w:widowControl/>
        <w:numPr>
          <w:ilvl w:val="0"/>
          <w:numId w:val="4"/>
        </w:numPr>
        <w:spacing w:after="230"/>
        <w:ind w:firstLine="480"/>
        <w:jc w:val="left"/>
        <w:rPr>
          <w:rFonts w:hint="eastAsia" w:ascii="仿宋" w:hAnsi="仿宋" w:eastAsia="仿宋" w:cs="仿宋"/>
          <w:color w:val="333333"/>
          <w:kern w:val="0"/>
          <w:sz w:val="32"/>
          <w:szCs w:val="32"/>
          <w:lang w:val="en-US" w:eastAsia="zh-CN"/>
        </w:rPr>
      </w:pPr>
      <w:r>
        <w:rPr>
          <w:rFonts w:hint="eastAsia" w:ascii="仿宋" w:hAnsi="仿宋" w:eastAsia="仿宋" w:cs="仿宋"/>
          <w:color w:val="333333"/>
          <w:kern w:val="0"/>
          <w:sz w:val="32"/>
          <w:szCs w:val="32"/>
          <w:lang w:val="en-US" w:eastAsia="zh-CN"/>
        </w:rPr>
        <w:t>县纪委所属两个事业单位（饶河县人民政府行政效能投诉中心、饶河县纪委电教中心）</w:t>
      </w:r>
    </w:p>
    <w:p>
      <w:pPr>
        <w:widowControl/>
        <w:numPr>
          <w:ilvl w:val="0"/>
          <w:numId w:val="5"/>
        </w:numPr>
        <w:spacing w:after="230"/>
        <w:ind w:firstLine="48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人员构成</w:t>
      </w:r>
    </w:p>
    <w:p>
      <w:pPr>
        <w:widowControl/>
        <w:spacing w:after="230"/>
        <w:ind w:firstLine="480"/>
        <w:jc w:val="left"/>
        <w:rPr>
          <w:rFonts w:hint="eastAsia" w:ascii="仿宋" w:hAnsi="仿宋" w:eastAsia="仿宋" w:cs="仿宋"/>
          <w:color w:val="333333"/>
          <w:kern w:val="0"/>
          <w:sz w:val="32"/>
          <w:szCs w:val="32"/>
          <w:lang w:eastAsia="zh-CN"/>
        </w:rPr>
      </w:pPr>
      <w:r>
        <w:rPr>
          <w:rFonts w:hint="eastAsia" w:ascii="仿宋" w:hAnsi="仿宋" w:eastAsia="仿宋" w:cs="仿宋"/>
          <w:color w:val="333333"/>
          <w:kern w:val="0"/>
          <w:sz w:val="32"/>
          <w:szCs w:val="32"/>
          <w:lang w:eastAsia="zh-CN"/>
        </w:rPr>
        <w:t>县纪委监察局编制共</w:t>
      </w:r>
      <w:r>
        <w:rPr>
          <w:rFonts w:hint="eastAsia" w:ascii="仿宋" w:hAnsi="仿宋" w:eastAsia="仿宋" w:cs="仿宋"/>
          <w:color w:val="333333"/>
          <w:kern w:val="0"/>
          <w:sz w:val="32"/>
          <w:szCs w:val="32"/>
          <w:lang w:val="en-US" w:eastAsia="zh-CN"/>
        </w:rPr>
        <w:t>61名。县纪委监委行政编制37名，纪工委使用乡镇编制15名，县效能投诉中心全额拨款事业编制5名，县纪委电教中心全额拨款事业编制4名。</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kern w:val="0"/>
          <w:sz w:val="32"/>
          <w:szCs w:val="32"/>
          <w:highlight w:val="none"/>
          <w:u w:val="none"/>
          <w:lang w:eastAsia="zh-CN"/>
        </w:rPr>
        <w:t>2018年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收、支总计</w:t>
      </w:r>
      <w:r>
        <w:rPr>
          <w:rFonts w:hint="eastAsia" w:ascii="仿宋" w:hAnsi="仿宋" w:eastAsia="仿宋" w:cs="仿宋"/>
          <w:kern w:val="0"/>
          <w:sz w:val="32"/>
          <w:szCs w:val="32"/>
          <w:highlight w:val="none"/>
          <w:u w:val="none"/>
          <w:lang w:val="en-US" w:eastAsia="zh-CN"/>
        </w:rPr>
        <w:t>420万元，其中：</w:t>
      </w:r>
      <w:r>
        <w:rPr>
          <w:rFonts w:hint="eastAsia" w:ascii="仿宋" w:hAnsi="仿宋" w:eastAsia="仿宋" w:cs="仿宋"/>
          <w:kern w:val="0"/>
          <w:sz w:val="32"/>
          <w:szCs w:val="32"/>
          <w:highlight w:val="none"/>
          <w:u w:val="none"/>
        </w:rPr>
        <w:t>本年收入</w:t>
      </w:r>
      <w:r>
        <w:rPr>
          <w:rFonts w:hint="eastAsia" w:ascii="仿宋" w:hAnsi="仿宋" w:eastAsia="仿宋" w:cs="仿宋"/>
          <w:kern w:val="0"/>
          <w:sz w:val="32"/>
          <w:szCs w:val="32"/>
          <w:highlight w:val="none"/>
          <w:u w:val="none"/>
          <w:lang w:val="en-US" w:eastAsia="zh-CN"/>
        </w:rPr>
        <w:t>420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用事业基金弥补收支差额</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年初结转和结余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本年支出</w:t>
      </w:r>
      <w:r>
        <w:rPr>
          <w:rFonts w:hint="eastAsia" w:ascii="仿宋" w:hAnsi="仿宋" w:eastAsia="仿宋" w:cs="仿宋"/>
          <w:kern w:val="0"/>
          <w:sz w:val="32"/>
          <w:szCs w:val="32"/>
          <w:highlight w:val="none"/>
          <w:u w:val="none"/>
          <w:lang w:val="en-US" w:eastAsia="zh-CN"/>
        </w:rPr>
        <w:t>420</w:t>
      </w:r>
      <w:r>
        <w:rPr>
          <w:rFonts w:hint="eastAsia" w:ascii="仿宋" w:hAnsi="仿宋" w:eastAsia="仿宋" w:cs="仿宋"/>
          <w:kern w:val="0"/>
          <w:sz w:val="32"/>
          <w:szCs w:val="32"/>
          <w:highlight w:val="none"/>
          <w:u w:val="none"/>
        </w:rPr>
        <w:t>万元；结余分配</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万元，年末结转和结余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sz w:val="32"/>
          <w:szCs w:val="32"/>
          <w:highlight w:val="none"/>
          <w:lang w:eastAsia="zh-CN"/>
        </w:rPr>
        <w:t>均增加</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同比增长</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。主要原因：</w:t>
      </w:r>
      <w:r>
        <w:rPr>
          <w:rFonts w:hint="eastAsia" w:ascii="仿宋" w:hAnsi="仿宋" w:eastAsia="仿宋" w:cs="仿宋"/>
          <w:color w:val="000000"/>
          <w:kern w:val="0"/>
          <w:sz w:val="32"/>
          <w:szCs w:val="32"/>
          <w:lang w:eastAsia="zh-CN"/>
        </w:rPr>
        <w:t>经费预算指标标准提高</w:t>
      </w:r>
      <w:r>
        <w:rPr>
          <w:rFonts w:hint="eastAsia" w:ascii="仿宋" w:hAnsi="仿宋" w:eastAsia="仿宋" w:cs="仿宋"/>
          <w:color w:val="000000"/>
          <w:kern w:val="0"/>
          <w:sz w:val="32"/>
          <w:szCs w:val="32"/>
          <w:lang w:val="en-US" w:eastAsia="zh-CN"/>
        </w:rPr>
        <w:t>,人员增加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本年收入合计</w:t>
      </w:r>
      <w:r>
        <w:rPr>
          <w:rFonts w:hint="eastAsia" w:ascii="仿宋" w:hAnsi="仿宋" w:eastAsia="仿宋" w:cs="仿宋"/>
          <w:kern w:val="0"/>
          <w:sz w:val="32"/>
          <w:szCs w:val="32"/>
          <w:highlight w:val="none"/>
          <w:u w:val="none"/>
          <w:lang w:val="en-US" w:eastAsia="zh-CN"/>
        </w:rPr>
        <w:t>420</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，增加</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同比增长</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%。主要原因：主要原因：</w:t>
      </w:r>
      <w:r>
        <w:rPr>
          <w:rFonts w:hint="eastAsia" w:ascii="仿宋" w:hAnsi="仿宋" w:eastAsia="仿宋" w:cs="仿宋"/>
          <w:color w:val="000000"/>
          <w:kern w:val="0"/>
          <w:sz w:val="32"/>
          <w:szCs w:val="32"/>
          <w:lang w:eastAsia="zh-CN"/>
        </w:rPr>
        <w:t>经费预算指标标准提高</w:t>
      </w:r>
      <w:r>
        <w:rPr>
          <w:rFonts w:hint="eastAsia" w:ascii="仿宋" w:hAnsi="仿宋" w:eastAsia="仿宋" w:cs="仿宋"/>
          <w:color w:val="000000"/>
          <w:kern w:val="0"/>
          <w:sz w:val="32"/>
          <w:szCs w:val="32"/>
          <w:lang w:val="en-US" w:eastAsia="zh-CN"/>
        </w:rPr>
        <w:t>,人员增加。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其中：财政拨款收入</w:t>
      </w:r>
      <w:r>
        <w:rPr>
          <w:rFonts w:hint="eastAsia" w:ascii="仿宋" w:hAnsi="仿宋" w:eastAsia="仿宋" w:cs="仿宋"/>
          <w:sz w:val="32"/>
          <w:szCs w:val="32"/>
          <w:highlight w:val="none"/>
          <w:lang w:val="en-US" w:eastAsia="zh-CN"/>
        </w:rPr>
        <w:t>420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事业收入</w:t>
      </w:r>
      <w:r>
        <w:rPr>
          <w:rFonts w:hint="eastAsia" w:ascii="仿宋" w:hAnsi="仿宋" w:eastAsia="仿宋" w:cs="仿宋"/>
          <w:sz w:val="32"/>
          <w:szCs w:val="32"/>
          <w:highlight w:val="none"/>
          <w:lang w:val="en-US" w:eastAsia="zh-CN"/>
        </w:rPr>
        <w:t>0万元，占0%；</w:t>
      </w:r>
      <w:r>
        <w:rPr>
          <w:rFonts w:hint="eastAsia" w:ascii="仿宋" w:hAnsi="仿宋" w:eastAsia="仿宋" w:cs="仿宋"/>
          <w:sz w:val="32"/>
          <w:szCs w:val="32"/>
          <w:highlight w:val="none"/>
        </w:rPr>
        <w:t>其他收入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本年支出合计</w:t>
      </w:r>
      <w:r>
        <w:rPr>
          <w:rFonts w:hint="eastAsia" w:ascii="仿宋" w:hAnsi="仿宋" w:eastAsia="仿宋" w:cs="仿宋"/>
          <w:sz w:val="32"/>
          <w:szCs w:val="32"/>
          <w:highlight w:val="none"/>
          <w:lang w:val="en-US" w:eastAsia="zh-CN"/>
        </w:rPr>
        <w:t>420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与2017年度相比，</w:t>
      </w:r>
      <w:r>
        <w:rPr>
          <w:rFonts w:hint="eastAsia" w:ascii="仿宋" w:hAnsi="仿宋" w:eastAsia="仿宋" w:cs="仿宋"/>
          <w:sz w:val="32"/>
          <w:szCs w:val="32"/>
          <w:highlight w:val="none"/>
          <w:lang w:eastAsia="zh-CN"/>
        </w:rPr>
        <w:t>增加</w:t>
      </w: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同比增长</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%。主要原因：</w:t>
      </w:r>
      <w:r>
        <w:rPr>
          <w:rFonts w:hint="eastAsia" w:ascii="仿宋" w:hAnsi="仿宋" w:eastAsia="仿宋" w:cs="仿宋"/>
          <w:color w:val="000000"/>
          <w:kern w:val="0"/>
          <w:sz w:val="32"/>
          <w:szCs w:val="32"/>
          <w:lang w:eastAsia="zh-CN"/>
        </w:rPr>
        <w:t>经费预算指标标准提高</w:t>
      </w:r>
      <w:r>
        <w:rPr>
          <w:rFonts w:hint="eastAsia" w:ascii="仿宋" w:hAnsi="仿宋" w:eastAsia="仿宋" w:cs="仿宋"/>
          <w:color w:val="000000"/>
          <w:kern w:val="0"/>
          <w:sz w:val="32"/>
          <w:szCs w:val="32"/>
          <w:lang w:val="en-US" w:eastAsia="zh-CN"/>
        </w:rPr>
        <w:t>,人员增加。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color w:val="auto"/>
          <w:sz w:val="32"/>
          <w:szCs w:val="32"/>
          <w:highlight w:val="none"/>
          <w:lang w:eastAsia="zh-CN"/>
        </w:rPr>
        <w:t>2018年</w:t>
      </w:r>
      <w:r>
        <w:rPr>
          <w:rFonts w:hint="eastAsia" w:ascii="仿宋" w:hAnsi="仿宋" w:eastAsia="仿宋" w:cs="仿宋"/>
          <w:color w:val="auto"/>
          <w:sz w:val="32"/>
          <w:szCs w:val="32"/>
          <w:highlight w:val="none"/>
        </w:rPr>
        <w:t>度财政拨款收、支总计</w:t>
      </w:r>
      <w:r>
        <w:rPr>
          <w:rFonts w:hint="eastAsia" w:ascii="仿宋" w:hAnsi="仿宋" w:eastAsia="仿宋" w:cs="仿宋"/>
          <w:color w:val="auto"/>
          <w:sz w:val="32"/>
          <w:szCs w:val="32"/>
          <w:highlight w:val="none"/>
          <w:lang w:val="en-US" w:eastAsia="zh-CN"/>
        </w:rPr>
        <w:t>420</w:t>
      </w:r>
      <w:r>
        <w:rPr>
          <w:rFonts w:hint="eastAsia" w:ascii="仿宋" w:hAnsi="仿宋" w:eastAsia="仿宋" w:cs="仿宋"/>
          <w:color w:val="auto"/>
          <w:sz w:val="32"/>
          <w:szCs w:val="32"/>
          <w:highlight w:val="none"/>
        </w:rPr>
        <w:t>万元。与201</w:t>
      </w:r>
      <w:r>
        <w:rPr>
          <w:rFonts w:hint="eastAsia" w:ascii="仿宋" w:hAnsi="仿宋" w:eastAsia="仿宋" w:cs="仿宋"/>
          <w:color w:val="auto"/>
          <w:sz w:val="32"/>
          <w:szCs w:val="32"/>
          <w:highlight w:val="none"/>
          <w:lang w:val="en-US" w:eastAsia="zh-CN"/>
        </w:rPr>
        <w:t>7年度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eastAsia="zh-CN"/>
        </w:rPr>
        <w:t>增加</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增长</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w:t>
      </w:r>
      <w:r>
        <w:rPr>
          <w:rFonts w:hint="eastAsia" w:ascii="仿宋" w:hAnsi="仿宋" w:eastAsia="仿宋" w:cs="仿宋"/>
          <w:sz w:val="32"/>
          <w:szCs w:val="32"/>
          <w:highlight w:val="none"/>
        </w:rPr>
        <w:t>主要原因：</w:t>
      </w:r>
      <w:r>
        <w:rPr>
          <w:rFonts w:hint="eastAsia" w:ascii="仿宋" w:hAnsi="仿宋" w:eastAsia="仿宋" w:cs="仿宋"/>
          <w:color w:val="000000"/>
          <w:kern w:val="0"/>
          <w:sz w:val="32"/>
          <w:szCs w:val="32"/>
          <w:lang w:eastAsia="zh-CN"/>
        </w:rPr>
        <w:t>经费预算指标标准提高</w:t>
      </w:r>
      <w:r>
        <w:rPr>
          <w:rFonts w:hint="eastAsia" w:ascii="仿宋" w:hAnsi="仿宋" w:eastAsia="仿宋" w:cs="仿宋"/>
          <w:color w:val="000000"/>
          <w:kern w:val="0"/>
          <w:sz w:val="32"/>
          <w:szCs w:val="32"/>
          <w:lang w:val="en-US" w:eastAsia="zh-CN"/>
        </w:rPr>
        <w:t>,人员增加。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420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2017年决算数相比，</w:t>
      </w:r>
      <w:r>
        <w:rPr>
          <w:rFonts w:hint="eastAsia" w:ascii="仿宋" w:hAnsi="仿宋" w:eastAsia="仿宋" w:cs="仿宋"/>
          <w:sz w:val="32"/>
          <w:szCs w:val="32"/>
          <w:highlight w:val="none"/>
          <w:lang w:eastAsia="zh-CN"/>
        </w:rPr>
        <w:t>增加</w:t>
      </w:r>
      <w:r>
        <w:rPr>
          <w:rFonts w:hint="eastAsia" w:ascii="仿宋" w:hAnsi="仿宋" w:eastAsia="仿宋" w:cs="仿宋"/>
          <w:sz w:val="32"/>
          <w:szCs w:val="32"/>
          <w:highlight w:val="none"/>
          <w:lang w:val="en-US" w:eastAsia="zh-CN"/>
        </w:rPr>
        <w:t>4万元，</w:t>
      </w:r>
      <w:r>
        <w:rPr>
          <w:rFonts w:hint="eastAsia" w:ascii="仿宋" w:hAnsi="仿宋" w:eastAsia="仿宋" w:cs="仿宋"/>
          <w:sz w:val="32"/>
          <w:szCs w:val="32"/>
          <w:highlight w:val="none"/>
          <w:lang w:eastAsia="zh-CN"/>
        </w:rPr>
        <w:t>增长</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%，主要原因：</w:t>
      </w:r>
      <w:r>
        <w:rPr>
          <w:rFonts w:hint="eastAsia" w:ascii="仿宋" w:hAnsi="仿宋" w:eastAsia="仿宋" w:cs="仿宋"/>
          <w:color w:val="000000"/>
          <w:kern w:val="0"/>
          <w:sz w:val="32"/>
          <w:szCs w:val="32"/>
          <w:lang w:eastAsia="zh-CN"/>
        </w:rPr>
        <w:t>经费预算指标标准提高</w:t>
      </w:r>
      <w:r>
        <w:rPr>
          <w:rFonts w:hint="eastAsia" w:ascii="仿宋" w:hAnsi="仿宋" w:eastAsia="仿宋" w:cs="仿宋"/>
          <w:color w:val="000000"/>
          <w:kern w:val="0"/>
          <w:sz w:val="32"/>
          <w:szCs w:val="32"/>
          <w:lang w:val="en-US" w:eastAsia="zh-CN"/>
        </w:rPr>
        <w:t>,人员增加。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420</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290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69</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12%；</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61</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机关服务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330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420万元，完成年初预算的100%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大于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行政事业单位离退休</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未归口管理的行政单位离退休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50万元，完成年初预算的100%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退休工资纳入社保开资。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3、住房保障支出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住房改革支出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住房公积金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61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61万元，完成年初预算的100%</w:t>
      </w:r>
      <w:r>
        <w:rPr>
          <w:rFonts w:hint="eastAsia" w:ascii="仿宋" w:hAnsi="仿宋" w:eastAsia="仿宋" w:cs="仿宋"/>
          <w:sz w:val="32"/>
          <w:szCs w:val="32"/>
          <w:highlight w:val="none"/>
        </w:rPr>
        <w:t>。决算数</w:t>
      </w:r>
      <w:r>
        <w:rPr>
          <w:rFonts w:hint="eastAsia" w:ascii="仿宋" w:hAnsi="仿宋" w:eastAsia="仿宋" w:cs="仿宋"/>
          <w:sz w:val="32"/>
          <w:szCs w:val="32"/>
          <w:highlight w:val="none"/>
          <w:lang w:eastAsia="zh-CN"/>
        </w:rPr>
        <w:t>小于</w:t>
      </w:r>
      <w:r>
        <w:rPr>
          <w:rFonts w:hint="eastAsia" w:ascii="仿宋" w:hAnsi="仿宋" w:eastAsia="仿宋" w:cs="仿宋"/>
          <w:sz w:val="32"/>
          <w:szCs w:val="32"/>
          <w:highlight w:val="none"/>
        </w:rPr>
        <w:t>预算数的主要原因是</w:t>
      </w:r>
      <w:r>
        <w:rPr>
          <w:rFonts w:hint="eastAsia" w:ascii="仿宋" w:hAnsi="仿宋" w:eastAsia="仿宋" w:cs="仿宋"/>
          <w:sz w:val="32"/>
          <w:szCs w:val="32"/>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XXX</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323</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21</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度“三公”经费财政拨款支出</w:t>
      </w:r>
      <w:r>
        <w:rPr>
          <w:rFonts w:hint="eastAsia" w:ascii="仿宋" w:hAnsi="仿宋" w:eastAsia="仿宋" w:cs="仿宋"/>
          <w:sz w:val="32"/>
          <w:szCs w:val="32"/>
          <w:highlight w:val="none"/>
          <w:lang w:eastAsia="zh-CN"/>
        </w:rPr>
        <w:t>决算</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XXX</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比</w:t>
      </w:r>
      <w:r>
        <w:rPr>
          <w:rFonts w:hint="eastAsia" w:ascii="仿宋" w:hAnsi="仿宋" w:eastAsia="仿宋" w:cs="仿宋"/>
          <w:sz w:val="32"/>
          <w:szCs w:val="32"/>
          <w:highlight w:val="none"/>
          <w:lang w:val="en-US" w:eastAsia="zh-CN"/>
        </w:rPr>
        <w:t>2017年增加（减少）XXX万元，增长（下降）XXX0%,主要原因是无三公经费支出。年初预算为XXX万元，</w:t>
      </w:r>
      <w:r>
        <w:rPr>
          <w:rFonts w:hint="eastAsia" w:ascii="仿宋" w:hAnsi="仿宋" w:eastAsia="仿宋" w:cs="仿宋"/>
          <w:sz w:val="32"/>
          <w:szCs w:val="32"/>
          <w:highlight w:val="none"/>
        </w:rPr>
        <w:t>完成预算的</w:t>
      </w:r>
      <w:r>
        <w:rPr>
          <w:rFonts w:hint="eastAsia" w:ascii="仿宋" w:hAnsi="仿宋" w:eastAsia="仿宋" w:cs="仿宋"/>
          <w:sz w:val="32"/>
          <w:szCs w:val="32"/>
          <w:highlight w:val="none"/>
          <w:lang w:val="en-US" w:eastAsia="zh-CN"/>
        </w:rPr>
        <w:t>XXX%</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度“三公”经费支出决算数小于预算数的主要原因</w:t>
      </w:r>
      <w:r>
        <w:rPr>
          <w:rFonts w:hint="eastAsia" w:ascii="仿宋" w:hAnsi="仿宋" w:eastAsia="仿宋" w:cs="仿宋"/>
          <w:sz w:val="32"/>
          <w:szCs w:val="32"/>
          <w:highlight w:val="none"/>
          <w:lang w:val="en-US" w:eastAsia="zh-CN"/>
        </w:rPr>
        <w:t>是无三公经费支出。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b/>
          <w:bCs/>
          <w:sz w:val="32"/>
          <w:szCs w:val="32"/>
          <w:highlight w:val="none"/>
        </w:rPr>
        <w:t>因公出国（境）费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5</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主要用于</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决算数小于预算数的主要原因：无</w:t>
      </w:r>
      <w:r>
        <w:rPr>
          <w:rFonts w:hint="eastAsia" w:ascii="仿宋" w:hAnsi="仿宋" w:eastAsia="仿宋" w:cs="仿宋"/>
          <w:sz w:val="32"/>
          <w:szCs w:val="32"/>
          <w:highlight w:val="none"/>
          <w:lang w:eastAsia="zh-CN"/>
        </w:rPr>
        <w:t>；与上年决算相比，（减少）</w:t>
      </w:r>
      <w:r>
        <w:rPr>
          <w:rFonts w:hint="eastAsia" w:ascii="仿宋" w:hAnsi="仿宋" w:eastAsia="仿宋" w:cs="仿宋"/>
          <w:sz w:val="32"/>
          <w:szCs w:val="32"/>
          <w:highlight w:val="none"/>
          <w:lang w:val="en-US" w:eastAsia="zh-CN"/>
        </w:rPr>
        <w:t>15万元，增长（下降）300%，</w:t>
      </w:r>
      <w:r>
        <w:rPr>
          <w:rFonts w:hint="eastAsia" w:ascii="仿宋" w:hAnsi="仿宋" w:eastAsia="仿宋" w:cs="仿宋"/>
          <w:color w:val="000000"/>
          <w:kern w:val="0"/>
          <w:sz w:val="32"/>
          <w:szCs w:val="32"/>
        </w:rPr>
        <w:t>主要原因是：</w:t>
      </w:r>
      <w:r>
        <w:rPr>
          <w:rFonts w:hint="eastAsia" w:ascii="仿宋" w:hAnsi="仿宋" w:eastAsia="仿宋" w:cs="仿宋"/>
          <w:color w:val="000000"/>
          <w:kern w:val="0"/>
          <w:sz w:val="32"/>
          <w:szCs w:val="32"/>
          <w:lang w:eastAsia="zh-CN"/>
        </w:rPr>
        <w:t>合理安排资金使用</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w:t>
      </w:r>
      <w:r>
        <w:rPr>
          <w:rFonts w:hint="eastAsia" w:ascii="仿宋" w:hAnsi="仿宋" w:eastAsia="仿宋" w:cs="仿宋"/>
          <w:b/>
          <w:bCs/>
          <w:sz w:val="32"/>
          <w:szCs w:val="32"/>
          <w:highlight w:val="none"/>
        </w:rPr>
        <w:t>公务用车购置及运行费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5</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公务用车购置数0辆，</w:t>
      </w:r>
      <w:r>
        <w:rPr>
          <w:rFonts w:hint="eastAsia" w:ascii="仿宋" w:hAnsi="仿宋" w:eastAsia="仿宋" w:cs="仿宋"/>
          <w:sz w:val="32"/>
          <w:szCs w:val="32"/>
          <w:highlight w:val="none"/>
        </w:rPr>
        <w:t>公务用车保有量</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rPr>
        <w:t>公务接待费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度政府性基金预算财政拨款年初结转和结余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万元，本年收入决算数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万元，本年支出决算数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万元，年末结转和结余</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机关运行经费支出</w:t>
      </w:r>
      <w:r>
        <w:rPr>
          <w:rFonts w:hint="eastAsia" w:ascii="仿宋" w:hAnsi="仿宋" w:eastAsia="仿宋" w:cs="仿宋"/>
          <w:sz w:val="32"/>
          <w:szCs w:val="32"/>
          <w:highlight w:val="none"/>
          <w:lang w:val="en-US" w:eastAsia="zh-CN"/>
        </w:rPr>
        <w:t>21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较年初预算增加</w:t>
      </w:r>
      <w:r>
        <w:rPr>
          <w:rFonts w:hint="eastAsia" w:ascii="仿宋" w:hAnsi="仿宋" w:eastAsia="仿宋" w:cs="仿宋"/>
          <w:sz w:val="32"/>
          <w:szCs w:val="32"/>
          <w:highlight w:val="none"/>
          <w:lang w:val="en-US" w:eastAsia="zh-CN"/>
        </w:rPr>
        <w:t>21万元，增长100%，</w:t>
      </w:r>
      <w:r>
        <w:rPr>
          <w:rFonts w:hint="eastAsia" w:ascii="仿宋" w:hAnsi="仿宋" w:eastAsia="仿宋" w:cs="仿宋"/>
          <w:sz w:val="32"/>
          <w:szCs w:val="32"/>
          <w:highlight w:val="none"/>
        </w:rPr>
        <w:t>主要原因是：</w:t>
      </w:r>
      <w:r>
        <w:rPr>
          <w:rFonts w:hint="eastAsia" w:ascii="仿宋" w:hAnsi="仿宋" w:eastAsia="仿宋" w:cs="仿宋"/>
          <w:color w:val="000000"/>
          <w:kern w:val="0"/>
          <w:sz w:val="32"/>
          <w:szCs w:val="32"/>
          <w:lang w:eastAsia="zh-CN"/>
        </w:rPr>
        <w:t>合理安排资金使用，</w:t>
      </w:r>
      <w:r>
        <w:rPr>
          <w:rFonts w:hint="eastAsia" w:ascii="仿宋" w:hAnsi="仿宋" w:eastAsia="仿宋" w:cs="仿宋"/>
          <w:sz w:val="32"/>
          <w:szCs w:val="32"/>
          <w:highlight w:val="none"/>
        </w:rPr>
        <w:t>压缩公用经费支出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政府采购支出情况</w:t>
      </w:r>
    </w:p>
    <w:p>
      <w:pPr>
        <w:widowControl/>
        <w:spacing w:after="230"/>
        <w:ind w:firstLine="48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本部门201</w:t>
      </w:r>
      <w:r>
        <w:rPr>
          <w:rFonts w:hint="eastAsia" w:ascii="仿宋" w:hAnsi="仿宋" w:eastAsia="仿宋" w:cs="仿宋"/>
          <w:color w:val="000000"/>
          <w:kern w:val="0"/>
          <w:sz w:val="32"/>
          <w:szCs w:val="32"/>
          <w:lang w:val="en-US" w:eastAsia="zh-CN"/>
        </w:rPr>
        <w:t>8</w:t>
      </w:r>
      <w:r>
        <w:rPr>
          <w:rFonts w:hint="eastAsia" w:ascii="仿宋" w:hAnsi="仿宋" w:eastAsia="仿宋" w:cs="仿宋"/>
          <w:color w:val="000000"/>
          <w:kern w:val="0"/>
          <w:sz w:val="32"/>
          <w:szCs w:val="32"/>
        </w:rPr>
        <w:t>年政府采购支出总额</w:t>
      </w:r>
      <w:r>
        <w:rPr>
          <w:rFonts w:hint="eastAsia" w:ascii="仿宋" w:hAnsi="仿宋" w:eastAsia="仿宋" w:cs="仿宋"/>
          <w:color w:val="000000"/>
          <w:kern w:val="0"/>
          <w:sz w:val="32"/>
          <w:szCs w:val="32"/>
          <w:lang w:val="en-US" w:eastAsia="zh-CN"/>
        </w:rPr>
        <w:t>49.4</w:t>
      </w:r>
      <w:r>
        <w:rPr>
          <w:rFonts w:hint="eastAsia" w:ascii="仿宋" w:hAnsi="仿宋" w:eastAsia="仿宋" w:cs="仿宋"/>
          <w:color w:val="000000"/>
          <w:kern w:val="0"/>
          <w:sz w:val="32"/>
          <w:szCs w:val="32"/>
        </w:rPr>
        <w:t>万元</w:t>
      </w:r>
      <w:r>
        <w:rPr>
          <w:rFonts w:hint="eastAsia" w:ascii="仿宋" w:hAnsi="仿宋" w:eastAsia="仿宋" w:cs="仿宋"/>
          <w:color w:val="000000"/>
          <w:kern w:val="0"/>
          <w:sz w:val="32"/>
          <w:szCs w:val="32"/>
          <w:lang w:val="en-US" w:eastAsia="zh-CN"/>
        </w:rPr>
        <w:t>,用于购置办公桌椅，计算机等办公设备。</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（三）国有资产占用情况</w:t>
      </w:r>
    </w:p>
    <w:p>
      <w:pPr>
        <w:widowControl/>
        <w:spacing w:after="230"/>
        <w:ind w:firstLine="480"/>
        <w:jc w:val="left"/>
        <w:rPr>
          <w:rFonts w:hint="eastAsia" w:ascii="仿宋" w:hAnsi="仿宋" w:eastAsia="仿宋" w:cs="仿宋"/>
          <w:color w:val="000000"/>
          <w:kern w:val="0"/>
          <w:sz w:val="32"/>
          <w:szCs w:val="32"/>
          <w:highlight w:val="yellow"/>
        </w:rPr>
      </w:pPr>
      <w:r>
        <w:rPr>
          <w:rFonts w:hint="eastAsia" w:ascii="仿宋" w:hAnsi="仿宋" w:eastAsia="仿宋" w:cs="仿宋"/>
          <w:color w:val="000000"/>
          <w:kern w:val="0"/>
          <w:sz w:val="32"/>
          <w:szCs w:val="32"/>
        </w:rPr>
        <w:t>截至201</w:t>
      </w:r>
      <w:r>
        <w:rPr>
          <w:rFonts w:hint="eastAsia" w:ascii="仿宋" w:hAnsi="仿宋" w:eastAsia="仿宋" w:cs="仿宋"/>
          <w:color w:val="000000"/>
          <w:kern w:val="0"/>
          <w:sz w:val="32"/>
          <w:szCs w:val="32"/>
          <w:lang w:val="en-US" w:eastAsia="zh-CN"/>
        </w:rPr>
        <w:t>8</w:t>
      </w:r>
      <w:r>
        <w:rPr>
          <w:rFonts w:hint="eastAsia" w:ascii="仿宋" w:hAnsi="仿宋" w:eastAsia="仿宋" w:cs="仿宋"/>
          <w:color w:val="000000"/>
          <w:kern w:val="0"/>
          <w:sz w:val="32"/>
          <w:szCs w:val="32"/>
        </w:rPr>
        <w:t>年12月31日，</w:t>
      </w:r>
      <w:r>
        <w:rPr>
          <w:rFonts w:hint="eastAsia" w:ascii="仿宋" w:hAnsi="仿宋" w:eastAsia="仿宋" w:cs="仿宋"/>
          <w:b w:val="0"/>
          <w:bCs w:val="0"/>
          <w:color w:val="000000"/>
          <w:kern w:val="0"/>
          <w:sz w:val="32"/>
          <w:szCs w:val="32"/>
        </w:rPr>
        <w:t>本部门</w:t>
      </w:r>
      <w:r>
        <w:rPr>
          <w:rFonts w:hint="eastAsia" w:ascii="仿宋" w:hAnsi="仿宋" w:eastAsia="仿宋" w:cs="仿宋"/>
          <w:b w:val="0"/>
          <w:bCs w:val="0"/>
          <w:color w:val="000000"/>
          <w:kern w:val="0"/>
          <w:sz w:val="32"/>
          <w:szCs w:val="32"/>
          <w:lang w:eastAsia="zh-CN"/>
        </w:rPr>
        <w:t>占用办公楼</w:t>
      </w:r>
      <w:r>
        <w:rPr>
          <w:rFonts w:hint="eastAsia" w:ascii="仿宋" w:hAnsi="仿宋" w:eastAsia="仿宋" w:cs="仿宋"/>
          <w:b w:val="0"/>
          <w:bCs w:val="0"/>
          <w:color w:val="000000"/>
          <w:kern w:val="0"/>
          <w:sz w:val="32"/>
          <w:szCs w:val="32"/>
          <w:lang w:val="en-US" w:eastAsia="zh-CN"/>
        </w:rPr>
        <w:t>2栋，面积2000平方米，原值200万元，</w:t>
      </w:r>
      <w:r>
        <w:rPr>
          <w:rFonts w:hint="eastAsia" w:ascii="仿宋" w:hAnsi="仿宋" w:eastAsia="仿宋" w:cs="仿宋"/>
          <w:b w:val="0"/>
          <w:bCs w:val="0"/>
          <w:color w:val="000000"/>
          <w:kern w:val="0"/>
          <w:sz w:val="32"/>
          <w:szCs w:val="32"/>
        </w:rPr>
        <w:t>共有车辆</w:t>
      </w:r>
      <w:r>
        <w:rPr>
          <w:rFonts w:hint="eastAsia" w:ascii="仿宋" w:hAnsi="仿宋" w:eastAsia="仿宋" w:cs="仿宋"/>
          <w:b w:val="0"/>
          <w:bCs w:val="0"/>
          <w:color w:val="000000"/>
          <w:kern w:val="0"/>
          <w:sz w:val="32"/>
          <w:szCs w:val="32"/>
          <w:u w:val="none"/>
          <w:lang w:val="en-US" w:eastAsia="zh-CN"/>
        </w:rPr>
        <w:t>6</w:t>
      </w:r>
      <w:r>
        <w:rPr>
          <w:rFonts w:hint="eastAsia" w:ascii="仿宋" w:hAnsi="仿宋" w:eastAsia="仿宋" w:cs="仿宋"/>
          <w:b w:val="0"/>
          <w:bCs w:val="0"/>
          <w:color w:val="000000"/>
          <w:kern w:val="0"/>
          <w:sz w:val="32"/>
          <w:szCs w:val="32"/>
        </w:rPr>
        <w:t>辆，其中，一般执法执勤用车</w:t>
      </w:r>
      <w:r>
        <w:rPr>
          <w:rFonts w:hint="eastAsia" w:ascii="仿宋" w:hAnsi="仿宋" w:eastAsia="仿宋" w:cs="仿宋"/>
          <w:b w:val="0"/>
          <w:bCs w:val="0"/>
          <w:color w:val="000000"/>
          <w:kern w:val="0"/>
          <w:sz w:val="32"/>
          <w:szCs w:val="32"/>
          <w:u w:val="none"/>
          <w:lang w:val="en-US" w:eastAsia="zh-CN"/>
        </w:rPr>
        <w:t>6</w:t>
      </w:r>
      <w:r>
        <w:rPr>
          <w:rFonts w:hint="eastAsia" w:ascii="仿宋" w:hAnsi="仿宋" w:eastAsia="仿宋" w:cs="仿宋"/>
          <w:b w:val="0"/>
          <w:bCs w:val="0"/>
          <w:color w:val="000000"/>
          <w:kern w:val="0"/>
          <w:sz w:val="32"/>
          <w:szCs w:val="32"/>
        </w:rPr>
        <w:t>辆；</w:t>
      </w:r>
      <w:r>
        <w:rPr>
          <w:rFonts w:hint="eastAsia" w:ascii="仿宋" w:hAnsi="仿宋" w:eastAsia="仿宋" w:cs="仿宋"/>
          <w:color w:val="000000"/>
          <w:kern w:val="0"/>
          <w:sz w:val="32"/>
          <w:szCs w:val="32"/>
        </w:rPr>
        <w:t>单位价值50万元以上通用设备</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台（套），单价100万元以上专用设备</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台（套）</w:t>
      </w:r>
      <w:r>
        <w:rPr>
          <w:rFonts w:hint="eastAsia" w:ascii="仿宋" w:hAnsi="仿宋" w:eastAsia="仿宋" w:cs="仿宋"/>
          <w:color w:val="000000"/>
          <w:kern w:val="0"/>
          <w:sz w:val="32"/>
          <w:szCs w:val="32"/>
          <w:lang w:eastAsia="zh-CN"/>
        </w:rPr>
        <w:t>。</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eastAsia="zh-CN"/>
        </w:rPr>
        <w:t>安排</w:t>
      </w:r>
      <w:r>
        <w:rPr>
          <w:rFonts w:hint="eastAsia" w:ascii="仿宋" w:hAnsi="仿宋" w:eastAsia="仿宋" w:cs="仿宋"/>
          <w:bCs/>
          <w:color w:val="111111"/>
          <w:kern w:val="0"/>
          <w:sz w:val="32"/>
          <w:szCs w:val="32"/>
          <w:highlight w:val="none"/>
        </w:rPr>
        <w:t>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bookmarkStart w:id="0" w:name="_GoBack"/>
      <w:bookmarkEnd w:id="0"/>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ascii="宋体" w:hAnsi="宋体"/>
        <w:sz w:val="24"/>
        <w:szCs w:val="24"/>
      </w:rPr>
    </w:pPr>
    <w:r>
      <w:rPr>
        <w:rFonts w:ascii="宋体" w:hAnsi="宋体"/>
        <w:sz w:val="24"/>
        <w:szCs w:val="24"/>
      </w:rPr>
      <w:fldChar w:fldCharType="begin"/>
    </w:r>
    <w:r>
      <w:rPr>
        <w:rStyle w:val="6"/>
        <w:rFonts w:ascii="宋体" w:hAnsi="宋体"/>
        <w:sz w:val="24"/>
        <w:szCs w:val="24"/>
      </w:rPr>
      <w:instrText xml:space="preserve">PAGE  </w:instrText>
    </w:r>
    <w:r>
      <w:rPr>
        <w:rFonts w:ascii="宋体" w:hAnsi="宋体"/>
        <w:sz w:val="24"/>
        <w:szCs w:val="24"/>
      </w:rPr>
      <w:fldChar w:fldCharType="separate"/>
    </w:r>
    <w:r>
      <w:rPr>
        <w:rStyle w:val="6"/>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B9878D1"/>
    <w:multiLevelType w:val="singleLevel"/>
    <w:tmpl w:val="5B9878D1"/>
    <w:lvl w:ilvl="0" w:tentative="0">
      <w:start w:val="3"/>
      <w:numFmt w:val="chineseCounting"/>
      <w:suff w:val="nothing"/>
      <w:lvlText w:val="%1、"/>
      <w:lvlJc w:val="left"/>
    </w:lvl>
  </w:abstractNum>
  <w:abstractNum w:abstractNumId="4">
    <w:nsid w:val="5BADEED9"/>
    <w:multiLevelType w:val="singleLevel"/>
    <w:tmpl w:val="5BADEED9"/>
    <w:lvl w:ilvl="0" w:tentative="0">
      <w:start w:val="2"/>
      <w:numFmt w:val="decimal"/>
      <w:suff w:val="nothing"/>
      <w:lvlText w:val="%1、"/>
      <w:lvlJc w:val="left"/>
    </w:lvl>
  </w:abstractNum>
  <w:abstractNum w:abstractNumId="5">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49C1460"/>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6D5B69"/>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9977F3"/>
    <w:rsid w:val="7DC032B1"/>
    <w:rsid w:val="7EFE21F5"/>
    <w:rsid w:val="7FB060C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5">
    <w:name w:val="Strong"/>
    <w:basedOn w:val="4"/>
    <w:qFormat/>
    <w:uiPriority w:val="0"/>
    <w:rPr>
      <w:b/>
    </w:rPr>
  </w:style>
  <w:style w:type="character" w:styleId="6">
    <w:name w:val="page number"/>
    <w:basedOn w:val="4"/>
    <w:qFormat/>
    <w:uiPriority w:val="0"/>
  </w:style>
  <w:style w:type="character" w:styleId="7">
    <w:name w:val="Hyperlink"/>
    <w:qFormat/>
    <w:uiPriority w:val="0"/>
    <w:rPr>
      <w:color w:val="141414"/>
      <w:u w:val="none"/>
    </w:rPr>
  </w:style>
  <w:style w:type="character" w:customStyle="1" w:styleId="9">
    <w:name w:val="apple-converted-space"/>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2024-03-14T02:24:12Z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