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双鸭山市中共饶河县直属机关工作委员会</w:t>
      </w:r>
    </w:p>
    <w:p>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2018年度部门决算信息及有关</w:t>
      </w: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三、部门决算编报范围及</w:t>
      </w:r>
      <w:r>
        <w:rPr>
          <w:rFonts w:hint="eastAsia" w:ascii="仿宋" w:hAnsi="仿宋" w:eastAsia="仿宋" w:cs="仿宋"/>
          <w:sz w:val="32"/>
          <w:szCs w:val="32"/>
        </w:rPr>
        <w:t>人员构成</w:t>
      </w:r>
    </w:p>
    <w:p>
      <w:pPr>
        <w:widowControl/>
        <w:spacing w:line="360" w:lineRule="auto"/>
        <w:jc w:val="left"/>
        <w:rPr>
          <w:rFonts w:ascii="仿宋" w:hAnsi="仿宋" w:eastAsia="仿宋" w:cs="仿宋"/>
          <w:sz w:val="32"/>
          <w:szCs w:val="32"/>
        </w:rPr>
      </w:pPr>
    </w:p>
    <w:p>
      <w:pPr>
        <w:spacing w:line="360" w:lineRule="auto"/>
        <w:ind w:firstLine="964" w:firstLineChars="300"/>
        <w:rPr>
          <w:rFonts w:ascii="仿宋" w:hAnsi="仿宋" w:eastAsia="仿宋" w:cs="仿宋"/>
          <w:b/>
          <w:sz w:val="32"/>
          <w:szCs w:val="32"/>
        </w:rPr>
      </w:pPr>
      <w:r>
        <w:rPr>
          <w:rFonts w:hint="eastAsia" w:ascii="仿宋" w:hAnsi="仿宋" w:eastAsia="仿宋" w:cs="仿宋"/>
          <w:b/>
          <w:sz w:val="32"/>
          <w:szCs w:val="32"/>
        </w:rPr>
        <w:t>第二部分2018年部门预算执行总体情况说明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（一）机关运行经费支出情况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（二）政府采购支出情况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第四部分2018年度部门决算公开表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numPr>
          <w:ilvl w:val="0"/>
          <w:numId w:val="4"/>
        </w:num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部门职责</w:t>
      </w:r>
    </w:p>
    <w:p>
      <w:pPr>
        <w:spacing w:line="360" w:lineRule="auto"/>
        <w:ind w:firstLine="640" w:firstLineChars="200"/>
        <w:rPr>
          <w:rFonts w:hint="eastAsia" w:ascii="仿宋_GB2312" w:hAnsi="仿宋" w:eastAsia="仿宋_GB2312" w:cs="仿宋"/>
          <w:b/>
          <w:bCs/>
          <w:sz w:val="32"/>
          <w:szCs w:val="32"/>
        </w:rPr>
      </w:pPr>
      <w:r>
        <w:rPr>
          <w:rFonts w:hint="eastAsia" w:ascii="黑体" w:hAnsi="黑体" w:eastAsia="黑体"/>
          <w:sz w:val="32"/>
          <w:szCs w:val="32"/>
        </w:rPr>
        <w:t xml:space="preserve">第一条  </w:t>
      </w:r>
      <w:r>
        <w:rPr>
          <w:rFonts w:hint="eastAsia" w:ascii="仿宋_GB2312" w:hAnsi="黑体" w:eastAsia="仿宋_GB2312"/>
          <w:sz w:val="32"/>
          <w:szCs w:val="32"/>
        </w:rPr>
        <w:t>根据《中共黑龙江省委办公厅 黑龙江省人民政府办公厅关于印发&lt;饶河县机构改革方案&gt;的通知》（厅字〔2019〕66号），制定本规定。</w:t>
      </w:r>
    </w:p>
    <w:p>
      <w:pPr>
        <w:spacing w:line="360" w:lineRule="auto"/>
        <w:ind w:left="643"/>
        <w:rPr>
          <w:rFonts w:hint="eastAsia" w:ascii="仿宋_GB2312" w:hAnsi="仿宋" w:eastAsia="仿宋_GB2312" w:cs="仿宋"/>
          <w:b/>
          <w:bCs/>
          <w:sz w:val="32"/>
          <w:szCs w:val="32"/>
        </w:rPr>
      </w:pPr>
      <w:r>
        <w:rPr>
          <w:rFonts w:hint="eastAsia" w:ascii="仿宋_GB2312" w:hAnsi="黑体" w:eastAsia="仿宋_GB2312"/>
          <w:sz w:val="32"/>
          <w:szCs w:val="32"/>
        </w:rPr>
        <w:t>第二条  中共饶河县直属机关工作委员会(简称县直机关工委)是县委主管县直机关党建工作的职能部门，为正科级。</w:t>
      </w:r>
    </w:p>
    <w:p>
      <w:pPr>
        <w:spacing w:line="580" w:lineRule="exact"/>
        <w:ind w:left="420" w:leftChars="200" w:firstLine="160" w:firstLineChars="50"/>
        <w:rPr>
          <w:rFonts w:hint="eastAsia" w:ascii="仿宋_GB2312" w:hAnsi="黑体" w:eastAsia="仿宋_GB2312"/>
          <w:sz w:val="32"/>
          <w:szCs w:val="32"/>
        </w:rPr>
      </w:pPr>
      <w:r>
        <w:rPr>
          <w:rFonts w:hint="eastAsia" w:ascii="仿宋_GB2312" w:hAnsi="黑体" w:eastAsia="仿宋_GB2312"/>
          <w:sz w:val="32"/>
          <w:szCs w:val="32"/>
        </w:rPr>
        <w:t xml:space="preserve">第三条  </w:t>
      </w:r>
      <w:r>
        <w:rPr>
          <w:rFonts w:hint="eastAsia" w:ascii="仿宋_GB2312" w:hAnsi="仿宋" w:eastAsia="仿宋_GB2312" w:cs="仿宋"/>
          <w:sz w:val="32"/>
          <w:szCs w:val="32"/>
        </w:rPr>
        <w:t>县</w:t>
      </w:r>
      <w:r>
        <w:rPr>
          <w:rFonts w:hint="eastAsia" w:ascii="仿宋_GB2312" w:hAnsi="黑体" w:eastAsia="仿宋_GB2312"/>
          <w:sz w:val="32"/>
          <w:szCs w:val="32"/>
        </w:rPr>
        <w:t>直机关工委的主要职责是：</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eastAsia="仿宋_GB2312"/>
          <w:sz w:val="32"/>
          <w:szCs w:val="32"/>
        </w:rPr>
        <w:t>（一）负责县直机关党建工作，</w:t>
      </w:r>
      <w:r>
        <w:rPr>
          <w:rFonts w:hint="eastAsia" w:ascii="仿宋_GB2312" w:hAnsi="Arial" w:eastAsia="仿宋_GB2312" w:cs="Arial"/>
          <w:sz w:val="32"/>
          <w:szCs w:val="32"/>
          <w:shd w:val="clear" w:color="auto" w:fill="FFFFFF"/>
        </w:rPr>
        <w:t>统一组织、规划、部署县直机关党的工作，提出加强和改进机关党的建设的意见和建议，研究制定工作规划，并抓好组织实施。</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（二）指导县直机关党的政治建设、思想建设、组织建设、作风建设、纪律建设，把制度建设贯穿其中，深入推进反腐败斗争。</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（三）指导县直机关各级党组织和广大党员学习马克思列宁主义、毛泽东思想、邓小平理论、“三个代表”重要思想、科学发展观、习近平新时代中国特色社会主义思想。</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（四）对县直机关各级党组织、党员领导干部落实党建责任制、遵守政治纪律和政治规矩情况进行监督检查，并向县委报告。</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（五）指导县直机关各级党组织实施对党员特别是党员领导干部的监督和管理，及时向县委反映各单位领导班子、领导干部的情况。</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（六）配合县委有关部门抓好县直机关各单位领导班子思想政治建设，参与对党员领导干部民主生活会和县直各单位党组理论学习中心组学习的督促检查和指导，了解掌握情况，按规定报送情况报告。</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（七）督促指导县直机关各级党组织按期换届，审批关于召开党员大会或党员代表大会的请示，审批县直机关党组织领导班子的组成及书记、副书记的任免。</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（八）指导县直机关各级党组织加强基层组织建设，做好党员发展、教育、管理等工作。</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（九）了解掌握县直机关工作人员的思想状况，指导县直机关各级党组织加强思想政治工作和精神文明建设。</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（十）领导县直机关工会、共青团、妇联等群团组织的工作，指导县直机关各级党组织做好党的群众工作和统一战线工作。</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（十一）直接管理列入与行政脱钩范围的全县性行业协会商会党建工作，统筹负责县直各单位业务主管的全县性社会组织党建工作。</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（十二）协同有关部门指导、规划、协调、监督、检查县直机关干部教育培训工作，培训轮训县直机关党员干部和党务干部。</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（十三）负责县直单位民兵的思想教育、管理工作，民兵组织的整顿和民兵的训练工作，抓好应急分队的组织建设，做好年度征兵工作。</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（十四）协助有关部门协调县直机关各部门做好维护稳定等工作。</w:t>
      </w:r>
    </w:p>
    <w:p>
      <w:pPr>
        <w:spacing w:line="580" w:lineRule="exact"/>
        <w:ind w:firstLine="640" w:firstLineChars="200"/>
        <w:rPr>
          <w:rFonts w:hint="eastAsia"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（十五）完成县委交办的其他任务。</w:t>
      </w:r>
    </w:p>
    <w:p>
      <w:pPr>
        <w:numPr>
          <w:ilvl w:val="0"/>
          <w:numId w:val="5"/>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机构设置</w:t>
      </w:r>
    </w:p>
    <w:p>
      <w:pPr>
        <w:ind w:firstLine="627" w:firstLineChars="196"/>
        <w:rPr>
          <w:rFonts w:hint="eastAsia" w:ascii="仿宋_GB2312" w:eastAsia="仿宋_GB2312"/>
          <w:color w:val="000000"/>
          <w:sz w:val="32"/>
          <w:szCs w:val="32"/>
        </w:rPr>
      </w:pPr>
      <w:r>
        <w:rPr>
          <w:rFonts w:hint="eastAsia" w:ascii="仿宋_GB2312" w:hAnsi="仿宋" w:eastAsia="仿宋_GB2312"/>
          <w:sz w:val="32"/>
          <w:szCs w:val="32"/>
        </w:rPr>
        <w:t>根据上述职责，</w:t>
      </w:r>
      <w:r>
        <w:rPr>
          <w:rFonts w:hint="eastAsia" w:ascii="仿宋_GB2312" w:hAnsi="宋体" w:eastAsia="仿宋_GB2312"/>
          <w:color w:val="000000"/>
          <w:sz w:val="32"/>
          <w:szCs w:val="32"/>
        </w:rPr>
        <w:t>内设组织部、宣传部、纪律检查委员会、县直武装部（工委管理机构）。</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w:t>
      </w:r>
      <w:r>
        <w:rPr>
          <w:rFonts w:hint="eastAsia" w:ascii="仿宋" w:hAnsi="仿宋" w:eastAsia="仿宋" w:cs="仿宋"/>
          <w:b/>
          <w:bCs/>
          <w:sz w:val="30"/>
          <w:szCs w:val="30"/>
        </w:rPr>
        <w:t>部门决算编报范围及</w:t>
      </w:r>
      <w:r>
        <w:rPr>
          <w:rFonts w:hint="eastAsia" w:ascii="仿宋" w:hAnsi="仿宋" w:eastAsia="仿宋" w:cs="仿宋"/>
          <w:b/>
          <w:bCs/>
          <w:sz w:val="32"/>
          <w:szCs w:val="32"/>
        </w:rPr>
        <w:t>人员构成</w:t>
      </w:r>
    </w:p>
    <w:p>
      <w:pPr>
        <w:widowControl/>
        <w:spacing w:after="230"/>
        <w:ind w:firstLine="480"/>
        <w:jc w:val="left"/>
        <w:rPr>
          <w:rFonts w:hint="eastAsia" w:ascii="仿宋_GB2312" w:hAnsi="宋体" w:eastAsia="仿宋_GB2312"/>
          <w:color w:val="000000"/>
          <w:sz w:val="32"/>
          <w:szCs w:val="32"/>
        </w:rPr>
      </w:pPr>
      <w:r>
        <w:rPr>
          <w:rFonts w:hint="eastAsia" w:ascii="仿宋_GB2312" w:hAnsi="宋体" w:eastAsia="仿宋_GB2312"/>
          <w:color w:val="000000"/>
          <w:sz w:val="32"/>
          <w:szCs w:val="32"/>
        </w:rPr>
        <w:t>工委编制6人，在职8人。离休1人，退休3人</w:t>
      </w: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第二部分2018年部门预算执行总体情况说明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00" w:firstLineChars="200"/>
        <w:rPr>
          <w:rFonts w:hint="eastAsia" w:ascii="仿宋" w:hAnsi="仿宋" w:eastAsia="仿宋" w:cs="仿宋"/>
          <w:sz w:val="30"/>
          <w:szCs w:val="30"/>
        </w:rPr>
      </w:pPr>
      <w:r>
        <w:rPr>
          <w:rFonts w:hint="eastAsia" w:ascii="仿宋" w:hAnsi="仿宋" w:eastAsia="仿宋" w:cs="仿宋"/>
          <w:kern w:val="0"/>
          <w:sz w:val="30"/>
          <w:szCs w:val="30"/>
        </w:rPr>
        <w:t>2018年度部门决算收、支总计166万元，其中：本年收入83万元；用事业基金弥补收支差额0万元；年初结转和结余0万元；本年支出83万元；结余分配0万元，年末结转和结余0万元。</w:t>
      </w:r>
      <w:r>
        <w:rPr>
          <w:rFonts w:hint="eastAsia" w:ascii="仿宋" w:hAnsi="仿宋" w:eastAsia="仿宋" w:cs="仿宋"/>
          <w:sz w:val="30"/>
          <w:szCs w:val="30"/>
        </w:rPr>
        <w:t>与2017年度相比，收、支总计均增加-1万元，同比增长-1.1%。主要原因：2018年下半年有1人员退休。</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本年收入合计</w:t>
      </w:r>
      <w:r>
        <w:rPr>
          <w:rFonts w:hint="eastAsia" w:ascii="仿宋" w:hAnsi="仿宋" w:eastAsia="仿宋" w:cs="仿宋"/>
          <w:kern w:val="0"/>
          <w:sz w:val="30"/>
          <w:szCs w:val="30"/>
        </w:rPr>
        <w:t>83</w:t>
      </w:r>
      <w:r>
        <w:rPr>
          <w:rFonts w:hint="eastAsia" w:ascii="仿宋" w:hAnsi="仿宋" w:eastAsia="仿宋" w:cs="仿宋"/>
          <w:sz w:val="30"/>
          <w:szCs w:val="30"/>
        </w:rPr>
        <w:t>万元，与2017年度相比，增加-1万元，同比增长-1.1%。主要原因：2018年下半年有1人员退休。</w:t>
      </w:r>
      <w:r>
        <w:rPr>
          <w:rFonts w:ascii="仿宋" w:hAnsi="仿宋" w:eastAsia="仿宋" w:cs="仿宋"/>
          <w:sz w:val="30"/>
          <w:szCs w:val="30"/>
        </w:rPr>
        <w:t xml:space="preserve"> </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其中：财政拨款收入83万元，占收入合计的100%；事业收入0万元，占0%；其他收入0万元。</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本年支出合计83万元，与2017年度相比，增加-1万元，同比增长-1.1%。主要原因：2018年下半年有1人员退休。</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其中：基本支出83万元，占支出合计的100%。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2018年度财政拨款收、支总计166万元。与2017年度相比，财政拨款收、支总计各增加-1万元，增长-1.1%。主要原因：2018年下半年有1人员退休。</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596" w:firstLineChars="198"/>
        <w:jc w:val="left"/>
        <w:rPr>
          <w:rFonts w:ascii="仿宋" w:hAnsi="仿宋" w:eastAsia="仿宋" w:cs="仿宋"/>
          <w:b/>
          <w:bCs/>
          <w:sz w:val="30"/>
          <w:szCs w:val="30"/>
        </w:rPr>
      </w:pPr>
      <w:r>
        <w:rPr>
          <w:rFonts w:hint="eastAsia" w:ascii="仿宋" w:hAnsi="仿宋" w:eastAsia="仿宋" w:cs="仿宋"/>
          <w:b/>
          <w:bCs/>
          <w:sz w:val="30"/>
          <w:szCs w:val="30"/>
        </w:rPr>
        <w:t>（一）一般公共预算财政拨款支出决算总体情况。</w:t>
      </w:r>
    </w:p>
    <w:p>
      <w:pPr>
        <w:widowControl/>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2018年度一般公共预算财政拨款支出83万元，与2017年决算数相比，增加-1万元，增长-1.1%，主要原因是2018年下半年有1人员退休。</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（二）一般公共预算财政拨款支出决算结构情况。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一般公共预算财政拨款支出83万元，主要用于以下方面：一般公共服务支出48万元，占57.8%；社会保障和就业支出（类）15万元，占18%；医疗卫生与计划生育支出（类）4万元，占5%；住房保障支出（类）16万元，占19.2%。</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（三）一般公共预算财政拨款支出决算具体情况。</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2018年度一般公共预算财政拨款支出年初预算为83万元，支出决算为83万元，完成年初预算的100%。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2018年度一般公共预算财政拨款基本支出83万元，其中：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人员经费81万元，主要包括：基本工资、津贴补贴、奖金、住房公积金、其他工资福利支出、退休费、抚恤金、生活补助、奖励金、其他对个人和家庭的补助支出。</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公用经费2万元，主要包括：办公费、维修（护）费、培训费。</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after="230"/>
        <w:ind w:firstLine="960" w:firstLineChars="300"/>
        <w:jc w:val="left"/>
        <w:rPr>
          <w:rFonts w:ascii="宋体" w:hAnsi="宋体" w:cs="宋体"/>
          <w:color w:val="000000"/>
          <w:kern w:val="0"/>
          <w:sz w:val="32"/>
          <w:szCs w:val="32"/>
        </w:rPr>
      </w:pPr>
      <w:r>
        <w:rPr>
          <w:rFonts w:hint="eastAsia" w:ascii="宋体" w:hAnsi="宋体" w:cs="宋体"/>
          <w:color w:val="000000"/>
          <w:kern w:val="0"/>
          <w:sz w:val="32"/>
          <w:szCs w:val="32"/>
        </w:rPr>
        <w:t>县直机关工委2018年没有三公经费支出。</w:t>
      </w:r>
    </w:p>
    <w:p>
      <w:pPr>
        <w:widowControl/>
        <w:spacing w:line="360" w:lineRule="auto"/>
        <w:ind w:firstLine="636" w:firstLineChars="198"/>
        <w:jc w:val="left"/>
        <w:rPr>
          <w:rFonts w:hint="eastAsia"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1267" w:firstLineChars="396"/>
        <w:jc w:val="left"/>
        <w:rPr>
          <w:rFonts w:ascii="仿宋" w:hAnsi="仿宋" w:eastAsia="仿宋" w:cs="仿宋"/>
          <w:bCs/>
          <w:sz w:val="32"/>
          <w:szCs w:val="32"/>
        </w:rPr>
      </w:pPr>
      <w:r>
        <w:rPr>
          <w:rFonts w:hint="eastAsia" w:ascii="仿宋" w:hAnsi="仿宋" w:eastAsia="仿宋" w:cs="仿宋"/>
          <w:bCs/>
          <w:sz w:val="32"/>
          <w:szCs w:val="32"/>
        </w:rPr>
        <w:t>没有此种情况</w:t>
      </w:r>
    </w:p>
    <w:p>
      <w:pPr>
        <w:widowControl/>
        <w:numPr>
          <w:ilvl w:val="0"/>
          <w:numId w:val="6"/>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1120" w:firstLineChars="350"/>
        <w:jc w:val="left"/>
        <w:rPr>
          <w:rFonts w:ascii="仿宋" w:hAnsi="仿宋" w:eastAsia="仿宋" w:cs="仿宋"/>
          <w:b/>
          <w:bCs/>
          <w:sz w:val="32"/>
          <w:szCs w:val="32"/>
        </w:rPr>
      </w:pPr>
      <w:r>
        <w:rPr>
          <w:rFonts w:hint="eastAsia" w:ascii="仿宋" w:hAnsi="仿宋" w:eastAsia="仿宋" w:cs="仿宋"/>
          <w:sz w:val="32"/>
          <w:szCs w:val="32"/>
        </w:rPr>
        <w:t>2018年度没有1万元以上项目、政府购买公共服务项目和市级以上专项，故没有开展绩效评价工作。</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after="230"/>
        <w:ind w:firstLine="640" w:firstLineChars="200"/>
        <w:jc w:val="left"/>
        <w:rPr>
          <w:rFonts w:hint="eastAsia" w:ascii="宋体" w:hAnsi="宋体" w:cs="宋体"/>
          <w:b/>
          <w:bCs/>
          <w:color w:val="333333"/>
          <w:kern w:val="0"/>
          <w:sz w:val="32"/>
          <w:szCs w:val="32"/>
        </w:rPr>
      </w:pPr>
      <w:r>
        <w:rPr>
          <w:rFonts w:hint="eastAsia" w:ascii="宋体" w:hAnsi="宋体" w:cs="宋体"/>
          <w:sz w:val="32"/>
          <w:szCs w:val="32"/>
        </w:rPr>
        <w:t>县直机关工委固定资产期末总额为：40870元。通用设备：34520元。家具、用具、装具及动植物：6350元。没有个人占用国有资产情况。</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0"/>
          <w:szCs w:val="30"/>
        </w:rPr>
        <w:t>根据《2018年政府收支分类科目》对2018年度部门决算公开中相关名词解释如下：</w:t>
      </w:r>
      <w:r>
        <w:rPr>
          <w:rFonts w:hint="eastAsia" w:ascii="仿宋" w:hAnsi="仿宋" w:eastAsia="仿宋" w:cs="仿宋"/>
          <w:sz w:val="30"/>
          <w:szCs w:val="30"/>
        </w:rPr>
        <w:br w:type="textWrapping"/>
      </w:r>
      <w:r>
        <w:rPr>
          <w:rFonts w:hint="eastAsia" w:ascii="仿宋" w:hAnsi="仿宋" w:eastAsia="仿宋" w:cs="仿宋"/>
          <w:sz w:val="30"/>
          <w:szCs w:val="30"/>
        </w:rPr>
        <w:t>　　财政拨款收入：反映财政部门用公共预算收入安排的预</w:t>
      </w:r>
      <w:r>
        <w:rPr>
          <w:rFonts w:hint="eastAsia" w:ascii="仿宋" w:hAnsi="仿宋" w:eastAsia="仿宋" w:cs="仿宋"/>
          <w:sz w:val="32"/>
          <w:szCs w:val="32"/>
        </w:rPr>
        <w:t>算单位资金。</w:t>
      </w:r>
    </w:p>
    <w:p>
      <w:pPr>
        <w:spacing w:line="360" w:lineRule="auto"/>
        <w:ind w:firstLine="660"/>
        <w:rPr>
          <w:rFonts w:ascii="仿宋" w:hAnsi="仿宋" w:eastAsia="仿宋" w:cs="仿宋"/>
          <w:color w:val="111111"/>
          <w:kern w:val="0"/>
          <w:sz w:val="30"/>
          <w:szCs w:val="30"/>
        </w:rPr>
      </w:pPr>
      <w:r>
        <w:rPr>
          <w:rFonts w:hint="eastAsia" w:ascii="仿宋" w:hAnsi="仿宋" w:eastAsia="仿宋" w:cs="仿宋"/>
          <w:sz w:val="30"/>
          <w:szCs w:val="30"/>
        </w:rPr>
        <w:t>一般公共预算拨款</w:t>
      </w:r>
      <w:r>
        <w:rPr>
          <w:rFonts w:hint="eastAsia" w:ascii="仿宋" w:hAnsi="仿宋" w:eastAsia="仿宋" w:cs="仿宋"/>
          <w:bCs/>
          <w:color w:val="111111"/>
          <w:kern w:val="0"/>
          <w:sz w:val="30"/>
          <w:szCs w:val="30"/>
        </w:rPr>
        <w:t>：</w:t>
      </w:r>
      <w:r>
        <w:rPr>
          <w:rFonts w:hint="eastAsia" w:ascii="仿宋" w:hAnsi="仿宋" w:eastAsia="仿宋" w:cs="仿宋"/>
          <w:color w:val="111111"/>
          <w:kern w:val="0"/>
          <w:sz w:val="30"/>
          <w:szCs w:val="30"/>
        </w:rPr>
        <w:t>指单位本年度从区级财政部门取得的财政拨款。</w:t>
      </w:r>
    </w:p>
    <w:p>
      <w:pPr>
        <w:widowControl/>
        <w:spacing w:line="360" w:lineRule="auto"/>
        <w:ind w:firstLine="600" w:firstLineChars="200"/>
        <w:jc w:val="left"/>
        <w:rPr>
          <w:rFonts w:ascii="仿宋" w:hAnsi="仿宋" w:eastAsia="仿宋" w:cs="仿宋"/>
          <w:i/>
          <w:iCs/>
          <w:color w:val="111111"/>
          <w:kern w:val="0"/>
          <w:sz w:val="30"/>
          <w:szCs w:val="30"/>
        </w:rPr>
      </w:pPr>
      <w:r>
        <w:rPr>
          <w:rFonts w:hint="eastAsia" w:ascii="仿宋" w:hAnsi="仿宋" w:eastAsia="仿宋" w:cs="仿宋"/>
          <w:bCs/>
          <w:color w:val="111111"/>
          <w:kern w:val="0"/>
          <w:sz w:val="30"/>
          <w:szCs w:val="30"/>
        </w:rPr>
        <w:t>事业收入：</w:t>
      </w:r>
      <w:r>
        <w:rPr>
          <w:rFonts w:hint="eastAsia" w:ascii="仿宋" w:hAnsi="仿宋" w:eastAsia="仿宋" w:cs="仿宋"/>
          <w:color w:val="111111"/>
          <w:kern w:val="0"/>
          <w:sz w:val="30"/>
          <w:szCs w:val="30"/>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0"/>
          <w:szCs w:val="30"/>
        </w:rPr>
      </w:pPr>
      <w:r>
        <w:rPr>
          <w:rFonts w:hint="eastAsia" w:ascii="仿宋" w:hAnsi="仿宋" w:eastAsia="仿宋" w:cs="仿宋"/>
          <w:bCs/>
          <w:color w:val="111111"/>
          <w:kern w:val="0"/>
          <w:sz w:val="30"/>
          <w:szCs w:val="30"/>
        </w:rPr>
        <w:t>其他收入：</w:t>
      </w:r>
      <w:r>
        <w:rPr>
          <w:rFonts w:hint="eastAsia" w:ascii="仿宋" w:hAnsi="仿宋" w:eastAsia="仿宋" w:cs="仿宋"/>
          <w:color w:val="111111"/>
          <w:kern w:val="0"/>
          <w:sz w:val="30"/>
          <w:szCs w:val="30"/>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用事业基金弥补收支差额：</w:t>
      </w:r>
      <w:r>
        <w:rPr>
          <w:rFonts w:hint="eastAsia" w:ascii="仿宋" w:hAnsi="仿宋" w:eastAsia="仿宋" w:cs="仿宋"/>
          <w:color w:val="111111"/>
          <w:kern w:val="0"/>
          <w:sz w:val="30"/>
          <w:szCs w:val="30"/>
        </w:rPr>
        <w:t>指事业单位用事业基金弥补当年收支差额的数额。 </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年初结转和结余：</w:t>
      </w:r>
      <w:r>
        <w:rPr>
          <w:rFonts w:hint="eastAsia" w:ascii="仿宋" w:hAnsi="仿宋" w:eastAsia="仿宋" w:cs="仿宋"/>
          <w:color w:val="111111"/>
          <w:kern w:val="0"/>
          <w:sz w:val="30"/>
          <w:szCs w:val="30"/>
        </w:rPr>
        <w:t>指单位上年结转本年使用的基本支出结转、项目支出结转和结余和经营结余。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年末结转和结余资金：指本年度或以前年度预算安排、因客观条件发生变化无法按原计划实施，需要延迟到以后年度按有关规定继续使用的资金。</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一般公共财政预算支出：反映公共财政预算收入安排的支出。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w:t>
      </w:r>
      <w:r>
        <w:rPr>
          <w:rFonts w:hint="eastAsia" w:ascii="仿宋" w:hAnsi="仿宋" w:eastAsia="仿宋" w:cs="仿宋"/>
          <w:bCs/>
          <w:color w:val="111111"/>
          <w:kern w:val="0"/>
          <w:sz w:val="30"/>
          <w:szCs w:val="30"/>
          <w:lang w:val="en-US" w:eastAsia="zh-CN"/>
        </w:rPr>
        <w:t>安排</w:t>
      </w:r>
      <w:bookmarkStart w:id="0" w:name="_GoBack"/>
      <w:bookmarkEnd w:id="0"/>
      <w:r>
        <w:rPr>
          <w:rFonts w:hint="eastAsia" w:ascii="仿宋" w:hAnsi="仿宋" w:eastAsia="仿宋" w:cs="仿宋"/>
          <w:bCs/>
          <w:color w:val="111111"/>
          <w:kern w:val="0"/>
          <w:sz w:val="30"/>
          <w:szCs w:val="30"/>
        </w:rPr>
        <w:t>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基本支出：指为保障机构正常运转、完成日常工作任务而发生的人员支出和公用支出。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附件：2018年度部门决算公开表格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政府性基金预算财政拨款收入支出决算表</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p>
    <w:p>
      <w:pPr>
        <w:spacing w:line="360" w:lineRule="auto"/>
        <w:ind w:firstLine="600" w:firstLineChars="200"/>
        <w:rPr>
          <w:rFonts w:ascii="仿宋" w:hAnsi="仿宋" w:eastAsia="仿宋" w:cs="仿宋"/>
          <w:kern w:val="0"/>
          <w:sz w:val="30"/>
          <w:szCs w:val="30"/>
        </w:rPr>
      </w:pPr>
    </w:p>
    <w:p>
      <w:pPr>
        <w:spacing w:line="360" w:lineRule="auto"/>
        <w:rPr>
          <w:rFonts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Fonts w:ascii="宋体" w:hAnsi="宋体"/>
        <w:sz w:val="24"/>
        <w:szCs w:val="24"/>
      </w:rPr>
    </w:pPr>
    <w:r>
      <w:rPr>
        <w:rFonts w:ascii="宋体" w:hAnsi="宋体"/>
        <w:sz w:val="24"/>
        <w:szCs w:val="24"/>
      </w:rPr>
      <w:fldChar w:fldCharType="begin"/>
    </w:r>
    <w:r>
      <w:rPr>
        <w:rStyle w:val="8"/>
        <w:rFonts w:ascii="宋体" w:hAnsi="宋体"/>
        <w:sz w:val="24"/>
        <w:szCs w:val="24"/>
      </w:rPr>
      <w:instrText xml:space="preserve">PAGE  </w:instrText>
    </w:r>
    <w:r>
      <w:rPr>
        <w:rFonts w:ascii="宋体" w:hAnsi="宋体"/>
        <w:sz w:val="24"/>
        <w:szCs w:val="24"/>
      </w:rPr>
      <w:fldChar w:fldCharType="separate"/>
    </w:r>
    <w:r>
      <w:rPr>
        <w:rStyle w:val="8"/>
        <w:rFonts w:ascii="宋体" w:hAnsi="宋体"/>
        <w:sz w:val="24"/>
        <w:szCs w:val="24"/>
      </w:rPr>
      <w:t>- 11 -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4EA6586"/>
    <w:multiLevelType w:val="singleLevel"/>
    <w:tmpl w:val="54EA6586"/>
    <w:lvl w:ilvl="0" w:tentative="0">
      <w:start w:val="1"/>
      <w:numFmt w:val="chineseCounting"/>
      <w:suff w:val="nothing"/>
      <w:lvlText w:val="%1、"/>
      <w:lvlJc w:val="left"/>
    </w:lvl>
  </w:abstractNum>
  <w:abstractNum w:abstractNumId="4">
    <w:nsid w:val="5D75BB9F"/>
    <w:multiLevelType w:val="singleLevel"/>
    <w:tmpl w:val="5D75BB9F"/>
    <w:lvl w:ilvl="0" w:tentative="0">
      <w:start w:val="1"/>
      <w:numFmt w:val="chineseCounting"/>
      <w:suff w:val="nothing"/>
      <w:lvlText w:val="%1、"/>
      <w:lvlJc w:val="left"/>
    </w:lvl>
  </w:abstractNum>
  <w:abstractNum w:abstractNumId="5">
    <w:nsid w:val="5D7EDA3B"/>
    <w:multiLevelType w:val="singleLevel"/>
    <w:tmpl w:val="5D7EDA3B"/>
    <w:lvl w:ilvl="0" w:tentative="0">
      <w:start w:val="9"/>
      <w:numFmt w:val="chineseCounting"/>
      <w:suff w:val="nothing"/>
      <w:lvlText w:val="%1、"/>
      <w:lvlJc w:val="left"/>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RkMjlkMWZhMmQ4OTkwMWZiYTQzYmVmZjExODM4NGQifQ=="/>
    <w:docVar w:name="KSO_WPS_MARK_KEY" w:val="61f1fa79-0d00-4fdd-a7dc-4fe75aa3827b"/>
  </w:docVars>
  <w:rsids>
    <w:rsidRoot w:val="141522A4"/>
    <w:rsid w:val="004D28BB"/>
    <w:rsid w:val="00725CCF"/>
    <w:rsid w:val="008557E7"/>
    <w:rsid w:val="00C4414F"/>
    <w:rsid w:val="00DF184C"/>
    <w:rsid w:val="02056C4D"/>
    <w:rsid w:val="023F13DB"/>
    <w:rsid w:val="026066D5"/>
    <w:rsid w:val="029224CF"/>
    <w:rsid w:val="032D5CC6"/>
    <w:rsid w:val="03456C94"/>
    <w:rsid w:val="036A7041"/>
    <w:rsid w:val="0372233B"/>
    <w:rsid w:val="037D750B"/>
    <w:rsid w:val="03CD392E"/>
    <w:rsid w:val="04101647"/>
    <w:rsid w:val="04DF25D8"/>
    <w:rsid w:val="04E67290"/>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A77D13"/>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Autospacing="1" w:afterAutospacing="1"/>
      <w:jc w:val="left"/>
    </w:pPr>
    <w:rPr>
      <w:rFonts w:ascii="宋体" w:hAnsi="宋体" w:cs="宋体"/>
      <w:kern w:val="0"/>
      <w:sz w:val="24"/>
    </w:rPr>
  </w:style>
  <w:style w:type="character" w:styleId="7">
    <w:name w:val="Strong"/>
    <w:basedOn w:val="6"/>
    <w:qFormat/>
    <w:uiPriority w:val="0"/>
    <w:rPr>
      <w:b/>
    </w:rPr>
  </w:style>
  <w:style w:type="character" w:styleId="8">
    <w:name w:val="page number"/>
    <w:basedOn w:val="6"/>
    <w:qFormat/>
    <w:uiPriority w:val="0"/>
  </w:style>
  <w:style w:type="character" w:styleId="9">
    <w:name w:val="Hyperlink"/>
    <w:qFormat/>
    <w:uiPriority w:val="0"/>
    <w:rPr>
      <w:color w:val="141414"/>
      <w:u w:val="none"/>
    </w:rPr>
  </w:style>
  <w:style w:type="character" w:customStyle="1" w:styleId="10">
    <w:name w:val="apple-converted-space"/>
    <w:basedOn w:val="6"/>
    <w:qFormat/>
    <w:uiPriority w:val="0"/>
  </w:style>
  <w:style w:type="character" w:customStyle="1" w:styleId="11">
    <w:name w:val="页眉 Char"/>
    <w:basedOn w:val="6"/>
    <w:link w:val="3"/>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12</Pages>
  <Words>4538</Words>
  <Characters>4703</Characters>
  <Lines>37</Lines>
  <Paragraphs>10</Paragraphs>
  <TotalTime>46</TotalTime>
  <ScaleCrop>false</ScaleCrop>
  <LinksUpToDate>false</LinksUpToDate>
  <CharactersWithSpaces>4737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2024-03-14T01:54:34Z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0D3E9BDE2882485DA8FD9947BB196F6C</vt:lpwstr>
  </property>
</Properties>
</file>