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line="360" w:lineRule="auto"/>
        <w:ind w:right="0"/>
        <w:jc w:val="both"/>
        <w:textAlignment w:val="auto"/>
        <w:outlineLvl w:val="9"/>
        <w:rPr>
          <w:rFonts w:hint="eastAsia" w:ascii="仿宋" w:hAnsi="仿宋" w:eastAsia="仿宋" w:cs="仿宋"/>
          <w:b/>
          <w:bCs/>
          <w:sz w:val="44"/>
          <w:szCs w:val="44"/>
          <w:highlight w:val="none"/>
          <w:lang w:val="en-US" w:eastAsia="zh-CN"/>
        </w:rPr>
      </w:pP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中国共产党饶河县委员会组织部2018年度</w:t>
      </w:r>
    </w:p>
    <w:p>
      <w:pPr>
        <w:wordWrap/>
        <w:adjustRightInd/>
        <w:snapToGrid/>
        <w:spacing w:line="360" w:lineRule="auto"/>
        <w:ind w:right="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部门决算信息及有关情况说明</w:t>
      </w: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eastAsia="zh-CN"/>
        </w:rPr>
      </w:pP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eastAsia="zh-CN"/>
        </w:rPr>
      </w:pPr>
    </w:p>
    <w:p>
      <w:pPr>
        <w:widowControl/>
        <w:wordWrap/>
        <w:adjustRightInd/>
        <w:snapToGrid/>
        <w:spacing w:line="360" w:lineRule="auto"/>
        <w:ind w:right="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widowControl/>
        <w:numPr>
          <w:ilvl w:val="0"/>
          <w:numId w:val="1"/>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widowControl/>
        <w:numPr>
          <w:ilvl w:val="0"/>
          <w:numId w:val="1"/>
        </w:numPr>
        <w:wordWrap/>
        <w:adjustRightInd/>
        <w:snapToGrid/>
        <w:spacing w:line="360" w:lineRule="auto"/>
        <w:ind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p>
    <w:p>
      <w:pPr>
        <w:wordWrap/>
        <w:adjustRightInd/>
        <w:snapToGrid/>
        <w:spacing w:line="360" w:lineRule="auto"/>
        <w:ind w:right="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val="0"/>
          <w:bCs w:val="0"/>
          <w:sz w:val="30"/>
          <w:szCs w:val="30"/>
          <w:highlight w:val="none"/>
        </w:rPr>
      </w:pPr>
    </w:p>
    <w:p>
      <w:pPr>
        <w:numPr>
          <w:ilvl w:val="0"/>
          <w:numId w:val="2"/>
        </w:numPr>
        <w:wordWrap/>
        <w:adjustRightInd/>
        <w:snapToGrid/>
        <w:spacing w:line="360" w:lineRule="auto"/>
        <w:ind w:right="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numPr>
          <w:ilvl w:val="0"/>
          <w:numId w:val="0"/>
        </w:numPr>
        <w:wordWrap/>
        <w:adjustRightInd/>
        <w:snapToGrid/>
        <w:spacing w:line="360" w:lineRule="auto"/>
        <w:ind w:right="0"/>
        <w:jc w:val="both"/>
        <w:textAlignment w:val="auto"/>
        <w:outlineLvl w:val="9"/>
        <w:rPr>
          <w:rFonts w:hint="eastAsia" w:ascii="仿宋" w:hAnsi="仿宋" w:eastAsia="仿宋" w:cs="仿宋"/>
          <w:b/>
          <w:sz w:val="32"/>
          <w:szCs w:val="32"/>
          <w:highlight w:val="none"/>
          <w:lang w:eastAsia="zh-CN"/>
        </w:rPr>
      </w:pPr>
    </w:p>
    <w:p>
      <w:pPr>
        <w:numPr>
          <w:ilvl w:val="0"/>
          <w:numId w:val="0"/>
        </w:numPr>
        <w:wordWrap/>
        <w:adjustRightInd/>
        <w:snapToGrid/>
        <w:spacing w:line="360" w:lineRule="auto"/>
        <w:ind w:right="0"/>
        <w:jc w:val="both"/>
        <w:textAlignment w:val="auto"/>
        <w:outlineLvl w:val="9"/>
        <w:rPr>
          <w:rFonts w:hint="eastAsia" w:ascii="仿宋" w:hAnsi="仿宋" w:eastAsia="仿宋" w:cs="仿宋"/>
          <w:b/>
          <w:sz w:val="32"/>
          <w:szCs w:val="32"/>
          <w:highlight w:val="none"/>
          <w:lang w:val="en-US" w:eastAsia="zh-CN"/>
        </w:rPr>
      </w:pPr>
    </w:p>
    <w:p>
      <w:pPr>
        <w:numPr>
          <w:ilvl w:val="0"/>
          <w:numId w:val="0"/>
        </w:numPr>
        <w:wordWrap/>
        <w:adjustRightInd/>
        <w:snapToGrid/>
        <w:spacing w:line="360" w:lineRule="auto"/>
        <w:ind w:right="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numPr>
          <w:ilvl w:val="0"/>
          <w:numId w:val="3"/>
        </w:numPr>
        <w:wordWrap/>
        <w:adjustRightInd/>
        <w:snapToGrid/>
        <w:spacing w:line="360" w:lineRule="auto"/>
        <w:ind w:right="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wordWrap/>
        <w:adjustRightInd/>
        <w:snapToGrid/>
        <w:spacing w:line="360" w:lineRule="auto"/>
        <w:ind w:right="0"/>
        <w:textAlignment w:val="auto"/>
        <w:outlineLvl w:val="9"/>
        <w:rPr>
          <w:rFonts w:hint="eastAsia" w:ascii="仿宋" w:hAnsi="仿宋" w:eastAsia="仿宋" w:cs="仿宋"/>
          <w:b/>
          <w:bCs/>
          <w:sz w:val="32"/>
          <w:szCs w:val="32"/>
          <w:highlight w:val="none"/>
        </w:rPr>
      </w:pPr>
    </w:p>
    <w:p>
      <w:pPr>
        <w:numPr>
          <w:ilvl w:val="0"/>
          <w:numId w:val="4"/>
        </w:num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ind w:firstLine="640" w:firstLineChars="200"/>
        <w:rPr>
          <w:rFonts w:hint="eastAsia" w:eastAsia="仿宋_GB2312"/>
          <w:sz w:val="32"/>
        </w:rPr>
      </w:pPr>
      <w:r>
        <w:rPr>
          <w:rFonts w:hint="eastAsia" w:eastAsia="仿宋_GB2312"/>
          <w:sz w:val="32"/>
          <w:lang w:val="en-US" w:eastAsia="zh-CN"/>
        </w:rPr>
        <w:t>1、</w:t>
      </w:r>
      <w:r>
        <w:rPr>
          <w:rFonts w:hint="eastAsia" w:eastAsia="仿宋_GB2312"/>
          <w:sz w:val="32"/>
        </w:rPr>
        <w:t>研究和指导全县党的组织建设工作；提出加强党的组织建设特别是党的基层组织建设工作意见；组织开展党内活动；负责全县党员的管理和发展工作；协调、规划和指导全县党员教育及党员电化教育（现代远程教育）工作。</w:t>
      </w:r>
    </w:p>
    <w:p>
      <w:pPr>
        <w:ind w:firstLine="640" w:firstLineChars="200"/>
        <w:rPr>
          <w:rFonts w:hint="eastAsia" w:eastAsia="仿宋_GB2312"/>
          <w:sz w:val="32"/>
        </w:rPr>
      </w:pPr>
      <w:r>
        <w:rPr>
          <w:rFonts w:hint="eastAsia" w:eastAsia="仿宋_GB2312"/>
          <w:sz w:val="32"/>
        </w:rPr>
        <w:t>2、贯彻执行党的干部路线方针政策，提出县委管理的科级领导班子和领导干部调整配备的意见和建议；组织落实培养选拔年轻干部工作；负责县委管理干部的考察，办理县管干部的任免等手续，指导科级以下领导班子思想政治建设；负责全县干部队伍的宏观管理和部分科级干部的备案审查；掌握县处、科级干部基本信息数据；承办部分干部的调配、交流、出国（境）及安置工作；组织指导全县各级党委、人大、政协、群团机关参照《国家公务员法》管理工作，落实有关制度。</w:t>
      </w:r>
    </w:p>
    <w:p>
      <w:pPr>
        <w:ind w:firstLine="640" w:firstLineChars="200"/>
        <w:rPr>
          <w:rFonts w:hint="eastAsia" w:eastAsia="仿宋_GB2312"/>
          <w:sz w:val="32"/>
        </w:rPr>
      </w:pPr>
      <w:r>
        <w:rPr>
          <w:rFonts w:hint="eastAsia" w:eastAsia="仿宋_GB2312"/>
          <w:sz w:val="32"/>
        </w:rPr>
        <w:t>3、组织学习贯彻执行《党政领导干部选拔任用工作条例》情况检查，对全县选拔任用干部工作和科级领导干部进行监督，及时掌握并向县委反映重要情况，提出有关干部使用建议。</w:t>
      </w:r>
    </w:p>
    <w:p>
      <w:pPr>
        <w:ind w:firstLine="640" w:firstLineChars="200"/>
        <w:rPr>
          <w:rFonts w:hint="eastAsia" w:eastAsia="仿宋_GB2312"/>
          <w:sz w:val="32"/>
        </w:rPr>
      </w:pPr>
      <w:r>
        <w:rPr>
          <w:rFonts w:hint="eastAsia" w:eastAsia="仿宋_GB2312"/>
          <w:sz w:val="32"/>
        </w:rPr>
        <w:t>4、负责全县干部教育工作，制订干部教育规划和实施意见，组织县管干部、科级后备干部和有关干部的培训，协调市管干部调训任务的落实。</w:t>
      </w:r>
    </w:p>
    <w:p>
      <w:pPr>
        <w:ind w:firstLine="640" w:firstLineChars="200"/>
        <w:rPr>
          <w:rFonts w:hint="eastAsia" w:eastAsia="仿宋_GB2312"/>
          <w:sz w:val="32"/>
        </w:rPr>
      </w:pPr>
      <w:r>
        <w:rPr>
          <w:rFonts w:hint="eastAsia" w:eastAsia="仿宋_GB2312"/>
          <w:sz w:val="32"/>
        </w:rPr>
        <w:t>5、研究和指导干部人事制度改革，制订或参与制订有关政策和制度。</w:t>
      </w:r>
    </w:p>
    <w:p>
      <w:pPr>
        <w:ind w:firstLine="640" w:firstLineChars="200"/>
        <w:rPr>
          <w:rFonts w:hint="eastAsia" w:eastAsia="仿宋_GB2312"/>
          <w:sz w:val="32"/>
        </w:rPr>
      </w:pPr>
      <w:r>
        <w:rPr>
          <w:rFonts w:hint="eastAsia" w:eastAsia="仿宋_GB2312"/>
          <w:sz w:val="32"/>
        </w:rPr>
        <w:t>6、负责全县人才工作的指导和协调；选拔、管理县专业技术人才；指导全县优秀人才选拔管理。</w:t>
      </w:r>
    </w:p>
    <w:p>
      <w:pPr>
        <w:ind w:firstLine="640" w:firstLineChars="200"/>
        <w:rPr>
          <w:rFonts w:hint="eastAsia" w:eastAsia="仿宋_GB2312"/>
          <w:sz w:val="32"/>
        </w:rPr>
      </w:pPr>
      <w:r>
        <w:rPr>
          <w:rFonts w:hint="eastAsia" w:eastAsia="仿宋_GB2312"/>
          <w:sz w:val="32"/>
        </w:rPr>
        <w:t>7、负责全县离退休干部工作的宏观管理。</w:t>
      </w:r>
    </w:p>
    <w:p>
      <w:pPr>
        <w:ind w:firstLine="640" w:firstLineChars="200"/>
        <w:rPr>
          <w:rFonts w:hint="eastAsia" w:eastAsia="仿宋_GB2312"/>
          <w:sz w:val="32"/>
        </w:rPr>
      </w:pPr>
      <w:r>
        <w:rPr>
          <w:rFonts w:hint="eastAsia" w:eastAsia="仿宋_GB2312"/>
          <w:sz w:val="32"/>
        </w:rPr>
        <w:t>8、组织和指导全县党的建设和组织工作方面的调查研究，总结、宣传和推广先进经验。</w:t>
      </w:r>
    </w:p>
    <w:p>
      <w:pPr>
        <w:ind w:firstLine="640" w:firstLineChars="200"/>
        <w:rPr>
          <w:rFonts w:hint="eastAsia" w:eastAsia="仿宋_GB2312"/>
          <w:sz w:val="32"/>
        </w:rPr>
      </w:pPr>
      <w:r>
        <w:rPr>
          <w:rFonts w:hint="eastAsia" w:eastAsia="仿宋_GB2312"/>
          <w:sz w:val="32"/>
        </w:rPr>
        <w:t>9、负责全县组织部门自身建设的指导和协调，组织实施全县组织人事干部的培训，提高组工干部的政治业务素质。</w:t>
      </w:r>
    </w:p>
    <w:p>
      <w:pPr>
        <w:ind w:firstLine="640" w:firstLineChars="200"/>
        <w:rPr>
          <w:rFonts w:hint="eastAsia" w:eastAsia="仿宋_GB2312"/>
          <w:sz w:val="32"/>
        </w:rPr>
      </w:pPr>
      <w:r>
        <w:rPr>
          <w:rFonts w:hint="eastAsia" w:eastAsia="仿宋_GB2312"/>
          <w:sz w:val="32"/>
        </w:rPr>
        <w:t>10、负责全县党政领导班子和领导干部实绩认定，目标考评工作。</w:t>
      </w:r>
    </w:p>
    <w:p>
      <w:pPr>
        <w:ind w:firstLine="640" w:firstLineChars="200"/>
        <w:rPr>
          <w:rFonts w:eastAsia="仿宋_GB2312"/>
          <w:sz w:val="32"/>
        </w:rPr>
      </w:pPr>
      <w:r>
        <w:rPr>
          <w:rFonts w:hint="eastAsia" w:eastAsia="仿宋_GB2312"/>
          <w:sz w:val="32"/>
        </w:rPr>
        <w:t>11、完成市委组织部和县委交办的其他任务。</w:t>
      </w:r>
    </w:p>
    <w:p>
      <w:pPr>
        <w:numPr>
          <w:ilvl w:val="0"/>
          <w:numId w:val="4"/>
        </w:num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根据上述职责，县</w:t>
      </w:r>
      <w:r>
        <w:rPr>
          <w:rFonts w:hint="eastAsia" w:ascii="仿宋" w:hAnsi="仿宋" w:eastAsia="仿宋"/>
          <w:sz w:val="32"/>
          <w:szCs w:val="32"/>
          <w:highlight w:val="none"/>
          <w:lang w:val="en-US" w:eastAsia="zh-CN"/>
        </w:rPr>
        <w:t>委组织部</w:t>
      </w:r>
      <w:r>
        <w:rPr>
          <w:rFonts w:hint="eastAsia" w:ascii="仿宋" w:hAnsi="仿宋" w:eastAsia="仿宋"/>
          <w:sz w:val="32"/>
          <w:szCs w:val="32"/>
          <w:highlight w:val="none"/>
        </w:rPr>
        <w:t>设</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个内设机构：</w:t>
      </w:r>
    </w:p>
    <w:p>
      <w:pPr>
        <w:numPr>
          <w:ilvl w:val="0"/>
          <w:numId w:val="5"/>
        </w:numPr>
        <w:spacing w:line="660" w:lineRule="exact"/>
        <w:ind w:firstLine="630"/>
        <w:rPr>
          <w:rFonts w:hint="eastAsia" w:ascii="仿宋" w:hAnsi="仿宋" w:eastAsia="仿宋"/>
          <w:sz w:val="32"/>
          <w:szCs w:val="32"/>
          <w:highlight w:val="none"/>
        </w:rPr>
      </w:pPr>
      <w:r>
        <w:rPr>
          <w:rFonts w:eastAsia="仿宋_GB2312"/>
          <w:sz w:val="32"/>
        </w:rPr>
        <w:t>干部组</w:t>
      </w:r>
      <w:r>
        <w:rPr>
          <w:rFonts w:hint="eastAsia" w:ascii="仿宋" w:hAnsi="仿宋" w:eastAsia="仿宋"/>
          <w:sz w:val="32"/>
          <w:szCs w:val="32"/>
          <w:highlight w:val="none"/>
        </w:rPr>
        <w:t>（二）</w:t>
      </w:r>
      <w:r>
        <w:rPr>
          <w:rFonts w:eastAsia="仿宋_GB2312"/>
          <w:sz w:val="32"/>
        </w:rPr>
        <w:t>干部监督组</w:t>
      </w:r>
      <w:r>
        <w:rPr>
          <w:rFonts w:hint="eastAsia" w:ascii="仿宋" w:hAnsi="仿宋" w:eastAsia="仿宋"/>
          <w:sz w:val="32"/>
          <w:szCs w:val="32"/>
          <w:highlight w:val="none"/>
        </w:rPr>
        <w:t>（三）</w:t>
      </w:r>
      <w:r>
        <w:rPr>
          <w:rFonts w:eastAsia="仿宋_GB2312"/>
          <w:sz w:val="32"/>
        </w:rPr>
        <w:t>考评办</w:t>
      </w:r>
      <w:r>
        <w:rPr>
          <w:rFonts w:hint="eastAsia" w:ascii="仿宋" w:hAnsi="仿宋" w:eastAsia="仿宋"/>
          <w:sz w:val="32"/>
          <w:szCs w:val="32"/>
          <w:highlight w:val="none"/>
        </w:rPr>
        <w:t>（四）</w:t>
      </w:r>
      <w:r>
        <w:rPr>
          <w:rFonts w:eastAsia="仿宋_GB2312"/>
          <w:sz w:val="32"/>
        </w:rPr>
        <w:t>人才办</w:t>
      </w:r>
      <w:r>
        <w:rPr>
          <w:rFonts w:hint="eastAsia" w:ascii="仿宋" w:hAnsi="仿宋" w:eastAsia="仿宋"/>
          <w:sz w:val="32"/>
          <w:szCs w:val="32"/>
          <w:highlight w:val="none"/>
        </w:rPr>
        <w:t>（五）</w:t>
      </w:r>
      <w:r>
        <w:rPr>
          <w:rFonts w:eastAsia="仿宋_GB2312"/>
          <w:sz w:val="32"/>
        </w:rPr>
        <w:t>办公室</w:t>
      </w:r>
      <w:r>
        <w:rPr>
          <w:rFonts w:hint="eastAsia" w:ascii="仿宋" w:hAnsi="仿宋" w:eastAsia="仿宋"/>
          <w:sz w:val="32"/>
          <w:szCs w:val="32"/>
          <w:highlight w:val="none"/>
        </w:rPr>
        <w:t>（六）</w:t>
      </w:r>
      <w:r>
        <w:rPr>
          <w:rFonts w:eastAsia="仿宋_GB2312"/>
          <w:sz w:val="32"/>
        </w:rPr>
        <w:t>组织组</w:t>
      </w:r>
      <w:r>
        <w:rPr>
          <w:rFonts w:hint="eastAsia" w:ascii="仿宋" w:hAnsi="仿宋" w:eastAsia="仿宋"/>
          <w:sz w:val="32"/>
          <w:szCs w:val="32"/>
          <w:highlight w:val="none"/>
        </w:rPr>
        <w:t>（七）</w:t>
      </w:r>
      <w:r>
        <w:rPr>
          <w:rFonts w:eastAsia="仿宋_GB2312"/>
          <w:sz w:val="32"/>
        </w:rPr>
        <w:t>组织员办</w:t>
      </w:r>
      <w:r>
        <w:rPr>
          <w:rFonts w:hint="eastAsia" w:ascii="仿宋" w:hAnsi="仿宋" w:eastAsia="仿宋"/>
          <w:sz w:val="32"/>
          <w:szCs w:val="32"/>
          <w:highlight w:val="none"/>
        </w:rPr>
        <w:t>（八）</w:t>
      </w:r>
      <w:r>
        <w:rPr>
          <w:rFonts w:hint="eastAsia" w:eastAsia="仿宋_GB2312"/>
          <w:sz w:val="32"/>
          <w:lang w:eastAsia="zh-CN"/>
        </w:rPr>
        <w:t>非</w:t>
      </w:r>
      <w:r>
        <w:rPr>
          <w:rFonts w:eastAsia="仿宋_GB2312"/>
          <w:sz w:val="32"/>
        </w:rPr>
        <w:t>公有制经济组织和社会组织工作委员会办公室</w:t>
      </w:r>
      <w:r>
        <w:rPr>
          <w:rFonts w:hint="eastAsia" w:ascii="仿宋" w:hAnsi="仿宋" w:eastAsia="仿宋"/>
          <w:sz w:val="32"/>
          <w:szCs w:val="32"/>
          <w:highlight w:val="none"/>
        </w:rPr>
        <w:t>（九）</w:t>
      </w:r>
      <w:r>
        <w:rPr>
          <w:rFonts w:eastAsia="仿宋_GB2312"/>
          <w:sz w:val="32"/>
        </w:rPr>
        <w:t>党员干部现代远程教育办公室</w:t>
      </w:r>
      <w:r>
        <w:rPr>
          <w:rFonts w:hint="eastAsia" w:eastAsia="仿宋_GB2312"/>
          <w:sz w:val="32"/>
          <w:lang w:eastAsia="zh-CN"/>
        </w:rPr>
        <w:t>（十）公务员办</w:t>
      </w:r>
      <w:r>
        <w:rPr>
          <w:rFonts w:eastAsia="仿宋_GB2312"/>
          <w:sz w:val="32"/>
        </w:rPr>
        <w:t>。</w:t>
      </w:r>
    </w:p>
    <w:p>
      <w:p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rPr>
        <w:t>201</w:t>
      </w:r>
      <w:r>
        <w:rPr>
          <w:rFonts w:hint="eastAsia" w:ascii="仿宋" w:hAnsi="仿宋" w:eastAsia="仿宋" w:cs="仿宋"/>
          <w:color w:val="000000"/>
          <w:kern w:val="0"/>
          <w:sz w:val="30"/>
          <w:szCs w:val="30"/>
          <w:highlight w:val="none"/>
          <w:lang w:val="en-US" w:eastAsia="zh-CN"/>
        </w:rPr>
        <w:t>8</w:t>
      </w:r>
      <w:r>
        <w:rPr>
          <w:rFonts w:hint="eastAsia" w:ascii="仿宋" w:hAnsi="仿宋" w:eastAsia="仿宋" w:cs="仿宋"/>
          <w:color w:val="000000"/>
          <w:kern w:val="0"/>
          <w:sz w:val="30"/>
          <w:szCs w:val="30"/>
          <w:highlight w:val="none"/>
        </w:rPr>
        <w:t>年</w:t>
      </w:r>
      <w:r>
        <w:rPr>
          <w:rFonts w:hint="eastAsia" w:ascii="仿宋" w:hAnsi="仿宋" w:eastAsia="仿宋" w:cs="仿宋"/>
          <w:color w:val="000000"/>
          <w:kern w:val="0"/>
          <w:sz w:val="30"/>
          <w:szCs w:val="30"/>
          <w:highlight w:val="none"/>
          <w:lang w:val="en-US" w:eastAsia="zh-CN"/>
        </w:rPr>
        <w:t>度纳入本</w:t>
      </w:r>
      <w:r>
        <w:rPr>
          <w:rFonts w:hint="eastAsia" w:ascii="仿宋" w:hAnsi="仿宋" w:eastAsia="仿宋" w:cs="仿宋"/>
          <w:color w:val="000000"/>
          <w:kern w:val="0"/>
          <w:sz w:val="30"/>
          <w:szCs w:val="30"/>
          <w:highlight w:val="none"/>
        </w:rPr>
        <w:t>部门</w:t>
      </w:r>
      <w:r>
        <w:rPr>
          <w:rFonts w:hint="eastAsia" w:ascii="仿宋" w:hAnsi="仿宋" w:eastAsia="仿宋" w:cs="仿宋"/>
          <w:color w:val="000000"/>
          <w:kern w:val="0"/>
          <w:sz w:val="30"/>
          <w:szCs w:val="30"/>
          <w:highlight w:val="none"/>
          <w:lang w:val="en-US" w:eastAsia="zh-CN"/>
        </w:rPr>
        <w:t>决算</w:t>
      </w:r>
      <w:r>
        <w:rPr>
          <w:rFonts w:hint="eastAsia" w:ascii="仿宋" w:hAnsi="仿宋" w:eastAsia="仿宋" w:cs="仿宋"/>
          <w:color w:val="000000"/>
          <w:kern w:val="0"/>
          <w:sz w:val="30"/>
          <w:szCs w:val="30"/>
          <w:highlight w:val="none"/>
        </w:rPr>
        <w:t>的编制范围</w:t>
      </w:r>
      <w:r>
        <w:rPr>
          <w:rFonts w:hint="eastAsia" w:ascii="仿宋" w:hAnsi="仿宋" w:eastAsia="仿宋" w:cs="仿宋"/>
          <w:color w:val="000000"/>
          <w:kern w:val="0"/>
          <w:sz w:val="30"/>
          <w:szCs w:val="30"/>
          <w:highlight w:val="none"/>
          <w:lang w:val="en-US" w:eastAsia="zh-CN"/>
        </w:rPr>
        <w:t>的单位有1个，2018年末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19</w:t>
      </w:r>
      <w:r>
        <w:rPr>
          <w:rFonts w:hint="eastAsia" w:ascii="仿宋" w:hAnsi="仿宋" w:eastAsia="仿宋" w:cs="仿宋"/>
          <w:color w:val="auto"/>
          <w:sz w:val="30"/>
          <w:szCs w:val="30"/>
          <w:highlight w:val="none"/>
        </w:rPr>
        <w:t>人，事业编制</w:t>
      </w:r>
      <w:r>
        <w:rPr>
          <w:rFonts w:hint="eastAsia" w:ascii="仿宋" w:hAnsi="仿宋" w:eastAsia="仿宋" w:cs="仿宋"/>
          <w:color w:val="auto"/>
          <w:sz w:val="30"/>
          <w:szCs w:val="30"/>
          <w:highlight w:val="none"/>
          <w:lang w:val="en-US" w:eastAsia="zh-CN"/>
        </w:rPr>
        <w:t>5</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18人，其中：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18</w:t>
      </w:r>
      <w:r>
        <w:rPr>
          <w:rFonts w:hint="eastAsia" w:ascii="仿宋" w:hAnsi="仿宋" w:eastAsia="仿宋" w:cs="仿宋"/>
          <w:color w:val="auto"/>
          <w:sz w:val="30"/>
          <w:szCs w:val="30"/>
          <w:highlight w:val="none"/>
        </w:rPr>
        <w:t>人。</w:t>
      </w:r>
    </w:p>
    <w:p>
      <w:pPr>
        <w:widowControl/>
        <w:wordWrap/>
        <w:adjustRightInd/>
        <w:snapToGrid/>
        <w:spacing w:line="360" w:lineRule="auto"/>
        <w:ind w:right="0" w:firstLine="640"/>
        <w:jc w:val="left"/>
        <w:textAlignment w:val="auto"/>
        <w:outlineLvl w:val="9"/>
        <w:rPr>
          <w:rFonts w:hint="eastAsia" w:ascii="仿宋" w:hAnsi="仿宋" w:eastAsia="仿宋" w:cs="仿宋"/>
          <w:color w:val="auto"/>
          <w:sz w:val="30"/>
          <w:szCs w:val="30"/>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wordWrap/>
        <w:adjustRightInd/>
        <w:snapToGrid/>
        <w:spacing w:line="360" w:lineRule="auto"/>
        <w:ind w:right="0"/>
        <w:jc w:val="left"/>
        <w:textAlignment w:val="auto"/>
        <w:outlineLvl w:val="9"/>
        <w:rPr>
          <w:rFonts w:hint="eastAsia" w:ascii="仿宋" w:hAnsi="仿宋" w:eastAsia="仿宋" w:cs="仿宋"/>
          <w:sz w:val="32"/>
          <w:szCs w:val="32"/>
          <w:highlight w:val="none"/>
        </w:rPr>
      </w:pPr>
    </w:p>
    <w:p>
      <w:pPr>
        <w:widowControl/>
        <w:numPr>
          <w:ilvl w:val="0"/>
          <w:numId w:val="0"/>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326万元，其中：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326</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326</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226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69.33%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一般公共服务支出减少</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326</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226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69.33%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其它组织事务支出减少</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326</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事业收入</w:t>
      </w:r>
      <w:r>
        <w:rPr>
          <w:rFonts w:hint="eastAsia" w:ascii="仿宋" w:hAnsi="仿宋" w:eastAsia="仿宋" w:cs="仿宋"/>
          <w:sz w:val="30"/>
          <w:szCs w:val="30"/>
          <w:highlight w:val="none"/>
          <w:lang w:val="en-US" w:eastAsia="zh-CN"/>
        </w:rPr>
        <w:t>0万元，占0%；</w:t>
      </w:r>
      <w:r>
        <w:rPr>
          <w:rFonts w:hint="eastAsia" w:ascii="仿宋" w:hAnsi="仿宋" w:eastAsia="仿宋" w:cs="仿宋"/>
          <w:sz w:val="30"/>
          <w:szCs w:val="30"/>
          <w:highlight w:val="none"/>
        </w:rPr>
        <w:t>其他收入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326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226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69.33%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其它组织事务支出减少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191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58.6</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135</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41.4</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326</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226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69.33%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其它组织事务支出减少</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widowControl/>
        <w:numPr>
          <w:ilvl w:val="0"/>
          <w:numId w:val="0"/>
        </w:numPr>
        <w:wordWrap/>
        <w:adjustRightInd/>
        <w:snapToGrid/>
        <w:spacing w:line="360" w:lineRule="auto"/>
        <w:ind w:right="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 xml:space="preserve">  （一）一般公共预算财政拨款支出决算总体情况。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326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226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69.33%</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val="en-US" w:eastAsia="zh-CN"/>
        </w:rPr>
        <w:t>其它组织事务支出减少</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326</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252</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77.3</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33</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10.12%；</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33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10.12</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220</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326</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148.2%</w:t>
      </w:r>
      <w:r>
        <w:rPr>
          <w:rFonts w:hint="eastAsia" w:ascii="仿宋" w:hAnsi="仿宋" w:eastAsia="仿宋" w:cs="仿宋"/>
          <w:sz w:val="30"/>
          <w:szCs w:val="30"/>
          <w:highlight w:val="none"/>
        </w:rPr>
        <w:t>。其中：</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220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252万元，完成年初预算的114.5%</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行政事业单位医疗卫生和计划生育支出</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8万元，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33万元，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4、农林水支出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农村综合改革</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对村级一事一议的补助</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5、资源勘探信息等支出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国有资产监管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6、住房保障支出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33万元，</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191</w:t>
      </w:r>
      <w:r>
        <w:rPr>
          <w:rFonts w:hint="eastAsia" w:ascii="仿宋" w:hAnsi="仿宋" w:eastAsia="仿宋" w:cs="仿宋"/>
          <w:sz w:val="30"/>
          <w:szCs w:val="30"/>
          <w:highlight w:val="none"/>
        </w:rPr>
        <w:t>万元，其中：</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179</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12</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2017年减少1万元,主要原因是无三公经费支出。年初预算为0.11万元</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度“三公”经费支出决算数小于预算数的主要原因</w:t>
      </w:r>
      <w:r>
        <w:rPr>
          <w:rFonts w:hint="eastAsia" w:ascii="仿宋" w:hAnsi="仿宋" w:eastAsia="仿宋" w:cs="仿宋"/>
          <w:sz w:val="30"/>
          <w:szCs w:val="30"/>
          <w:highlight w:val="none"/>
          <w:lang w:val="en-US" w:eastAsia="zh-CN"/>
        </w:rPr>
        <w:t>是无三公经费支出。</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b/>
          <w:bCs/>
          <w:sz w:val="30"/>
          <w:szCs w:val="30"/>
          <w:highlight w:val="none"/>
        </w:rPr>
        <w:t>因公出国（境）费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；与上年决算相比，保持不变</w:t>
      </w:r>
      <w:r>
        <w:rPr>
          <w:rFonts w:hint="eastAsia" w:ascii="仿宋" w:hAnsi="仿宋" w:eastAsia="仿宋" w:cs="仿宋"/>
          <w:sz w:val="30"/>
          <w:szCs w:val="30"/>
          <w:highlight w:val="none"/>
          <w:lang w:val="en-US" w:eastAsia="zh-CN"/>
        </w:rPr>
        <w:t>，主要原因是无；</w:t>
      </w:r>
      <w:r>
        <w:rPr>
          <w:rFonts w:hint="eastAsia" w:ascii="仿宋" w:hAnsi="仿宋" w:eastAsia="仿宋" w:cs="仿宋"/>
          <w:sz w:val="30"/>
          <w:szCs w:val="30"/>
          <w:highlight w:val="none"/>
        </w:rPr>
        <w:t>全年安排因公出国（境）团组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个，累计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人次。</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w:t>
      </w: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；与上年决算比减少</w:t>
      </w:r>
      <w:r>
        <w:rPr>
          <w:rFonts w:hint="eastAsia" w:ascii="仿宋" w:hAnsi="仿宋" w:eastAsia="仿宋" w:cs="仿宋"/>
          <w:sz w:val="30"/>
          <w:szCs w:val="30"/>
          <w:highlight w:val="none"/>
          <w:lang w:val="en-US" w:eastAsia="zh-CN"/>
        </w:rPr>
        <w:t>1万元，下降100%，主要原因是无；其中：公务用车购置支出0万元，</w:t>
      </w:r>
      <w:r>
        <w:rPr>
          <w:rFonts w:hint="eastAsia" w:ascii="仿宋" w:hAnsi="仿宋" w:eastAsia="仿宋" w:cs="仿宋"/>
          <w:sz w:val="30"/>
          <w:szCs w:val="30"/>
          <w:highlight w:val="none"/>
          <w:lang w:eastAsia="zh-CN"/>
        </w:rPr>
        <w:t>与上年决算比保持不变</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公务用车购置数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台，公务用车保有量为</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台，</w:t>
      </w:r>
      <w:r>
        <w:rPr>
          <w:rFonts w:hint="eastAsia" w:ascii="仿宋" w:hAnsi="仿宋" w:eastAsia="仿宋" w:cs="仿宋"/>
          <w:sz w:val="30"/>
          <w:szCs w:val="30"/>
          <w:highlight w:val="none"/>
          <w:lang w:val="en-US" w:eastAsia="zh-CN"/>
        </w:rPr>
        <w:t>公务用车运行维护费0万元，</w:t>
      </w:r>
      <w:r>
        <w:rPr>
          <w:rFonts w:hint="eastAsia" w:ascii="仿宋" w:hAnsi="仿宋" w:eastAsia="仿宋" w:cs="仿宋"/>
          <w:sz w:val="30"/>
          <w:szCs w:val="30"/>
          <w:highlight w:val="none"/>
          <w:lang w:eastAsia="zh-CN"/>
        </w:rPr>
        <w:t>与上年决算比减少</w:t>
      </w:r>
      <w:r>
        <w:rPr>
          <w:rFonts w:hint="eastAsia" w:ascii="仿宋" w:hAnsi="仿宋" w:eastAsia="仿宋" w:cs="仿宋"/>
          <w:sz w:val="30"/>
          <w:szCs w:val="30"/>
          <w:highlight w:val="none"/>
          <w:lang w:val="en-US" w:eastAsia="zh-CN"/>
        </w:rPr>
        <w:t>1万元，下降100%</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lang w:val="en-US" w:eastAsia="zh-CN"/>
        </w:rPr>
        <w:t>3、</w:t>
      </w:r>
      <w:r>
        <w:rPr>
          <w:rFonts w:hint="eastAsia" w:ascii="仿宋" w:hAnsi="仿宋" w:eastAsia="仿宋" w:cs="仿宋"/>
          <w:b/>
          <w:bCs/>
          <w:sz w:val="30"/>
          <w:szCs w:val="30"/>
          <w:highlight w:val="none"/>
        </w:rPr>
        <w:t>公务接待费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0.11</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，主要用于</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无；与上年决算比保持不变</w:t>
      </w:r>
      <w:r>
        <w:rPr>
          <w:rFonts w:hint="eastAsia" w:ascii="仿宋" w:hAnsi="仿宋" w:eastAsia="仿宋" w:cs="仿宋"/>
          <w:sz w:val="30"/>
          <w:szCs w:val="30"/>
          <w:highlight w:val="none"/>
          <w:lang w:val="en-US" w:eastAsia="zh-CN"/>
        </w:rPr>
        <w:t>，主要原因是无。</w:t>
      </w:r>
      <w:r>
        <w:rPr>
          <w:rFonts w:hint="eastAsia" w:ascii="仿宋" w:hAnsi="仿宋" w:eastAsia="仿宋" w:cs="仿宋"/>
          <w:sz w:val="30"/>
          <w:szCs w:val="30"/>
          <w:highlight w:val="none"/>
        </w:rPr>
        <w:t>其中：国内公务接待费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万元，国内公务接待批次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个，国内公务接待人次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人；国（境）外公务接待费</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万元，国（境）外公务接待批次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个，国（境）外公务接待人次</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人。</w:t>
      </w:r>
    </w:p>
    <w:p>
      <w:pPr>
        <w:widowControl/>
        <w:numPr>
          <w:ilvl w:val="0"/>
          <w:numId w:val="0"/>
        </w:numPr>
        <w:wordWrap/>
        <w:adjustRightInd/>
        <w:snapToGrid/>
        <w:spacing w:line="360" w:lineRule="auto"/>
        <w:ind w:right="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八、政府性基金预算财政拨款收入支出决算情况说明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度政府性基金预算财政拨款年初结转和结余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万元，本年收入决算数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万元，年末结转和结余</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年相比，政府性基金预算财政拨款支出增加</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万元，主要原因是</w:t>
      </w:r>
      <w:r>
        <w:rPr>
          <w:rFonts w:hint="eastAsia" w:ascii="仿宋" w:hAnsi="仿宋" w:eastAsia="仿宋" w:cs="仿宋"/>
          <w:sz w:val="30"/>
          <w:szCs w:val="30"/>
          <w:highlight w:val="none"/>
          <w:lang w:eastAsia="zh-CN"/>
        </w:rPr>
        <w:t>无。</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0万元</w:t>
      </w:r>
      <w:r>
        <w:rPr>
          <w:rFonts w:hint="eastAsia" w:ascii="仿宋" w:hAnsi="仿宋" w:eastAsia="仿宋" w:cs="仿宋"/>
          <w:sz w:val="30"/>
          <w:szCs w:val="30"/>
          <w:highlight w:val="none"/>
          <w:lang w:eastAsia="zh-CN"/>
        </w:rPr>
        <w:t>。</w:t>
      </w:r>
    </w:p>
    <w:p>
      <w:pPr>
        <w:widowControl/>
        <w:numPr>
          <w:ilvl w:val="0"/>
          <w:numId w:val="6"/>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widowControl/>
        <w:numPr>
          <w:ilvl w:val="0"/>
          <w:numId w:val="0"/>
        </w:numPr>
        <w:wordWrap/>
        <w:adjustRightInd/>
        <w:snapToGrid/>
        <w:spacing w:line="360" w:lineRule="auto"/>
        <w:ind w:right="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0"/>
          <w:szCs w:val="30"/>
          <w:highlight w:val="none"/>
          <w:lang w:val="en-US" w:eastAsia="zh-CN"/>
        </w:rPr>
        <w:t>XXX</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widowControl/>
        <w:numPr>
          <w:ilvl w:val="0"/>
          <w:numId w:val="0"/>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widowControl/>
        <w:numPr>
          <w:ilvl w:val="0"/>
          <w:numId w:val="0"/>
        </w:numPr>
        <w:wordWrap/>
        <w:adjustRightInd/>
        <w:snapToGrid/>
        <w:spacing w:line="360" w:lineRule="auto"/>
        <w:ind w:leftChars="0" w:right="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12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较年初预算增加</w:t>
      </w:r>
      <w:r>
        <w:rPr>
          <w:rFonts w:hint="eastAsia" w:ascii="仿宋" w:hAnsi="仿宋" w:eastAsia="仿宋" w:cs="仿宋"/>
          <w:sz w:val="30"/>
          <w:szCs w:val="30"/>
          <w:highlight w:val="none"/>
          <w:lang w:val="en-US" w:eastAsia="zh-CN"/>
        </w:rPr>
        <w:t>5万元，增长71.43%，主要原因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同比下降</w:t>
      </w:r>
      <w:r>
        <w:rPr>
          <w:rFonts w:hint="eastAsia" w:ascii="仿宋" w:hAnsi="仿宋" w:eastAsia="仿宋" w:cs="仿宋"/>
          <w:sz w:val="30"/>
          <w:szCs w:val="30"/>
          <w:highlight w:val="none"/>
          <w:lang w:val="en-US" w:eastAsia="zh-CN"/>
        </w:rPr>
        <w:t>8.3</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主要原因是：压缩公用经费支出</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widowControl/>
        <w:numPr>
          <w:ilvl w:val="0"/>
          <w:numId w:val="0"/>
        </w:numPr>
        <w:wordWrap/>
        <w:adjustRightInd/>
        <w:snapToGrid/>
        <w:spacing w:line="360" w:lineRule="auto"/>
        <w:ind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本部门政府采购支出总额</w:t>
      </w:r>
      <w:r>
        <w:rPr>
          <w:rFonts w:hint="eastAsia" w:ascii="仿宋" w:hAnsi="仿宋" w:eastAsia="仿宋" w:cs="仿宋"/>
          <w:sz w:val="30"/>
          <w:szCs w:val="30"/>
          <w:highlight w:val="none"/>
          <w:lang w:val="en-US" w:eastAsia="zh-CN"/>
        </w:rPr>
        <w:t>20.07</w:t>
      </w:r>
      <w:r>
        <w:rPr>
          <w:rFonts w:hint="eastAsia" w:ascii="仿宋" w:hAnsi="仿宋" w:eastAsia="仿宋" w:cs="仿宋"/>
          <w:sz w:val="30"/>
          <w:szCs w:val="30"/>
          <w:highlight w:val="none"/>
        </w:rPr>
        <w:t>万元，其中：政府采购货物支出</w:t>
      </w:r>
      <w:r>
        <w:rPr>
          <w:rFonts w:hint="eastAsia" w:ascii="仿宋" w:hAnsi="仿宋" w:eastAsia="仿宋" w:cs="仿宋"/>
          <w:sz w:val="30"/>
          <w:szCs w:val="30"/>
          <w:highlight w:val="none"/>
          <w:lang w:val="en-US" w:eastAsia="zh-CN"/>
        </w:rPr>
        <w:t>20.07</w:t>
      </w:r>
      <w:r>
        <w:rPr>
          <w:rFonts w:hint="eastAsia" w:ascii="仿宋" w:hAnsi="仿宋" w:eastAsia="仿宋" w:cs="仿宋"/>
          <w:sz w:val="30"/>
          <w:szCs w:val="30"/>
          <w:highlight w:val="none"/>
        </w:rPr>
        <w:t>万元、政府采购工程支出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万元、政府采购服务支出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widowControl/>
        <w:numPr>
          <w:ilvl w:val="0"/>
          <w:numId w:val="0"/>
        </w:numPr>
        <w:wordWrap/>
        <w:adjustRightInd/>
        <w:snapToGrid/>
        <w:spacing w:line="360" w:lineRule="auto"/>
        <w:ind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副部（省）级及以上领导用车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辆、主要领导干部用车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辆、机要通信用车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应急保障用车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辆、执法执勤用车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辆、特种专业技术用车</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、离退休干部用车</w:t>
      </w:r>
      <w:r>
        <w:rPr>
          <w:rFonts w:hint="eastAsia" w:ascii="仿宋" w:hAnsi="仿宋" w:eastAsia="仿宋" w:cs="仿宋"/>
          <w:sz w:val="30"/>
          <w:szCs w:val="30"/>
          <w:highlight w:val="none"/>
          <w:lang w:val="en-US" w:eastAsia="zh-CN"/>
        </w:rPr>
        <w:t>0辆，</w:t>
      </w:r>
      <w:r>
        <w:rPr>
          <w:rFonts w:hint="eastAsia" w:ascii="仿宋" w:hAnsi="仿宋" w:eastAsia="仿宋" w:cs="仿宋"/>
          <w:sz w:val="30"/>
          <w:szCs w:val="30"/>
          <w:highlight w:val="none"/>
        </w:rPr>
        <w:t>其他用车</w:t>
      </w:r>
      <w:r>
        <w:rPr>
          <w:rFonts w:hint="eastAsia" w:ascii="仿宋" w:hAnsi="仿宋" w:eastAsia="仿宋" w:cs="仿宋"/>
          <w:sz w:val="30"/>
          <w:szCs w:val="30"/>
          <w:highlight w:val="none"/>
          <w:lang w:val="en-US" w:eastAsia="zh-CN"/>
        </w:rPr>
        <w:t>5</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单价</w:t>
      </w:r>
      <w:r>
        <w:rPr>
          <w:rFonts w:hint="eastAsia" w:ascii="仿宋" w:hAnsi="仿宋" w:eastAsia="仿宋" w:cs="仿宋"/>
          <w:sz w:val="30"/>
          <w:szCs w:val="30"/>
          <w:highlight w:val="none"/>
          <w:lang w:val="en-US" w:eastAsia="zh-CN"/>
        </w:rPr>
        <w:t>50</w:t>
      </w:r>
      <w:r>
        <w:rPr>
          <w:rFonts w:hint="eastAsia" w:ascii="仿宋" w:hAnsi="仿宋" w:eastAsia="仿宋" w:cs="仿宋"/>
          <w:sz w:val="30"/>
          <w:szCs w:val="30"/>
          <w:highlight w:val="none"/>
        </w:rPr>
        <w:t>万元以上通用设备</w:t>
      </w:r>
      <w:r>
        <w:rPr>
          <w:rFonts w:hint="eastAsia" w:ascii="仿宋" w:hAnsi="仿宋" w:eastAsia="仿宋" w:cs="仿宋"/>
          <w:sz w:val="30"/>
          <w:szCs w:val="30"/>
          <w:highlight w:val="none"/>
          <w:lang w:val="en-US" w:eastAsia="zh-CN"/>
        </w:rPr>
        <w:t>0台</w:t>
      </w:r>
      <w:r>
        <w:rPr>
          <w:rFonts w:hint="eastAsia" w:ascii="仿宋" w:hAnsi="仿宋" w:eastAsia="仿宋" w:cs="仿宋"/>
          <w:sz w:val="30"/>
          <w:szCs w:val="30"/>
          <w:highlight w:val="none"/>
        </w:rPr>
        <w:t>(套)，单价</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万元以上专用设备</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台(套)。</w:t>
      </w: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wordWrap/>
        <w:adjustRightInd/>
        <w:snapToGrid/>
        <w:spacing w:line="360" w:lineRule="auto"/>
        <w:ind w:right="0"/>
        <w:textAlignment w:val="auto"/>
        <w:outlineLvl w:val="9"/>
        <w:rPr>
          <w:rFonts w:hint="eastAsia" w:ascii="仿宋" w:hAnsi="仿宋" w:eastAsia="仿宋" w:cs="仿宋"/>
          <w:sz w:val="30"/>
          <w:szCs w:val="30"/>
          <w:highlight w:val="none"/>
        </w:rPr>
      </w:pPr>
    </w:p>
    <w:p>
      <w:pPr>
        <w:wordWrap/>
        <w:adjustRightInd/>
        <w:snapToGrid/>
        <w:spacing w:line="360" w:lineRule="auto"/>
        <w:ind w:right="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wordWrap/>
        <w:adjustRightInd/>
        <w:snapToGrid/>
        <w:spacing w:line="360" w:lineRule="auto"/>
        <w:ind w:right="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widowControl/>
        <w:wordWrap/>
        <w:adjustRightInd/>
        <w:snapToGrid/>
        <w:spacing w:line="360" w:lineRule="auto"/>
        <w:ind w:right="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widowControl/>
        <w:wordWrap/>
        <w:adjustRightInd/>
        <w:snapToGrid/>
        <w:spacing w:line="360" w:lineRule="auto"/>
        <w:ind w:right="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widowControl/>
        <w:wordWrap/>
        <w:adjustRightInd/>
        <w:snapToGrid/>
        <w:spacing w:line="360" w:lineRule="auto"/>
        <w:ind w:right="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val="en-US" w:eastAsia="zh-CN"/>
        </w:rPr>
        <w:t>安排</w:t>
      </w:r>
      <w:bookmarkStart w:id="0" w:name="_GoBack"/>
      <w:bookmarkEnd w:id="0"/>
      <w:r>
        <w:rPr>
          <w:rFonts w:hint="eastAsia" w:ascii="仿宋" w:hAnsi="仿宋" w:eastAsia="仿宋" w:cs="仿宋"/>
          <w:bCs/>
          <w:color w:val="111111"/>
          <w:kern w:val="0"/>
          <w:sz w:val="30"/>
          <w:szCs w:val="30"/>
          <w:highlight w:val="none"/>
        </w:rPr>
        <w:t>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highlight w:val="none"/>
        </w:rPr>
      </w:pPr>
      <w:r>
        <w:rPr>
          <w:rFonts w:hint="eastAsia" w:ascii="仿宋" w:hAnsi="仿宋" w:eastAsia="仿宋" w:cs="仿宋"/>
          <w:bCs/>
          <w:color w:val="111111"/>
          <w:kern w:val="0"/>
          <w:sz w:val="30"/>
          <w:szCs w:val="30"/>
          <w:highlight w:val="none"/>
        </w:rPr>
        <w:t>政府性基金预算财政拨款收入支出决算表</w:t>
      </w: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5DA40D85"/>
    <w:multiLevelType w:val="singleLevel"/>
    <w:tmpl w:val="5DA40D85"/>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MDcyNWU5NWQ5NzdiYjc2NTg0MzQwNTM4MWFjMWQifQ=="/>
  </w:docVars>
  <w:rsids>
    <w:rsidRoot w:val="141522A4"/>
    <w:rsid w:val="002C11C4"/>
    <w:rsid w:val="004D28BB"/>
    <w:rsid w:val="008557E7"/>
    <w:rsid w:val="009C25F6"/>
    <w:rsid w:val="016753BE"/>
    <w:rsid w:val="01B0087E"/>
    <w:rsid w:val="02056C4D"/>
    <w:rsid w:val="023F13DB"/>
    <w:rsid w:val="026066D5"/>
    <w:rsid w:val="029224CF"/>
    <w:rsid w:val="032D5CC6"/>
    <w:rsid w:val="03456C94"/>
    <w:rsid w:val="036A7041"/>
    <w:rsid w:val="0372233B"/>
    <w:rsid w:val="037D750B"/>
    <w:rsid w:val="03CD392E"/>
    <w:rsid w:val="04101647"/>
    <w:rsid w:val="048925D2"/>
    <w:rsid w:val="04DF25D8"/>
    <w:rsid w:val="058F3CD4"/>
    <w:rsid w:val="05AD38F6"/>
    <w:rsid w:val="061D3241"/>
    <w:rsid w:val="06265BAD"/>
    <w:rsid w:val="064E79FF"/>
    <w:rsid w:val="069F376C"/>
    <w:rsid w:val="06EE4F18"/>
    <w:rsid w:val="07142C3A"/>
    <w:rsid w:val="072041B7"/>
    <w:rsid w:val="075B29A0"/>
    <w:rsid w:val="07874C92"/>
    <w:rsid w:val="078A174A"/>
    <w:rsid w:val="084670B2"/>
    <w:rsid w:val="0894421E"/>
    <w:rsid w:val="08A3498B"/>
    <w:rsid w:val="08F04202"/>
    <w:rsid w:val="090E785C"/>
    <w:rsid w:val="092248D9"/>
    <w:rsid w:val="09324670"/>
    <w:rsid w:val="093B0FC9"/>
    <w:rsid w:val="09561265"/>
    <w:rsid w:val="099C4029"/>
    <w:rsid w:val="09B50255"/>
    <w:rsid w:val="09E539AA"/>
    <w:rsid w:val="0A11221C"/>
    <w:rsid w:val="0A220A86"/>
    <w:rsid w:val="0ABC48D5"/>
    <w:rsid w:val="0ACA3F20"/>
    <w:rsid w:val="0B3324B9"/>
    <w:rsid w:val="0B65121C"/>
    <w:rsid w:val="0B810CED"/>
    <w:rsid w:val="0BC654D1"/>
    <w:rsid w:val="0CD159E4"/>
    <w:rsid w:val="0D246A78"/>
    <w:rsid w:val="0D410992"/>
    <w:rsid w:val="0D5E7D65"/>
    <w:rsid w:val="0DA11FD2"/>
    <w:rsid w:val="0E1A3CAC"/>
    <w:rsid w:val="0E7C659C"/>
    <w:rsid w:val="10655A3A"/>
    <w:rsid w:val="111937AD"/>
    <w:rsid w:val="124A2012"/>
    <w:rsid w:val="128E198C"/>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7E5DFC"/>
    <w:rsid w:val="19AC136C"/>
    <w:rsid w:val="1A2C2747"/>
    <w:rsid w:val="1A8E2AE4"/>
    <w:rsid w:val="1AC3059F"/>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1F573EFF"/>
    <w:rsid w:val="1F5D7D23"/>
    <w:rsid w:val="2064671C"/>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5FA1C07"/>
    <w:rsid w:val="26241031"/>
    <w:rsid w:val="262D370B"/>
    <w:rsid w:val="26B10EFE"/>
    <w:rsid w:val="277C33F5"/>
    <w:rsid w:val="27AA352E"/>
    <w:rsid w:val="28080359"/>
    <w:rsid w:val="281F6D2A"/>
    <w:rsid w:val="28415CB2"/>
    <w:rsid w:val="284819BC"/>
    <w:rsid w:val="284B04E0"/>
    <w:rsid w:val="285C7260"/>
    <w:rsid w:val="293B5244"/>
    <w:rsid w:val="296524ED"/>
    <w:rsid w:val="2A675CA6"/>
    <w:rsid w:val="2B2D1149"/>
    <w:rsid w:val="2BD33C97"/>
    <w:rsid w:val="2C2439A5"/>
    <w:rsid w:val="2D8B3C93"/>
    <w:rsid w:val="2DAE3606"/>
    <w:rsid w:val="2F494622"/>
    <w:rsid w:val="2F574F68"/>
    <w:rsid w:val="2FA56B72"/>
    <w:rsid w:val="2FA8566D"/>
    <w:rsid w:val="2FF44D1F"/>
    <w:rsid w:val="301E1A57"/>
    <w:rsid w:val="305A001C"/>
    <w:rsid w:val="30D01C13"/>
    <w:rsid w:val="312D1038"/>
    <w:rsid w:val="31431466"/>
    <w:rsid w:val="31B12627"/>
    <w:rsid w:val="31B14F25"/>
    <w:rsid w:val="31B55B7A"/>
    <w:rsid w:val="32117BFA"/>
    <w:rsid w:val="33240933"/>
    <w:rsid w:val="33A52EDF"/>
    <w:rsid w:val="33B00D4E"/>
    <w:rsid w:val="33B30709"/>
    <w:rsid w:val="33D52F52"/>
    <w:rsid w:val="342D1FD0"/>
    <w:rsid w:val="347F1DF5"/>
    <w:rsid w:val="348148BB"/>
    <w:rsid w:val="349E4F95"/>
    <w:rsid w:val="34C60003"/>
    <w:rsid w:val="352F39C0"/>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1D5EFF"/>
    <w:rsid w:val="3A7817E8"/>
    <w:rsid w:val="3B560162"/>
    <w:rsid w:val="3B6067D0"/>
    <w:rsid w:val="3B671479"/>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0CC4C3A"/>
    <w:rsid w:val="41452265"/>
    <w:rsid w:val="41526B08"/>
    <w:rsid w:val="419732B8"/>
    <w:rsid w:val="42BD15F0"/>
    <w:rsid w:val="42C0261B"/>
    <w:rsid w:val="42DB5F60"/>
    <w:rsid w:val="432C4E68"/>
    <w:rsid w:val="43342B06"/>
    <w:rsid w:val="43662F63"/>
    <w:rsid w:val="436918DA"/>
    <w:rsid w:val="43B27D33"/>
    <w:rsid w:val="45114AD5"/>
    <w:rsid w:val="454D033D"/>
    <w:rsid w:val="454D1830"/>
    <w:rsid w:val="455C498F"/>
    <w:rsid w:val="456626DA"/>
    <w:rsid w:val="457E5F6B"/>
    <w:rsid w:val="45E74DB9"/>
    <w:rsid w:val="461328F3"/>
    <w:rsid w:val="469D50B4"/>
    <w:rsid w:val="469F2AFB"/>
    <w:rsid w:val="4752048D"/>
    <w:rsid w:val="47DD067F"/>
    <w:rsid w:val="47E7503F"/>
    <w:rsid w:val="480B68BA"/>
    <w:rsid w:val="481C5784"/>
    <w:rsid w:val="48E37E88"/>
    <w:rsid w:val="490A248A"/>
    <w:rsid w:val="493B4F8E"/>
    <w:rsid w:val="49F10D10"/>
    <w:rsid w:val="4A7F6176"/>
    <w:rsid w:val="4B292024"/>
    <w:rsid w:val="4B6F38E8"/>
    <w:rsid w:val="4BF91344"/>
    <w:rsid w:val="4C510AF8"/>
    <w:rsid w:val="4C771B75"/>
    <w:rsid w:val="4C8A5DA2"/>
    <w:rsid w:val="4CE65541"/>
    <w:rsid w:val="4DFF3087"/>
    <w:rsid w:val="4E0F02B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3FE66A6"/>
    <w:rsid w:val="54664DFC"/>
    <w:rsid w:val="547218BE"/>
    <w:rsid w:val="55283B75"/>
    <w:rsid w:val="5533174C"/>
    <w:rsid w:val="55750B95"/>
    <w:rsid w:val="55FD2C9C"/>
    <w:rsid w:val="56AE6DA8"/>
    <w:rsid w:val="56BF45D7"/>
    <w:rsid w:val="576611FC"/>
    <w:rsid w:val="57744A4E"/>
    <w:rsid w:val="57E32236"/>
    <w:rsid w:val="58091D99"/>
    <w:rsid w:val="58AF2417"/>
    <w:rsid w:val="58B77229"/>
    <w:rsid w:val="595C25FA"/>
    <w:rsid w:val="59857969"/>
    <w:rsid w:val="59F87D38"/>
    <w:rsid w:val="5A2439BE"/>
    <w:rsid w:val="5A3E437B"/>
    <w:rsid w:val="5A693D23"/>
    <w:rsid w:val="5A6B5A90"/>
    <w:rsid w:val="5B39175A"/>
    <w:rsid w:val="5B50022A"/>
    <w:rsid w:val="5B6E0495"/>
    <w:rsid w:val="5C603064"/>
    <w:rsid w:val="5C7A28AC"/>
    <w:rsid w:val="5CDC3175"/>
    <w:rsid w:val="5D08445B"/>
    <w:rsid w:val="5D6B2104"/>
    <w:rsid w:val="5D9C411E"/>
    <w:rsid w:val="5DBA78EB"/>
    <w:rsid w:val="5DD5494D"/>
    <w:rsid w:val="5E205D02"/>
    <w:rsid w:val="5E326634"/>
    <w:rsid w:val="5EC53E9C"/>
    <w:rsid w:val="5ECE087A"/>
    <w:rsid w:val="5EF01A3F"/>
    <w:rsid w:val="5F070739"/>
    <w:rsid w:val="5F3C4F00"/>
    <w:rsid w:val="601310E5"/>
    <w:rsid w:val="601C7D6A"/>
    <w:rsid w:val="606B1DA7"/>
    <w:rsid w:val="606D372C"/>
    <w:rsid w:val="60FB2217"/>
    <w:rsid w:val="612D4AD1"/>
    <w:rsid w:val="61916FE3"/>
    <w:rsid w:val="61BC32CB"/>
    <w:rsid w:val="620D1316"/>
    <w:rsid w:val="62630CA1"/>
    <w:rsid w:val="626A0CEB"/>
    <w:rsid w:val="62974C19"/>
    <w:rsid w:val="62FF022C"/>
    <w:rsid w:val="63144422"/>
    <w:rsid w:val="631B68BB"/>
    <w:rsid w:val="63441D54"/>
    <w:rsid w:val="63D20DE4"/>
    <w:rsid w:val="640006FF"/>
    <w:rsid w:val="64636829"/>
    <w:rsid w:val="64D83620"/>
    <w:rsid w:val="64E35DF7"/>
    <w:rsid w:val="65505D1E"/>
    <w:rsid w:val="657D0288"/>
    <w:rsid w:val="658855F7"/>
    <w:rsid w:val="65924E36"/>
    <w:rsid w:val="66180DDE"/>
    <w:rsid w:val="668D7F58"/>
    <w:rsid w:val="66A30172"/>
    <w:rsid w:val="66BB423A"/>
    <w:rsid w:val="67697A12"/>
    <w:rsid w:val="681A17A6"/>
    <w:rsid w:val="686D0D06"/>
    <w:rsid w:val="688C1E4B"/>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66A36"/>
    <w:rsid w:val="6FB963DE"/>
    <w:rsid w:val="6FF40766"/>
    <w:rsid w:val="70310EB8"/>
    <w:rsid w:val="71803E8D"/>
    <w:rsid w:val="71B7411E"/>
    <w:rsid w:val="71D37919"/>
    <w:rsid w:val="72325C91"/>
    <w:rsid w:val="72DE3D50"/>
    <w:rsid w:val="730A224B"/>
    <w:rsid w:val="7366480B"/>
    <w:rsid w:val="73945713"/>
    <w:rsid w:val="7439147C"/>
    <w:rsid w:val="743B1C78"/>
    <w:rsid w:val="74492A3A"/>
    <w:rsid w:val="755D0190"/>
    <w:rsid w:val="7569271E"/>
    <w:rsid w:val="75BE6124"/>
    <w:rsid w:val="75C475DB"/>
    <w:rsid w:val="75E406CC"/>
    <w:rsid w:val="76B41149"/>
    <w:rsid w:val="770254C6"/>
    <w:rsid w:val="77EC3589"/>
    <w:rsid w:val="77FD2102"/>
    <w:rsid w:val="788A035B"/>
    <w:rsid w:val="79256D0D"/>
    <w:rsid w:val="799A1446"/>
    <w:rsid w:val="7A3A52C0"/>
    <w:rsid w:val="7B483738"/>
    <w:rsid w:val="7BD06401"/>
    <w:rsid w:val="7C9B09F8"/>
    <w:rsid w:val="7D2865F7"/>
    <w:rsid w:val="7D456302"/>
    <w:rsid w:val="7D5B6D22"/>
    <w:rsid w:val="7DC032B1"/>
    <w:rsid w:val="7EFE21F5"/>
    <w:rsid w:val="7F3948E4"/>
    <w:rsid w:val="7FB06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hhh</cp:lastModifiedBy>
  <cp:lastPrinted>2018-10-11T04:40:00Z</cp:lastPrinted>
  <dcterms:modified xsi:type="dcterms:W3CDTF">2024-03-14T06:33:59Z</dcterms:modified>
  <dc:title>中共饶河县委组织部2018年度部门决算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A78832B0E1DD43829ACF2C9636C0825B_13</vt:lpwstr>
  </property>
</Properties>
</file>