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中国共产党饶河县政法委员会2018年度</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 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snapToGrid/>
          <w:sz w:val="32"/>
          <w:szCs w:val="32"/>
        </w:rPr>
      </w:pPr>
      <w:r>
        <w:rPr>
          <w:rFonts w:hint="eastAsia" w:ascii="仿宋" w:hAnsi="仿宋" w:eastAsia="仿宋" w:cs="仿宋"/>
          <w:b/>
          <w:bCs/>
          <w:sz w:val="32"/>
          <w:szCs w:val="32"/>
          <w:highlight w:val="none"/>
        </w:rPr>
        <w:t>部门职责</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snapToGrid/>
          <w:sz w:val="32"/>
          <w:szCs w:val="32"/>
        </w:rPr>
        <w:t>1、根据党中央的路线、方针、政策和县委的部署，统一政法各部门的思想和行动。</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2、研究、制定全县政法工作的方针、政策、及时向县委提出建议；对全县的政法工作做出全局性部署，并负责督促检查，抓好贯彻落实。</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3、组织协调指导全县维护社会稳定的工作。</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4、检查全县政法部门执行法律法规和党的方针、政策情况，结合实际，研究制定严肃执法、落实党的方针、政策的具体措施。</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5、大力支持和严格监督全县政法各部门依法行使职权，指导和协调全县政法各部门在依法相互制约的同时，密切配合，督促、推动大案要案的查处工作，研究和协调有争议的重大、疑难案件。</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6、组织、协调全县社会治安综合治理工作，推动各项措施的落实。</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7、组织推动政法战线的调查研究工作，总结新经验，解决新问题，探索政法工作改革，通过改革进一步加强政法工作。</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8、研究加强政法队伍建设和领导班子建设的措施，协助县委及其组织部门考察、管理同级政法部门的领导干部。</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9、负责有关防范和处理法轮功问题和其他邪教及对社会有危害的气功组织问题的调查处理，分析形势，总结工作经验，研究工作规律，为保持全县社会政治稳定提出意见和建议，承担县委处理法轮功问题领导小组日常工作。</w:t>
      </w:r>
      <w:r>
        <w:rPr>
          <w:rFonts w:hint="eastAsia" w:ascii="仿宋" w:hAnsi="仿宋" w:eastAsia="仿宋" w:cs="仿宋"/>
          <w:snapToGrid/>
          <w:sz w:val="32"/>
          <w:szCs w:val="32"/>
        </w:rPr>
        <w:br w:type="textWrapping"/>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10、办理县委和上级政法委员会交办的其他事项。</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sz w:val="32"/>
          <w:szCs w:val="32"/>
          <w:highlight w:val="none"/>
          <w:lang w:val="en-US" w:eastAsia="zh-CN"/>
        </w:rPr>
        <w:t xml:space="preserve">   </w:t>
      </w: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rPr>
        <w:t>根据上述职责，政法委</w:t>
      </w:r>
      <w:r>
        <w:rPr>
          <w:rFonts w:hint="eastAsia" w:ascii="仿宋" w:hAnsi="仿宋" w:eastAsia="仿宋" w:cs="仿宋"/>
          <w:snapToGrid/>
          <w:sz w:val="32"/>
          <w:szCs w:val="32"/>
          <w:lang w:eastAsia="zh-CN"/>
        </w:rPr>
        <w:t>设立五个内设机构：</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val="en-US" w:eastAsia="zh-CN"/>
        </w:rPr>
        <w:t xml:space="preserve">    </w:t>
      </w:r>
      <w:r>
        <w:rPr>
          <w:rFonts w:hint="eastAsia" w:ascii="仿宋" w:hAnsi="仿宋" w:eastAsia="仿宋" w:cs="仿宋"/>
          <w:snapToGrid/>
          <w:sz w:val="32"/>
          <w:szCs w:val="32"/>
          <w:lang w:eastAsia="zh-CN"/>
        </w:rPr>
        <w:t>（一）办公室</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负责机关内外的工作联系与综合协调工作。</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（二）县委维护社会稳定领导小组办公室</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负责组织并参与维护稳定工作的调查研究，了解掌握全县社会稳定工作情况。</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（三）县社会管理综合治理委员会办公室</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掌握全县社会管理综合治理和进展情况，对全县综合治理工作部署提出方案；组织推动各乡镇、各部门参与综合治理，总结交流推广经验；负责联系县综治委成员单位开展综合治理工作。</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（四）执法督查督办办公室</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负责督促、检查政法工作方针、政策和各项工作部署的贯彻落实工作。</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（五）政治处</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napToGrid/>
          <w:sz w:val="32"/>
          <w:szCs w:val="32"/>
          <w:lang w:eastAsia="zh-CN"/>
        </w:rPr>
      </w:pPr>
      <w:r>
        <w:rPr>
          <w:rFonts w:hint="eastAsia" w:ascii="仿宋" w:hAnsi="仿宋" w:eastAsia="仿宋" w:cs="仿宋"/>
          <w:snapToGrid/>
          <w:sz w:val="32"/>
          <w:szCs w:val="32"/>
          <w:lang w:eastAsia="zh-CN"/>
        </w:rPr>
        <w:t>　　制定政法部门党的建设规划，并督促实施；适时提出加强和改进政法系统思想政治工作的对策措施，指导和协调政法部门思想政治工作。</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的单位有1个，为2018年末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13</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13人，其中：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274万元，其中：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137</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137</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8.67%</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137</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8.67%</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rPr>
        <w:t>财政拨款收入</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8.67%</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131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95.62</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4.38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274</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13</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8.67</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eastAsia="zh-CN"/>
        </w:rPr>
        <w:t>强化机关日常节约，合理控制文印，严格控制公务支出</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 xml:space="preserve">    （一）一般公共预算财政拨款支出决算总体情况。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13</w:t>
      </w:r>
      <w:r>
        <w:rPr>
          <w:rFonts w:hint="eastAsia" w:ascii="仿宋" w:hAnsi="仿宋" w:eastAsia="仿宋" w:cs="仿宋"/>
          <w:color w:val="auto"/>
          <w:sz w:val="30"/>
          <w:szCs w:val="30"/>
          <w:highlight w:val="none"/>
        </w:rPr>
        <w:t>万元</w:t>
      </w:r>
      <w:r>
        <w:rPr>
          <w:rFonts w:hint="eastAsia" w:ascii="仿宋" w:hAnsi="仿宋" w:eastAsia="仿宋" w:cs="仿宋"/>
          <w:sz w:val="30"/>
          <w:szCs w:val="30"/>
          <w:highlight w:val="none"/>
          <w:lang w:val="en-US" w:eastAsia="zh-CN"/>
        </w:rPr>
        <w:t>，</w:t>
      </w:r>
      <w:r>
        <w:rPr>
          <w:rFonts w:hint="eastAsia" w:ascii="仿宋" w:hAnsi="仿宋" w:eastAsia="仿宋" w:cs="仿宋"/>
          <w:color w:val="auto"/>
          <w:sz w:val="30"/>
          <w:szCs w:val="30"/>
          <w:highlight w:val="none"/>
          <w:lang w:eastAsia="zh-CN"/>
        </w:rPr>
        <w:t>减少</w:t>
      </w:r>
      <w:r>
        <w:rPr>
          <w:rFonts w:hint="eastAsia" w:ascii="仿宋" w:hAnsi="仿宋" w:eastAsia="仿宋" w:cs="仿宋"/>
          <w:sz w:val="30"/>
          <w:szCs w:val="30"/>
          <w:highlight w:val="none"/>
          <w:lang w:val="en-US" w:eastAsia="zh-CN"/>
        </w:rPr>
        <w:t>8.67</w:t>
      </w:r>
      <w:r>
        <w:rPr>
          <w:rFonts w:hint="eastAsia" w:ascii="仿宋" w:hAnsi="仿宋" w:eastAsia="仿宋" w:cs="仿宋"/>
          <w:color w:val="auto"/>
          <w:sz w:val="30"/>
          <w:szCs w:val="30"/>
          <w:highlight w:val="none"/>
        </w:rPr>
        <w:t>%</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主要原因是强化机关日常节约，合理控制文印，严格控制公务支出</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84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61.31</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22</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16.06%；</w:t>
      </w:r>
      <w:r>
        <w:rPr>
          <w:rFonts w:hint="eastAsia" w:ascii="仿宋" w:hAnsi="仿宋" w:eastAsia="仿宋" w:cs="仿宋"/>
          <w:sz w:val="30"/>
          <w:szCs w:val="30"/>
          <w:highlight w:val="none"/>
        </w:rPr>
        <w:t>医疗卫生与计划生育支出（类）</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4.38</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25</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18.25</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度一般公共预算财政拨款支出决算为</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78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78万元，完成年初预算的100%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6万元，完成年初预算的100%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19万元，完成年初预算的100%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医疗卫生与计划生育支出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类）行政事业单位医疗</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款）行政单位医疗（项）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 xml:space="preserve"> 2018年初预算为6万元，支出决算6万元，完成年初预算的100%。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8、住房保障支出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25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25万元，完成年初预算的100%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137</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129</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b w:val="0"/>
          <w:bCs w:val="0"/>
          <w:sz w:val="30"/>
          <w:szCs w:val="30"/>
          <w:highlight w:val="none"/>
          <w:lang w:eastAsia="zh-CN"/>
        </w:rPr>
      </w:pPr>
      <w:r>
        <w:rPr>
          <w:rFonts w:hint="eastAsia" w:ascii="仿宋" w:hAnsi="仿宋" w:eastAsia="仿宋" w:cs="仿宋"/>
          <w:b w:val="0"/>
          <w:bCs w:val="0"/>
          <w:sz w:val="30"/>
          <w:szCs w:val="30"/>
          <w:highlight w:val="none"/>
          <w:lang w:eastAsia="zh-CN"/>
        </w:rPr>
        <w:t>我单位无此情况。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b w:val="0"/>
          <w:bCs w:val="0"/>
          <w:sz w:val="30"/>
          <w:szCs w:val="30"/>
          <w:highlight w:val="none"/>
          <w:lang w:eastAsia="zh-CN"/>
        </w:rPr>
      </w:pPr>
      <w:r>
        <w:rPr>
          <w:rFonts w:hint="eastAsia" w:ascii="仿宋" w:hAnsi="仿宋" w:eastAsia="仿宋" w:cs="仿宋"/>
          <w:b w:val="0"/>
          <w:bCs w:val="0"/>
          <w:sz w:val="30"/>
          <w:szCs w:val="30"/>
          <w:highlight w:val="none"/>
          <w:lang w:eastAsia="zh-CN"/>
        </w:rPr>
        <w:t>我单位无此情况。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b w:val="0"/>
          <w:bCs w:val="0"/>
          <w:sz w:val="30"/>
          <w:szCs w:val="30"/>
          <w:highlight w:val="none"/>
          <w:lang w:eastAsia="zh-CN"/>
        </w:rPr>
      </w:pPr>
      <w:r>
        <w:rPr>
          <w:rFonts w:hint="eastAsia" w:ascii="仿宋" w:hAnsi="仿宋" w:eastAsia="仿宋" w:cs="仿宋"/>
          <w:b w:val="0"/>
          <w:bCs w:val="0"/>
          <w:sz w:val="30"/>
          <w:szCs w:val="30"/>
          <w:highlight w:val="none"/>
          <w:lang w:eastAsia="zh-CN"/>
        </w:rPr>
        <w:t>我单位无此情况。</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b w:val="0"/>
          <w:bCs w:val="0"/>
          <w:sz w:val="30"/>
          <w:szCs w:val="30"/>
          <w:highlight w:val="none"/>
          <w:lang w:eastAsia="zh-CN"/>
        </w:rPr>
      </w:pPr>
      <w:r>
        <w:rPr>
          <w:rFonts w:hint="eastAsia" w:ascii="仿宋" w:hAnsi="仿宋" w:eastAsia="仿宋" w:cs="仿宋"/>
          <w:b w:val="0"/>
          <w:bCs w:val="0"/>
          <w:sz w:val="30"/>
          <w:szCs w:val="30"/>
          <w:highlight w:val="none"/>
          <w:lang w:eastAsia="zh-CN"/>
        </w:rPr>
        <w:t>我单位无此情况。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val="en-US" w:eastAsia="zh-CN"/>
        </w:rPr>
        <w:t xml:space="preserve">   </w:t>
      </w: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38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同比下降</w:t>
      </w:r>
      <w:r>
        <w:rPr>
          <w:rFonts w:hint="eastAsia" w:ascii="仿宋" w:hAnsi="仿宋" w:eastAsia="仿宋" w:cs="仿宋"/>
          <w:sz w:val="30"/>
          <w:szCs w:val="30"/>
          <w:highlight w:val="none"/>
          <w:lang w:val="en-US" w:eastAsia="zh-CN"/>
        </w:rPr>
        <w:t>95</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强化机关日常节约，合理控制文印，严格控制公务支出。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b w:val="0"/>
          <w:bCs w:val="0"/>
          <w:sz w:val="30"/>
          <w:szCs w:val="30"/>
          <w:highlight w:val="none"/>
          <w:lang w:eastAsia="zh-CN"/>
        </w:rPr>
      </w:pPr>
      <w:r>
        <w:rPr>
          <w:rFonts w:hint="eastAsia" w:ascii="仿宋" w:hAnsi="仿宋" w:eastAsia="仿宋" w:cs="仿宋"/>
          <w:b w:val="0"/>
          <w:bCs w:val="0"/>
          <w:sz w:val="30"/>
          <w:szCs w:val="30"/>
          <w:highlight w:val="none"/>
          <w:lang w:eastAsia="zh-CN"/>
        </w:rPr>
        <w:t>我单位无此情况。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截至201</w:t>
      </w:r>
      <w:r>
        <w:rPr>
          <w:rFonts w:hint="eastAsia" w:ascii="仿宋" w:hAnsi="仿宋" w:eastAsia="仿宋" w:cs="仿宋"/>
          <w:color w:val="auto"/>
          <w:sz w:val="30"/>
          <w:szCs w:val="30"/>
          <w:highlight w:val="none"/>
          <w:lang w:val="en-US" w:eastAsia="zh-CN"/>
        </w:rPr>
        <w:t>8</w:t>
      </w:r>
      <w:r>
        <w:rPr>
          <w:rFonts w:hint="eastAsia" w:ascii="仿宋" w:hAnsi="仿宋" w:eastAsia="仿宋" w:cs="仿宋"/>
          <w:color w:val="auto"/>
          <w:sz w:val="30"/>
          <w:szCs w:val="30"/>
          <w:highlight w:val="none"/>
          <w:lang w:eastAsia="zh-CN"/>
        </w:rPr>
        <w:t>年12月31日，本部门共有车辆</w:t>
      </w:r>
      <w:r>
        <w:rPr>
          <w:rFonts w:hint="eastAsia" w:ascii="仿宋" w:hAnsi="仿宋" w:eastAsia="仿宋" w:cs="仿宋"/>
          <w:color w:val="auto"/>
          <w:sz w:val="30"/>
          <w:szCs w:val="30"/>
          <w:highlight w:val="none"/>
          <w:lang w:val="en-US" w:eastAsia="zh-CN"/>
        </w:rPr>
        <w:t>2</w:t>
      </w:r>
      <w:r>
        <w:rPr>
          <w:rFonts w:hint="eastAsia" w:ascii="仿宋" w:hAnsi="仿宋" w:eastAsia="仿宋" w:cs="仿宋"/>
          <w:color w:val="auto"/>
          <w:sz w:val="30"/>
          <w:szCs w:val="30"/>
          <w:highlight w:val="none"/>
          <w:lang w:eastAsia="zh-CN"/>
        </w:rPr>
        <w:t>辆，其中，部级领导干部用车</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辆、一般公务用车</w:t>
      </w:r>
      <w:r>
        <w:rPr>
          <w:rFonts w:hint="eastAsia" w:ascii="仿宋" w:hAnsi="仿宋" w:eastAsia="仿宋" w:cs="仿宋"/>
          <w:color w:val="auto"/>
          <w:sz w:val="30"/>
          <w:szCs w:val="30"/>
          <w:highlight w:val="none"/>
          <w:lang w:val="en-US" w:eastAsia="zh-CN"/>
        </w:rPr>
        <w:t>2</w:t>
      </w:r>
      <w:r>
        <w:rPr>
          <w:rFonts w:hint="eastAsia" w:ascii="仿宋" w:hAnsi="仿宋" w:eastAsia="仿宋" w:cs="仿宋"/>
          <w:color w:val="auto"/>
          <w:sz w:val="30"/>
          <w:szCs w:val="30"/>
          <w:highlight w:val="none"/>
          <w:lang w:eastAsia="zh-CN"/>
        </w:rPr>
        <w:t>辆、一般执法执勤用车</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辆、特种专业技术用车</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辆、其他用车</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辆；单位价值50万元以上通用设备</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台（套），单价100万元以上专用设备</w:t>
      </w:r>
      <w:r>
        <w:rPr>
          <w:rFonts w:hint="eastAsia" w:ascii="仿宋" w:hAnsi="仿宋" w:eastAsia="仿宋" w:cs="仿宋"/>
          <w:color w:val="auto"/>
          <w:sz w:val="30"/>
          <w:szCs w:val="30"/>
          <w:highlight w:val="none"/>
          <w:lang w:val="en-US" w:eastAsia="zh-CN"/>
        </w:rPr>
        <w:t>0</w:t>
      </w:r>
      <w:r>
        <w:rPr>
          <w:rFonts w:hint="eastAsia" w:ascii="仿宋" w:hAnsi="仿宋" w:eastAsia="仿宋" w:cs="仿宋"/>
          <w:color w:val="auto"/>
          <w:sz w:val="30"/>
          <w:szCs w:val="30"/>
          <w:highlight w:val="none"/>
          <w:lang w:eastAsia="zh-CN"/>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eastAsia="zh-CN"/>
        </w:rPr>
        <w:t>安</w:t>
      </w:r>
      <w:r>
        <w:rPr>
          <w:rFonts w:hint="eastAsia" w:ascii="仿宋" w:hAnsi="仿宋" w:eastAsia="仿宋" w:cs="仿宋"/>
          <w:bCs/>
          <w:color w:val="111111"/>
          <w:kern w:val="0"/>
          <w:sz w:val="30"/>
          <w:szCs w:val="30"/>
          <w:highlight w:val="none"/>
        </w:rPr>
        <w:t>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5DA56DD8"/>
    <w:multiLevelType w:val="singleLevel"/>
    <w:tmpl w:val="5DA56DD8"/>
    <w:lvl w:ilvl="0" w:tentative="0">
      <w:start w:val="5"/>
      <w:numFmt w:val="decimal"/>
      <w:suff w:val="nothing"/>
      <w:lvlText w:val="%1、"/>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iZTBhNGY4MTlhM2U0NmM0MWVhYjViNDU2NmM1NWUifQ=="/>
  </w:docVars>
  <w:rsids>
    <w:rsidRoot w:val="141522A4"/>
    <w:rsid w:val="004D28BB"/>
    <w:rsid w:val="008557E7"/>
    <w:rsid w:val="02056C4D"/>
    <w:rsid w:val="023F13DB"/>
    <w:rsid w:val="026066D5"/>
    <w:rsid w:val="029224CF"/>
    <w:rsid w:val="032D5CC6"/>
    <w:rsid w:val="03456C94"/>
    <w:rsid w:val="0352734C"/>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AE1E97"/>
    <w:rsid w:val="15CE4E6C"/>
    <w:rsid w:val="15DA2CD2"/>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8F52FA"/>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9F82392"/>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2AF510C"/>
    <w:rsid w:val="32FB675D"/>
    <w:rsid w:val="33A52EDF"/>
    <w:rsid w:val="33B00D4E"/>
    <w:rsid w:val="33B30709"/>
    <w:rsid w:val="33D52F52"/>
    <w:rsid w:val="342D1FD0"/>
    <w:rsid w:val="347F1DF5"/>
    <w:rsid w:val="348148BB"/>
    <w:rsid w:val="349E4F95"/>
    <w:rsid w:val="353D309D"/>
    <w:rsid w:val="354B0485"/>
    <w:rsid w:val="359D1E5E"/>
    <w:rsid w:val="35A27AEB"/>
    <w:rsid w:val="35D376B6"/>
    <w:rsid w:val="35EB20EA"/>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893C55"/>
    <w:rsid w:val="4CE65541"/>
    <w:rsid w:val="4D37156B"/>
    <w:rsid w:val="4DFF3087"/>
    <w:rsid w:val="4E837D65"/>
    <w:rsid w:val="4EB457CE"/>
    <w:rsid w:val="4ED624CF"/>
    <w:rsid w:val="4EFC0914"/>
    <w:rsid w:val="4F4A76D5"/>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940B80"/>
    <w:rsid w:val="55FD2C9C"/>
    <w:rsid w:val="56AE6DA8"/>
    <w:rsid w:val="56BF45D7"/>
    <w:rsid w:val="57236932"/>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346694"/>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CBE74FA"/>
    <w:rsid w:val="6D535020"/>
    <w:rsid w:val="6E253E16"/>
    <w:rsid w:val="6E873D36"/>
    <w:rsid w:val="6EB4012D"/>
    <w:rsid w:val="6EE3061B"/>
    <w:rsid w:val="6FB963DE"/>
    <w:rsid w:val="6FF40766"/>
    <w:rsid w:val="70310EB8"/>
    <w:rsid w:val="714B7A47"/>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2C7F90"/>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autoRedefine/>
    <w:qFormat/>
    <w:uiPriority w:val="0"/>
    <w:rPr>
      <w:b/>
    </w:rPr>
  </w:style>
  <w:style w:type="character" w:styleId="7">
    <w:name w:val="page number"/>
    <w:basedOn w:val="5"/>
    <w:autoRedefine/>
    <w:qFormat/>
    <w:uiPriority w:val="0"/>
  </w:style>
  <w:style w:type="character" w:styleId="8">
    <w:name w:val="Hyperlink"/>
    <w:autoRedefine/>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TTYY宁</cp:lastModifiedBy>
  <cp:lastPrinted>2018-10-11T04:40:00Z</cp:lastPrinted>
  <dcterms:modified xsi:type="dcterms:W3CDTF">2024-03-14T07:59:05Z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DD4BAB32C54F41A383B15CAF3A116FE3_12</vt:lpwstr>
  </property>
</Properties>
</file>