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bCs/>
          <w:sz w:val="32"/>
          <w:szCs w:val="32"/>
          <w:highlight w:val="none"/>
          <w:lang w:val="en-US"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r>
        <w:rPr>
          <w:rFonts w:hint="eastAsia" w:ascii="仿宋" w:hAnsi="仿宋" w:eastAsia="仿宋" w:cs="仿宋"/>
          <w:b/>
          <w:bCs/>
          <w:sz w:val="44"/>
          <w:szCs w:val="44"/>
          <w:highlight w:val="none"/>
          <w:lang w:val="en-US" w:eastAsia="zh-CN"/>
        </w:rPr>
        <w:t>中国人民政治协商会议黑龙江省饶河县委员会2018年度部门决算信息及有关情况说明</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lang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lang w:eastAsia="zh-CN"/>
        </w:rPr>
      </w:pPr>
      <w:r>
        <w:rPr>
          <w:rFonts w:hint="eastAsia" w:ascii="仿宋" w:hAnsi="仿宋" w:eastAsia="仿宋" w:cs="仿宋"/>
          <w:b/>
          <w:bCs/>
          <w:sz w:val="32"/>
          <w:szCs w:val="32"/>
          <w:highlight w:val="none"/>
          <w:lang w:eastAsia="zh-CN"/>
        </w:rPr>
        <w:t>目录</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lang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color w:val="000000"/>
          <w:kern w:val="0"/>
          <w:sz w:val="32"/>
          <w:szCs w:val="32"/>
          <w:highlight w:val="none"/>
        </w:rPr>
      </w:pPr>
      <w:r>
        <w:rPr>
          <w:rFonts w:hint="eastAsia" w:ascii="仿宋" w:hAnsi="仿宋" w:eastAsia="仿宋" w:cs="仿宋"/>
          <w:b/>
          <w:bCs/>
          <w:color w:val="000000"/>
          <w:kern w:val="0"/>
          <w:sz w:val="32"/>
          <w:szCs w:val="32"/>
          <w:highlight w:val="none"/>
        </w:rPr>
        <w:t>第一部分单位基本情况</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部门职责</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机构设置</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三、部门决算编报范围及</w:t>
      </w:r>
      <w:r>
        <w:rPr>
          <w:rFonts w:hint="eastAsia" w:ascii="仿宋" w:hAnsi="仿宋" w:eastAsia="仿宋" w:cs="仿宋"/>
          <w:sz w:val="32"/>
          <w:szCs w:val="32"/>
          <w:highlight w:val="none"/>
        </w:rPr>
        <w:t>人员构成</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firstLine="964" w:firstLineChars="300"/>
        <w:textAlignment w:val="auto"/>
        <w:outlineLvl w:val="9"/>
        <w:rPr>
          <w:rFonts w:hint="eastAsia" w:ascii="仿宋" w:hAnsi="仿宋" w:eastAsia="仿宋" w:cs="仿宋"/>
          <w:b/>
          <w:sz w:val="32"/>
          <w:szCs w:val="32"/>
          <w:highlight w:val="none"/>
        </w:rPr>
      </w:pPr>
      <w:r>
        <w:rPr>
          <w:rFonts w:hint="eastAsia" w:ascii="仿宋" w:hAnsi="仿宋" w:eastAsia="仿宋" w:cs="仿宋"/>
          <w:b/>
          <w:sz w:val="32"/>
          <w:szCs w:val="32"/>
          <w:highlight w:val="none"/>
        </w:rPr>
        <w:t>第二部分201</w:t>
      </w:r>
      <w:r>
        <w:rPr>
          <w:rFonts w:hint="eastAsia" w:ascii="仿宋" w:hAnsi="仿宋" w:eastAsia="仿宋" w:cs="仿宋"/>
          <w:b/>
          <w:sz w:val="32"/>
          <w:szCs w:val="32"/>
          <w:highlight w:val="none"/>
          <w:lang w:val="en-US" w:eastAsia="zh-CN"/>
        </w:rPr>
        <w:t>8</w:t>
      </w:r>
      <w:r>
        <w:rPr>
          <w:rFonts w:hint="eastAsia" w:ascii="仿宋" w:hAnsi="仿宋" w:eastAsia="仿宋" w:cs="仿宋"/>
          <w:b/>
          <w:sz w:val="32"/>
          <w:szCs w:val="32"/>
          <w:highlight w:val="none"/>
        </w:rPr>
        <w:t>年部门预算执行总体情况说明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二</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收入决算情况说明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三、支出决算情况说明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四、 财政拨款收入支出决算总体情况说明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五、一般公共预算财政拨款支出决算情况说明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六</w:t>
      </w:r>
      <w:r>
        <w:rPr>
          <w:rFonts w:hint="eastAsia" w:ascii="仿宋" w:hAnsi="仿宋" w:eastAsia="仿宋" w:cs="仿宋"/>
          <w:sz w:val="32"/>
          <w:szCs w:val="32"/>
          <w:highlight w:val="none"/>
        </w:rPr>
        <w:t>、一般公共预算财政拨款基本支出情况说明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七</w:t>
      </w:r>
      <w:r>
        <w:rPr>
          <w:rFonts w:hint="eastAsia" w:ascii="仿宋" w:hAnsi="仿宋" w:eastAsia="仿宋" w:cs="仿宋"/>
          <w:sz w:val="32"/>
          <w:szCs w:val="32"/>
          <w:highlight w:val="none"/>
        </w:rPr>
        <w:t>、一般公共预算财政拨款“三公”经费支出决算情况说明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八</w:t>
      </w:r>
      <w:r>
        <w:rPr>
          <w:rFonts w:hint="eastAsia" w:ascii="仿宋" w:hAnsi="仿宋" w:eastAsia="仿宋" w:cs="仿宋"/>
          <w:sz w:val="32"/>
          <w:szCs w:val="32"/>
          <w:highlight w:val="none"/>
        </w:rPr>
        <w:t>、政府性基金预算财政拨款收入支出决算情况说明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九、</w:t>
      </w:r>
      <w:r>
        <w:rPr>
          <w:rFonts w:hint="eastAsia" w:ascii="仿宋" w:hAnsi="仿宋" w:eastAsia="仿宋" w:cs="仿宋"/>
          <w:b w:val="0"/>
          <w:bCs w:val="0"/>
          <w:sz w:val="32"/>
          <w:szCs w:val="32"/>
          <w:highlight w:val="none"/>
        </w:rPr>
        <w:t>预算绩效管理工作开展情况说明。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十</w:t>
      </w:r>
      <w:r>
        <w:rPr>
          <w:rFonts w:hint="eastAsia" w:ascii="仿宋" w:hAnsi="仿宋" w:eastAsia="仿宋" w:cs="仿宋"/>
          <w:b w:val="0"/>
          <w:bCs w:val="0"/>
          <w:sz w:val="32"/>
          <w:szCs w:val="32"/>
          <w:highlight w:val="none"/>
        </w:rPr>
        <w:t>、其他重要事项情况说明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（一）机关运行经费支出情况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（二</w:t>
      </w:r>
      <w:r>
        <w:rPr>
          <w:rFonts w:hint="eastAsia" w:ascii="仿宋" w:hAnsi="仿宋" w:eastAsia="仿宋" w:cs="仿宋"/>
          <w:b w:val="0"/>
          <w:bCs w:val="0"/>
          <w:sz w:val="32"/>
          <w:szCs w:val="32"/>
          <w:highlight w:val="none"/>
          <w:lang w:eastAsia="zh-CN"/>
        </w:rPr>
        <w:t>）</w:t>
      </w:r>
      <w:r>
        <w:rPr>
          <w:rFonts w:hint="eastAsia" w:ascii="仿宋" w:hAnsi="仿宋" w:eastAsia="仿宋" w:cs="仿宋"/>
          <w:b w:val="0"/>
          <w:bCs w:val="0"/>
          <w:sz w:val="32"/>
          <w:szCs w:val="32"/>
          <w:highlight w:val="none"/>
        </w:rPr>
        <w:t>政府采购支出情况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（三）国有资产占用情况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p>
    <w:p>
      <w:pPr>
        <w:keepNext w:val="0"/>
        <w:keepLines w:val="0"/>
        <w:pageBreakBefore w:val="0"/>
        <w:numPr>
          <w:ilvl w:val="0"/>
          <w:numId w:val="2"/>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sz w:val="32"/>
          <w:szCs w:val="32"/>
          <w:highlight w:val="none"/>
        </w:rPr>
      </w:pPr>
      <w:r>
        <w:rPr>
          <w:rFonts w:hint="eastAsia" w:ascii="仿宋" w:hAnsi="仿宋" w:eastAsia="仿宋" w:cs="仿宋"/>
          <w:b/>
          <w:sz w:val="32"/>
          <w:szCs w:val="32"/>
          <w:highlight w:val="none"/>
        </w:rPr>
        <w:t>名词解释</w:t>
      </w: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sz w:val="32"/>
          <w:szCs w:val="32"/>
          <w:highlight w:val="none"/>
          <w:lang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sz w:val="32"/>
          <w:szCs w:val="32"/>
          <w:highlight w:val="none"/>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sz w:val="32"/>
          <w:szCs w:val="32"/>
          <w:highlight w:val="none"/>
          <w:lang w:eastAsia="zh-CN"/>
        </w:rPr>
      </w:pPr>
      <w:r>
        <w:rPr>
          <w:rFonts w:hint="eastAsia" w:ascii="仿宋" w:hAnsi="仿宋" w:eastAsia="仿宋" w:cs="仿宋"/>
          <w:b/>
          <w:sz w:val="32"/>
          <w:szCs w:val="32"/>
          <w:highlight w:val="none"/>
          <w:lang w:eastAsia="zh-CN"/>
        </w:rPr>
        <w:t>第四部分</w:t>
      </w:r>
      <w:r>
        <w:rPr>
          <w:rFonts w:hint="eastAsia" w:ascii="仿宋" w:hAnsi="仿宋" w:eastAsia="仿宋" w:cs="仿宋"/>
          <w:b/>
          <w:sz w:val="32"/>
          <w:szCs w:val="32"/>
          <w:highlight w:val="none"/>
          <w:lang w:val="en-US" w:eastAsia="zh-CN"/>
        </w:rPr>
        <w:t>2018年度部门决算公开表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收入支出决算总表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收入决算表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财政拨款收入支出决算总表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一般公共预算财政拨款基本支出决算表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一般公共预算财政拨款“三公”经费支出决算表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政府性基金预算财政拨款收入支出决算表</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第一部分</w:t>
      </w:r>
      <w:r>
        <w:rPr>
          <w:rFonts w:hint="eastAsia" w:ascii="仿宋" w:hAnsi="仿宋" w:eastAsia="仿宋" w:cs="仿宋"/>
          <w:b/>
          <w:bCs/>
          <w:sz w:val="32"/>
          <w:szCs w:val="32"/>
          <w:highlight w:val="none"/>
          <w:lang w:eastAsia="zh-CN"/>
        </w:rPr>
        <w:t>单位</w:t>
      </w:r>
      <w:r>
        <w:rPr>
          <w:rFonts w:hint="eastAsia" w:ascii="仿宋" w:hAnsi="仿宋" w:eastAsia="仿宋" w:cs="仿宋"/>
          <w:b/>
          <w:bCs/>
          <w:sz w:val="32"/>
          <w:szCs w:val="32"/>
          <w:highlight w:val="none"/>
        </w:rPr>
        <w:t>基本情况</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b/>
          <w:bCs/>
          <w:sz w:val="32"/>
          <w:szCs w:val="32"/>
          <w:highlight w:val="none"/>
        </w:rPr>
      </w:pPr>
    </w:p>
    <w:p>
      <w:pPr>
        <w:keepNext w:val="0"/>
        <w:keepLines w:val="0"/>
        <w:pageBreakBefore w:val="0"/>
        <w:numPr>
          <w:ilvl w:val="0"/>
          <w:numId w:val="4"/>
        </w:numPr>
        <w:kinsoku/>
        <w:wordWrap/>
        <w:overflowPunct/>
        <w:topLinePunct w:val="0"/>
        <w:autoSpaceDE/>
        <w:autoSpaceDN/>
        <w:bidi w:val="0"/>
        <w:adjustRightInd/>
        <w:snapToGrid/>
        <w:spacing w:line="360" w:lineRule="auto"/>
        <w:ind w:right="0" w:rightChars="0" w:firstLine="643"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部门职责</w:t>
      </w:r>
    </w:p>
    <w:p>
      <w:pPr>
        <w:widowControl/>
        <w:numPr>
          <w:ilvl w:val="0"/>
          <w:numId w:val="0"/>
        </w:numPr>
        <w:spacing w:after="230" w:afterLines="0"/>
        <w:ind w:firstLine="640" w:firstLineChars="200"/>
        <w:jc w:val="left"/>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人民政协的主要职能是：对国家的大政方针和地方重要事务以及群众生活、爱国统一战线内部关系等重要问题进行政治协商，并通过建议和批评，发挥民主监督的作用。</w:t>
      </w:r>
    </w:p>
    <w:p>
      <w:pPr>
        <w:widowControl/>
        <w:numPr>
          <w:ilvl w:val="0"/>
          <w:numId w:val="0"/>
        </w:numPr>
        <w:spacing w:after="230" w:afterLines="0"/>
        <w:ind w:firstLine="643" w:firstLineChars="200"/>
        <w:jc w:val="left"/>
        <w:rPr>
          <w:rFonts w:hint="eastAsia" w:ascii="仿宋" w:hAnsi="仿宋" w:eastAsia="仿宋" w:cs="仿宋"/>
          <w:color w:val="333333"/>
          <w:kern w:val="0"/>
          <w:sz w:val="32"/>
          <w:szCs w:val="32"/>
        </w:rPr>
      </w:pPr>
      <w:r>
        <w:rPr>
          <w:rFonts w:hint="eastAsia" w:ascii="仿宋" w:hAnsi="仿宋" w:eastAsia="仿宋" w:cs="仿宋"/>
          <w:b/>
          <w:bCs/>
          <w:color w:val="333333"/>
          <w:kern w:val="0"/>
          <w:sz w:val="32"/>
          <w:szCs w:val="32"/>
        </w:rPr>
        <w:t>二、机构设置</w:t>
      </w:r>
    </w:p>
    <w:p>
      <w:pPr>
        <w:widowControl/>
        <w:spacing w:after="230" w:afterLines="0"/>
        <w:ind w:firstLine="960" w:firstLineChars="300"/>
        <w:jc w:val="left"/>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政协机关设置一办五个专门委员会：办公室，提案委员会，经济委员会，科教文卫体委员会，民族宗教委员会，农业农村委员会。</w:t>
      </w:r>
    </w:p>
    <w:p>
      <w:pPr>
        <w:widowControl/>
        <w:spacing w:after="230" w:afterLines="0"/>
        <w:ind w:firstLine="643" w:firstLineChars="200"/>
        <w:jc w:val="left"/>
        <w:rPr>
          <w:rFonts w:hint="eastAsia" w:ascii="仿宋" w:hAnsi="仿宋" w:eastAsia="仿宋" w:cs="仿宋"/>
          <w:b w:val="0"/>
          <w:bCs w:val="0"/>
          <w:color w:val="333333"/>
          <w:kern w:val="0"/>
          <w:sz w:val="32"/>
          <w:szCs w:val="32"/>
          <w:lang w:val="en-US" w:eastAsia="zh-CN"/>
        </w:rPr>
      </w:pPr>
      <w:r>
        <w:rPr>
          <w:rFonts w:hint="eastAsia" w:ascii="仿宋" w:hAnsi="仿宋" w:eastAsia="仿宋" w:cs="仿宋"/>
          <w:b/>
          <w:bCs/>
          <w:sz w:val="32"/>
          <w:szCs w:val="32"/>
          <w:lang w:val="en-US" w:eastAsia="zh-CN"/>
        </w:rPr>
        <w:t>三</w:t>
      </w:r>
      <w:r>
        <w:rPr>
          <w:rFonts w:hint="eastAsia" w:ascii="仿宋" w:hAnsi="仿宋" w:eastAsia="仿宋" w:cs="仿宋"/>
          <w:b/>
          <w:bCs/>
          <w:color w:val="333333"/>
          <w:kern w:val="0"/>
          <w:sz w:val="32"/>
          <w:szCs w:val="32"/>
        </w:rPr>
        <w:t>、</w:t>
      </w:r>
      <w:r>
        <w:rPr>
          <w:rFonts w:hint="eastAsia" w:ascii="仿宋" w:hAnsi="仿宋" w:eastAsia="仿宋" w:cs="仿宋"/>
          <w:b/>
          <w:bCs/>
          <w:sz w:val="32"/>
          <w:szCs w:val="32"/>
          <w:highlight w:val="none"/>
          <w:lang w:val="en-US" w:eastAsia="zh-CN"/>
        </w:rPr>
        <w:t>部门决算编报范围及</w:t>
      </w:r>
      <w:r>
        <w:rPr>
          <w:rFonts w:hint="eastAsia" w:ascii="仿宋" w:hAnsi="仿宋" w:eastAsia="仿宋" w:cs="仿宋"/>
          <w:b/>
          <w:bCs/>
          <w:sz w:val="32"/>
          <w:szCs w:val="32"/>
          <w:highlight w:val="none"/>
        </w:rPr>
        <w:t>人员构成</w:t>
      </w:r>
    </w:p>
    <w:p>
      <w:pPr>
        <w:widowControl/>
        <w:spacing w:after="230" w:afterLines="0"/>
        <w:ind w:firstLine="480"/>
        <w:jc w:val="left"/>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 xml:space="preserve"> 政协机关行政编制22人，离退休干部工作人员编制5人，工勤人员编制2人。</w:t>
      </w:r>
    </w:p>
    <w:p>
      <w:pPr>
        <w:widowControl/>
        <w:spacing w:after="230" w:afterLines="0"/>
        <w:ind w:firstLine="480"/>
        <w:jc w:val="left"/>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领导职数：政协主席1名，副主席3名，办委主任6名，办委副主任6名，其他科员6人。</w:t>
      </w:r>
    </w:p>
    <w:p>
      <w:pPr>
        <w:keepNext w:val="0"/>
        <w:keepLines w:val="0"/>
        <w:pageBreakBefore w:val="0"/>
        <w:kinsoku/>
        <w:wordWrap/>
        <w:overflowPunct/>
        <w:topLinePunct w:val="0"/>
        <w:autoSpaceDE/>
        <w:autoSpaceDN/>
        <w:bidi w:val="0"/>
        <w:adjustRightInd/>
        <w:snapToGrid/>
        <w:spacing w:line="360" w:lineRule="auto"/>
        <w:ind w:right="0" w:rightChars="0" w:firstLine="1285" w:firstLineChars="400"/>
        <w:jc w:val="both"/>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第二部分201</w:t>
      </w:r>
      <w:r>
        <w:rPr>
          <w:rFonts w:hint="eastAsia" w:ascii="仿宋" w:hAnsi="仿宋" w:eastAsia="仿宋" w:cs="仿宋"/>
          <w:b/>
          <w:bCs/>
          <w:sz w:val="32"/>
          <w:szCs w:val="32"/>
          <w:highlight w:val="none"/>
          <w:lang w:val="en-US" w:eastAsia="zh-CN"/>
        </w:rPr>
        <w:t>8</w:t>
      </w:r>
      <w:r>
        <w:rPr>
          <w:rFonts w:hint="eastAsia" w:ascii="仿宋" w:hAnsi="仿宋" w:eastAsia="仿宋" w:cs="仿宋"/>
          <w:b/>
          <w:bCs/>
          <w:sz w:val="32"/>
          <w:szCs w:val="32"/>
          <w:highlight w:val="none"/>
        </w:rPr>
        <w:t>年部门预算执行总体情况说明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一、收入支出决算总体情况说明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sz w:val="32"/>
          <w:szCs w:val="32"/>
          <w:highlight w:val="none"/>
          <w:lang w:eastAsia="zh-CN"/>
        </w:rPr>
      </w:pPr>
      <w:r>
        <w:rPr>
          <w:rFonts w:hint="eastAsia" w:ascii="仿宋" w:hAnsi="仿宋" w:eastAsia="仿宋" w:cs="仿宋"/>
          <w:kern w:val="0"/>
          <w:sz w:val="32"/>
          <w:szCs w:val="32"/>
          <w:highlight w:val="none"/>
          <w:u w:val="none"/>
          <w:lang w:val="en-US" w:eastAsia="zh-CN"/>
        </w:rPr>
        <w:t>2017年结余4.24万元，</w:t>
      </w:r>
      <w:r>
        <w:rPr>
          <w:rFonts w:hint="eastAsia" w:ascii="仿宋" w:hAnsi="仿宋" w:eastAsia="仿宋" w:cs="仿宋"/>
          <w:kern w:val="0"/>
          <w:sz w:val="32"/>
          <w:szCs w:val="32"/>
          <w:highlight w:val="none"/>
          <w:u w:val="none"/>
          <w:lang w:eastAsia="zh-CN"/>
        </w:rPr>
        <w:t>2018年</w:t>
      </w:r>
      <w:r>
        <w:rPr>
          <w:rFonts w:hint="eastAsia" w:ascii="仿宋" w:hAnsi="仿宋" w:eastAsia="仿宋" w:cs="仿宋"/>
          <w:kern w:val="0"/>
          <w:sz w:val="32"/>
          <w:szCs w:val="32"/>
          <w:highlight w:val="none"/>
          <w:u w:val="none"/>
        </w:rPr>
        <w:t>度部门决算</w:t>
      </w:r>
      <w:r>
        <w:rPr>
          <w:rFonts w:hint="eastAsia" w:ascii="仿宋" w:hAnsi="仿宋" w:eastAsia="仿宋" w:cs="仿宋"/>
          <w:kern w:val="0"/>
          <w:sz w:val="32"/>
          <w:szCs w:val="32"/>
          <w:highlight w:val="none"/>
          <w:u w:val="none"/>
          <w:lang w:eastAsia="zh-CN"/>
        </w:rPr>
        <w:t>收入总计</w:t>
      </w:r>
      <w:r>
        <w:rPr>
          <w:rFonts w:hint="eastAsia" w:ascii="仿宋" w:hAnsi="仿宋" w:eastAsia="仿宋" w:cs="仿宋"/>
          <w:kern w:val="0"/>
          <w:sz w:val="32"/>
          <w:szCs w:val="32"/>
          <w:highlight w:val="none"/>
          <w:u w:val="none"/>
          <w:lang w:val="en-US" w:eastAsia="zh-CN"/>
        </w:rPr>
        <w:t>273万元，其中：</w:t>
      </w:r>
      <w:r>
        <w:rPr>
          <w:rFonts w:hint="eastAsia" w:ascii="仿宋" w:hAnsi="仿宋" w:eastAsia="仿宋" w:cs="仿宋"/>
          <w:kern w:val="0"/>
          <w:sz w:val="32"/>
          <w:szCs w:val="32"/>
          <w:highlight w:val="none"/>
          <w:u w:val="none"/>
        </w:rPr>
        <w:t>本年收入</w:t>
      </w:r>
      <w:r>
        <w:rPr>
          <w:rFonts w:hint="eastAsia" w:ascii="仿宋" w:hAnsi="仿宋" w:eastAsia="仿宋" w:cs="仿宋"/>
          <w:kern w:val="0"/>
          <w:sz w:val="32"/>
          <w:szCs w:val="32"/>
          <w:highlight w:val="none"/>
          <w:u w:val="none"/>
          <w:lang w:val="en-US" w:eastAsia="zh-CN"/>
        </w:rPr>
        <w:t>273</w:t>
      </w:r>
      <w:r>
        <w:rPr>
          <w:rFonts w:hint="eastAsia" w:ascii="仿宋" w:hAnsi="仿宋" w:eastAsia="仿宋" w:cs="仿宋"/>
          <w:kern w:val="0"/>
          <w:sz w:val="32"/>
          <w:szCs w:val="32"/>
          <w:highlight w:val="none"/>
          <w:u w:val="none"/>
        </w:rPr>
        <w:t>万元</w:t>
      </w:r>
      <w:r>
        <w:rPr>
          <w:rFonts w:hint="eastAsia" w:ascii="仿宋" w:hAnsi="仿宋" w:eastAsia="仿宋" w:cs="仿宋"/>
          <w:kern w:val="0"/>
          <w:sz w:val="32"/>
          <w:szCs w:val="32"/>
          <w:highlight w:val="none"/>
          <w:u w:val="none"/>
          <w:lang w:eastAsia="zh-CN"/>
        </w:rPr>
        <w:t>；</w:t>
      </w:r>
      <w:r>
        <w:rPr>
          <w:rFonts w:hint="eastAsia" w:ascii="仿宋" w:hAnsi="仿宋" w:eastAsia="仿宋" w:cs="仿宋"/>
          <w:kern w:val="0"/>
          <w:sz w:val="32"/>
          <w:szCs w:val="32"/>
          <w:highlight w:val="none"/>
          <w:u w:val="none"/>
        </w:rPr>
        <w:t>本年支出</w:t>
      </w:r>
      <w:r>
        <w:rPr>
          <w:rFonts w:hint="eastAsia" w:ascii="仿宋" w:hAnsi="仿宋" w:eastAsia="仿宋" w:cs="仿宋"/>
          <w:kern w:val="0"/>
          <w:sz w:val="32"/>
          <w:szCs w:val="32"/>
          <w:highlight w:val="none"/>
          <w:u w:val="none"/>
          <w:lang w:val="en-US" w:eastAsia="zh-CN"/>
        </w:rPr>
        <w:t>277.24</w:t>
      </w:r>
      <w:r>
        <w:rPr>
          <w:rFonts w:hint="eastAsia" w:ascii="仿宋" w:hAnsi="仿宋" w:eastAsia="仿宋" w:cs="仿宋"/>
          <w:kern w:val="0"/>
          <w:sz w:val="32"/>
          <w:szCs w:val="32"/>
          <w:highlight w:val="none"/>
          <w:u w:val="none"/>
        </w:rPr>
        <w:t>万元；年末结转和结余</w:t>
      </w:r>
      <w:r>
        <w:rPr>
          <w:rFonts w:hint="eastAsia" w:ascii="仿宋" w:hAnsi="仿宋" w:eastAsia="仿宋" w:cs="仿宋"/>
          <w:kern w:val="0"/>
          <w:sz w:val="32"/>
          <w:szCs w:val="32"/>
          <w:highlight w:val="none"/>
          <w:u w:val="none"/>
          <w:lang w:val="en-US" w:eastAsia="zh-CN"/>
        </w:rPr>
        <w:t>0</w:t>
      </w:r>
      <w:r>
        <w:rPr>
          <w:rFonts w:hint="eastAsia" w:ascii="仿宋" w:hAnsi="仿宋" w:eastAsia="仿宋" w:cs="仿宋"/>
          <w:kern w:val="0"/>
          <w:sz w:val="32"/>
          <w:szCs w:val="32"/>
          <w:highlight w:val="none"/>
          <w:u w:val="none"/>
        </w:rPr>
        <w:t>万元</w:t>
      </w:r>
      <w:r>
        <w:rPr>
          <w:rFonts w:hint="eastAsia" w:ascii="仿宋" w:hAnsi="仿宋" w:eastAsia="仿宋" w:cs="仿宋"/>
          <w:kern w:val="0"/>
          <w:sz w:val="32"/>
          <w:szCs w:val="32"/>
          <w:highlight w:val="none"/>
          <w:u w:val="none"/>
          <w:lang w:eastAsia="zh-CN"/>
        </w:rPr>
        <w:t>。</w:t>
      </w:r>
      <w:r>
        <w:rPr>
          <w:rFonts w:hint="eastAsia" w:ascii="仿宋" w:hAnsi="仿宋" w:eastAsia="仿宋" w:cs="仿宋"/>
          <w:sz w:val="32"/>
          <w:szCs w:val="32"/>
          <w:highlight w:val="none"/>
        </w:rPr>
        <w:t>与201</w:t>
      </w:r>
      <w:r>
        <w:rPr>
          <w:rFonts w:hint="eastAsia" w:ascii="仿宋" w:hAnsi="仿宋" w:eastAsia="仿宋" w:cs="仿宋"/>
          <w:sz w:val="32"/>
          <w:szCs w:val="32"/>
          <w:highlight w:val="none"/>
          <w:lang w:val="en-US" w:eastAsia="zh-CN"/>
        </w:rPr>
        <w:t>7</w:t>
      </w:r>
      <w:r>
        <w:rPr>
          <w:rFonts w:hint="eastAsia" w:ascii="仿宋" w:hAnsi="仿宋" w:eastAsia="仿宋" w:cs="仿宋"/>
          <w:sz w:val="32"/>
          <w:szCs w:val="32"/>
          <w:highlight w:val="none"/>
        </w:rPr>
        <w:t>年</w:t>
      </w:r>
      <w:r>
        <w:rPr>
          <w:rFonts w:hint="eastAsia" w:ascii="仿宋" w:hAnsi="仿宋" w:eastAsia="仿宋" w:cs="仿宋"/>
          <w:sz w:val="32"/>
          <w:szCs w:val="32"/>
          <w:highlight w:val="none"/>
          <w:lang w:eastAsia="zh-CN"/>
        </w:rPr>
        <w:t>度</w:t>
      </w:r>
      <w:r>
        <w:rPr>
          <w:rFonts w:hint="eastAsia" w:ascii="仿宋" w:hAnsi="仿宋" w:eastAsia="仿宋" w:cs="仿宋"/>
          <w:sz w:val="32"/>
          <w:szCs w:val="32"/>
          <w:highlight w:val="none"/>
        </w:rPr>
        <w:t>相比</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收、支总计</w:t>
      </w:r>
      <w:r>
        <w:rPr>
          <w:rFonts w:hint="eastAsia" w:ascii="仿宋" w:hAnsi="仿宋" w:eastAsia="仿宋" w:cs="仿宋"/>
          <w:color w:val="auto"/>
          <w:sz w:val="32"/>
          <w:szCs w:val="32"/>
          <w:highlight w:val="none"/>
        </w:rPr>
        <w:t>各</w:t>
      </w:r>
      <w:r>
        <w:rPr>
          <w:rFonts w:hint="eastAsia" w:ascii="仿宋" w:hAnsi="仿宋" w:eastAsia="仿宋" w:cs="仿宋"/>
          <w:color w:val="auto"/>
          <w:sz w:val="32"/>
          <w:szCs w:val="32"/>
          <w:highlight w:val="none"/>
          <w:lang w:eastAsia="zh-CN"/>
        </w:rPr>
        <w:t>减少</w:t>
      </w:r>
      <w:r>
        <w:rPr>
          <w:rFonts w:hint="eastAsia" w:ascii="仿宋" w:hAnsi="仿宋" w:eastAsia="仿宋" w:cs="仿宋"/>
          <w:color w:val="auto"/>
          <w:sz w:val="32"/>
          <w:szCs w:val="32"/>
          <w:highlight w:val="none"/>
          <w:lang w:val="en-US" w:eastAsia="zh-CN"/>
        </w:rPr>
        <w:t>71</w:t>
      </w:r>
      <w:r>
        <w:rPr>
          <w:rFonts w:hint="eastAsia" w:ascii="仿宋" w:hAnsi="仿宋" w:eastAsia="仿宋" w:cs="仿宋"/>
          <w:color w:val="auto"/>
          <w:sz w:val="32"/>
          <w:szCs w:val="32"/>
          <w:highlight w:val="none"/>
        </w:rPr>
        <w:t>万元</w:t>
      </w:r>
      <w:r>
        <w:rPr>
          <w:rFonts w:hint="eastAsia" w:ascii="仿宋" w:hAnsi="仿宋" w:eastAsia="仿宋" w:cs="仿宋"/>
          <w:color w:val="auto"/>
          <w:sz w:val="32"/>
          <w:szCs w:val="32"/>
          <w:highlight w:val="none"/>
          <w:lang w:eastAsia="zh-CN"/>
        </w:rPr>
        <w:t>和</w:t>
      </w:r>
      <w:r>
        <w:rPr>
          <w:rFonts w:hint="eastAsia" w:ascii="仿宋" w:hAnsi="仿宋" w:eastAsia="仿宋" w:cs="仿宋"/>
          <w:color w:val="auto"/>
          <w:sz w:val="32"/>
          <w:szCs w:val="32"/>
          <w:highlight w:val="none"/>
          <w:lang w:val="en-US" w:eastAsia="zh-CN"/>
        </w:rPr>
        <w:t>66.76万元</w:t>
      </w:r>
      <w:r>
        <w:rPr>
          <w:rFonts w:hint="eastAsia" w:ascii="仿宋" w:hAnsi="仿宋" w:eastAsia="仿宋" w:cs="仿宋"/>
          <w:sz w:val="32"/>
          <w:szCs w:val="32"/>
          <w:highlight w:val="none"/>
        </w:rPr>
        <w:t>，主要原因：</w:t>
      </w:r>
      <w:r>
        <w:rPr>
          <w:rFonts w:hint="eastAsia" w:ascii="仿宋" w:hAnsi="仿宋" w:eastAsia="仿宋" w:cs="仿宋"/>
          <w:sz w:val="32"/>
          <w:szCs w:val="32"/>
          <w:highlight w:val="none"/>
          <w:lang w:val="en-US" w:eastAsia="zh-CN"/>
        </w:rPr>
        <w:t>压缩一般公共支出</w:t>
      </w:r>
      <w:r>
        <w:rPr>
          <w:rFonts w:hint="eastAsia" w:ascii="仿宋" w:hAnsi="仿宋" w:eastAsia="仿宋" w:cs="仿宋"/>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二、收入决算情况说明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本年收入合计</w:t>
      </w:r>
      <w:r>
        <w:rPr>
          <w:rFonts w:hint="eastAsia" w:ascii="仿宋" w:hAnsi="仿宋" w:eastAsia="仿宋" w:cs="仿宋"/>
          <w:sz w:val="32"/>
          <w:szCs w:val="32"/>
          <w:highlight w:val="none"/>
          <w:lang w:val="en-US" w:eastAsia="zh-CN"/>
        </w:rPr>
        <w:t>273</w:t>
      </w:r>
      <w:r>
        <w:rPr>
          <w:rFonts w:hint="eastAsia" w:ascii="仿宋" w:hAnsi="仿宋" w:eastAsia="仿宋" w:cs="仿宋"/>
          <w:sz w:val="32"/>
          <w:szCs w:val="32"/>
          <w:highlight w:val="none"/>
        </w:rPr>
        <w:t>万元，与201</w:t>
      </w:r>
      <w:r>
        <w:rPr>
          <w:rFonts w:hint="eastAsia" w:ascii="仿宋" w:hAnsi="仿宋" w:eastAsia="仿宋" w:cs="仿宋"/>
          <w:sz w:val="32"/>
          <w:szCs w:val="32"/>
          <w:highlight w:val="none"/>
          <w:lang w:val="en-US" w:eastAsia="zh-CN"/>
        </w:rPr>
        <w:t>7</w:t>
      </w:r>
      <w:r>
        <w:rPr>
          <w:rFonts w:hint="eastAsia" w:ascii="仿宋" w:hAnsi="仿宋" w:eastAsia="仿宋" w:cs="仿宋"/>
          <w:sz w:val="32"/>
          <w:szCs w:val="32"/>
          <w:highlight w:val="none"/>
        </w:rPr>
        <w:t>年</w:t>
      </w:r>
      <w:r>
        <w:rPr>
          <w:rFonts w:hint="eastAsia" w:ascii="仿宋" w:hAnsi="仿宋" w:eastAsia="仿宋" w:cs="仿宋"/>
          <w:sz w:val="32"/>
          <w:szCs w:val="32"/>
          <w:highlight w:val="none"/>
          <w:lang w:eastAsia="zh-CN"/>
        </w:rPr>
        <w:t>度</w:t>
      </w:r>
      <w:r>
        <w:rPr>
          <w:rFonts w:hint="eastAsia" w:ascii="仿宋" w:hAnsi="仿宋" w:eastAsia="仿宋" w:cs="仿宋"/>
          <w:sz w:val="32"/>
          <w:szCs w:val="32"/>
          <w:highlight w:val="none"/>
        </w:rPr>
        <w:t>相比</w:t>
      </w:r>
      <w:r>
        <w:rPr>
          <w:rFonts w:hint="eastAsia" w:ascii="仿宋" w:hAnsi="仿宋" w:eastAsia="仿宋" w:cs="仿宋"/>
          <w:sz w:val="32"/>
          <w:szCs w:val="32"/>
          <w:highlight w:val="none"/>
          <w:lang w:eastAsia="zh-CN"/>
        </w:rPr>
        <w:t>减少</w:t>
      </w:r>
      <w:r>
        <w:rPr>
          <w:rFonts w:hint="eastAsia" w:ascii="仿宋" w:hAnsi="仿宋" w:eastAsia="仿宋" w:cs="仿宋"/>
          <w:sz w:val="32"/>
          <w:szCs w:val="32"/>
          <w:highlight w:val="none"/>
          <w:lang w:val="en-US" w:eastAsia="zh-CN"/>
        </w:rPr>
        <w:t>71</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同比减少</w:t>
      </w:r>
      <w:r>
        <w:rPr>
          <w:rFonts w:hint="eastAsia" w:ascii="仿宋" w:hAnsi="仿宋" w:eastAsia="仿宋" w:cs="仿宋"/>
          <w:sz w:val="32"/>
          <w:szCs w:val="32"/>
          <w:highlight w:val="none"/>
          <w:lang w:val="en-US" w:eastAsia="zh-CN"/>
        </w:rPr>
        <w:t>20.64</w:t>
      </w:r>
      <w:r>
        <w:rPr>
          <w:rFonts w:hint="eastAsia" w:ascii="仿宋" w:hAnsi="仿宋" w:eastAsia="仿宋" w:cs="仿宋"/>
          <w:sz w:val="32"/>
          <w:szCs w:val="32"/>
          <w:highlight w:val="none"/>
        </w:rPr>
        <w:t>%。主要原因：</w:t>
      </w:r>
      <w:r>
        <w:rPr>
          <w:rFonts w:hint="eastAsia" w:ascii="仿宋" w:hAnsi="仿宋" w:eastAsia="仿宋" w:cs="仿宋"/>
          <w:sz w:val="32"/>
          <w:szCs w:val="32"/>
          <w:highlight w:val="none"/>
          <w:lang w:val="en-US" w:eastAsia="zh-CN"/>
        </w:rPr>
        <w:t>压缩一般公共支出</w:t>
      </w:r>
      <w:r>
        <w:rPr>
          <w:rFonts w:hint="eastAsia" w:ascii="仿宋" w:hAnsi="仿宋" w:eastAsia="仿宋" w:cs="仿宋"/>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其中：财政拨款收入</w:t>
      </w:r>
      <w:r>
        <w:rPr>
          <w:rFonts w:hint="eastAsia" w:ascii="仿宋" w:hAnsi="仿宋" w:eastAsia="仿宋" w:cs="仿宋"/>
          <w:sz w:val="32"/>
          <w:szCs w:val="32"/>
          <w:highlight w:val="none"/>
          <w:lang w:val="en-US" w:eastAsia="zh-CN"/>
        </w:rPr>
        <w:t>273</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eastAsia="zh-CN"/>
        </w:rPr>
        <w:t>收入合计的</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事业收入</w:t>
      </w:r>
      <w:r>
        <w:rPr>
          <w:rFonts w:hint="eastAsia" w:ascii="仿宋" w:hAnsi="仿宋" w:eastAsia="仿宋" w:cs="仿宋"/>
          <w:sz w:val="32"/>
          <w:szCs w:val="32"/>
          <w:highlight w:val="none"/>
          <w:lang w:val="en-US" w:eastAsia="zh-CN"/>
        </w:rPr>
        <w:t>0万元，占0%；</w:t>
      </w:r>
      <w:r>
        <w:rPr>
          <w:rFonts w:hint="eastAsia" w:ascii="仿宋" w:hAnsi="仿宋" w:eastAsia="仿宋" w:cs="仿宋"/>
          <w:sz w:val="32"/>
          <w:szCs w:val="32"/>
          <w:highlight w:val="none"/>
        </w:rPr>
        <w:t>其他收入</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eastAsia="zh-CN"/>
        </w:rPr>
        <w:t>收入合计的</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三、支出决算情况说明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rPr>
        <w:t>本年支出合计</w:t>
      </w:r>
      <w:r>
        <w:rPr>
          <w:rFonts w:hint="eastAsia" w:ascii="仿宋" w:hAnsi="仿宋" w:eastAsia="仿宋" w:cs="仿宋"/>
          <w:sz w:val="32"/>
          <w:szCs w:val="32"/>
          <w:highlight w:val="none"/>
          <w:lang w:val="en-US" w:eastAsia="zh-CN"/>
        </w:rPr>
        <w:t>277.24</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val="en-US" w:eastAsia="zh-CN"/>
        </w:rPr>
        <w:t>与2017年度相比</w:t>
      </w:r>
      <w:r>
        <w:rPr>
          <w:rFonts w:hint="eastAsia" w:ascii="仿宋" w:hAnsi="仿宋" w:eastAsia="仿宋" w:cs="仿宋"/>
          <w:sz w:val="32"/>
          <w:szCs w:val="32"/>
          <w:highlight w:val="none"/>
          <w:lang w:eastAsia="zh-CN"/>
        </w:rPr>
        <w:t>减少</w:t>
      </w:r>
      <w:r>
        <w:rPr>
          <w:rFonts w:hint="eastAsia" w:ascii="仿宋" w:hAnsi="仿宋" w:eastAsia="仿宋" w:cs="仿宋"/>
          <w:sz w:val="32"/>
          <w:szCs w:val="32"/>
          <w:highlight w:val="none"/>
          <w:lang w:val="en-US" w:eastAsia="zh-CN"/>
        </w:rPr>
        <w:t>66.76</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同比减少</w:t>
      </w:r>
      <w:r>
        <w:rPr>
          <w:rFonts w:hint="eastAsia" w:ascii="仿宋" w:hAnsi="仿宋" w:eastAsia="仿宋" w:cs="仿宋"/>
          <w:sz w:val="32"/>
          <w:szCs w:val="32"/>
          <w:highlight w:val="none"/>
          <w:lang w:val="en-US" w:eastAsia="zh-CN"/>
        </w:rPr>
        <w:t>19.41%</w:t>
      </w:r>
      <w:r>
        <w:rPr>
          <w:rFonts w:hint="eastAsia" w:ascii="仿宋" w:hAnsi="仿宋" w:eastAsia="仿宋" w:cs="仿宋"/>
          <w:sz w:val="32"/>
          <w:szCs w:val="32"/>
          <w:highlight w:val="none"/>
        </w:rPr>
        <w:t>。主要原因：</w:t>
      </w:r>
      <w:r>
        <w:rPr>
          <w:rFonts w:hint="eastAsia" w:ascii="仿宋" w:hAnsi="仿宋" w:eastAsia="仿宋" w:cs="仿宋"/>
          <w:sz w:val="32"/>
          <w:szCs w:val="32"/>
          <w:highlight w:val="none"/>
          <w:lang w:val="en-US" w:eastAsia="zh-CN"/>
        </w:rPr>
        <w:t>压缩一般公共支出。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其中：基本支出</w:t>
      </w:r>
      <w:r>
        <w:rPr>
          <w:rFonts w:hint="eastAsia" w:ascii="仿宋" w:hAnsi="仿宋" w:eastAsia="仿宋" w:cs="仿宋"/>
          <w:sz w:val="32"/>
          <w:szCs w:val="32"/>
          <w:highlight w:val="none"/>
          <w:lang w:val="en-US" w:eastAsia="zh-CN"/>
        </w:rPr>
        <w:t>255</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eastAsia="zh-CN"/>
        </w:rPr>
        <w:t>支出合计的</w:t>
      </w:r>
      <w:r>
        <w:rPr>
          <w:rFonts w:hint="eastAsia" w:ascii="仿宋" w:hAnsi="仿宋" w:eastAsia="仿宋" w:cs="仿宋"/>
          <w:sz w:val="32"/>
          <w:szCs w:val="32"/>
          <w:highlight w:val="none"/>
          <w:lang w:val="en-US" w:eastAsia="zh-CN"/>
        </w:rPr>
        <w:t>91.98</w:t>
      </w:r>
      <w:r>
        <w:rPr>
          <w:rFonts w:hint="eastAsia" w:ascii="仿宋" w:hAnsi="仿宋" w:eastAsia="仿宋" w:cs="仿宋"/>
          <w:sz w:val="32"/>
          <w:szCs w:val="32"/>
          <w:highlight w:val="none"/>
        </w:rPr>
        <w:t>%；项目支出</w:t>
      </w:r>
      <w:r>
        <w:rPr>
          <w:rFonts w:hint="eastAsia" w:ascii="仿宋" w:hAnsi="仿宋" w:eastAsia="仿宋" w:cs="仿宋"/>
          <w:sz w:val="32"/>
          <w:szCs w:val="32"/>
          <w:highlight w:val="none"/>
          <w:lang w:val="en-US" w:eastAsia="zh-CN"/>
        </w:rPr>
        <w:t>22.24</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eastAsia="zh-CN"/>
        </w:rPr>
        <w:t>支出合计的</w:t>
      </w:r>
      <w:r>
        <w:rPr>
          <w:rFonts w:hint="eastAsia" w:ascii="仿宋" w:hAnsi="仿宋" w:eastAsia="仿宋" w:cs="仿宋"/>
          <w:sz w:val="32"/>
          <w:szCs w:val="32"/>
          <w:highlight w:val="none"/>
          <w:lang w:val="en-US" w:eastAsia="zh-CN"/>
        </w:rPr>
        <w:t>8.02</w:t>
      </w:r>
      <w:r>
        <w:rPr>
          <w:rFonts w:hint="eastAsia" w:ascii="仿宋" w:hAnsi="仿宋" w:eastAsia="仿宋" w:cs="仿宋"/>
          <w:sz w:val="32"/>
          <w:szCs w:val="32"/>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四、财政拨款收入支出决算总体情况说明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2018年</w:t>
      </w:r>
      <w:r>
        <w:rPr>
          <w:rFonts w:hint="eastAsia" w:ascii="仿宋" w:hAnsi="仿宋" w:eastAsia="仿宋" w:cs="仿宋"/>
          <w:color w:val="auto"/>
          <w:sz w:val="32"/>
          <w:szCs w:val="32"/>
          <w:highlight w:val="none"/>
        </w:rPr>
        <w:t>度财政拨款收、支总计</w:t>
      </w:r>
      <w:r>
        <w:rPr>
          <w:rFonts w:hint="eastAsia" w:ascii="仿宋" w:hAnsi="仿宋" w:eastAsia="仿宋" w:cs="仿宋"/>
          <w:color w:val="auto"/>
          <w:sz w:val="32"/>
          <w:szCs w:val="32"/>
          <w:highlight w:val="none"/>
          <w:lang w:eastAsia="zh-CN"/>
        </w:rPr>
        <w:t>分别为</w:t>
      </w:r>
      <w:r>
        <w:rPr>
          <w:rFonts w:hint="eastAsia" w:ascii="仿宋" w:hAnsi="仿宋" w:eastAsia="仿宋" w:cs="仿宋"/>
          <w:color w:val="auto"/>
          <w:sz w:val="32"/>
          <w:szCs w:val="32"/>
          <w:highlight w:val="none"/>
          <w:lang w:val="en-US" w:eastAsia="zh-CN"/>
        </w:rPr>
        <w:t>273</w:t>
      </w:r>
      <w:r>
        <w:rPr>
          <w:rFonts w:hint="eastAsia" w:ascii="仿宋" w:hAnsi="仿宋" w:eastAsia="仿宋" w:cs="仿宋"/>
          <w:color w:val="auto"/>
          <w:sz w:val="32"/>
          <w:szCs w:val="32"/>
          <w:highlight w:val="none"/>
        </w:rPr>
        <w:t>万元</w:t>
      </w:r>
      <w:r>
        <w:rPr>
          <w:rFonts w:hint="eastAsia" w:ascii="仿宋" w:hAnsi="仿宋" w:eastAsia="仿宋" w:cs="仿宋"/>
          <w:color w:val="auto"/>
          <w:sz w:val="32"/>
          <w:szCs w:val="32"/>
          <w:highlight w:val="none"/>
          <w:lang w:eastAsia="zh-CN"/>
        </w:rPr>
        <w:t>和</w:t>
      </w:r>
      <w:r>
        <w:rPr>
          <w:rFonts w:hint="eastAsia" w:ascii="仿宋" w:hAnsi="仿宋" w:eastAsia="仿宋" w:cs="仿宋"/>
          <w:color w:val="auto"/>
          <w:sz w:val="32"/>
          <w:szCs w:val="32"/>
          <w:highlight w:val="none"/>
          <w:lang w:val="en-US" w:eastAsia="zh-CN"/>
        </w:rPr>
        <w:t>277.24万元</w:t>
      </w:r>
      <w:r>
        <w:rPr>
          <w:rFonts w:hint="eastAsia" w:ascii="仿宋" w:hAnsi="仿宋" w:eastAsia="仿宋" w:cs="仿宋"/>
          <w:color w:val="auto"/>
          <w:sz w:val="32"/>
          <w:szCs w:val="32"/>
          <w:highlight w:val="none"/>
        </w:rPr>
        <w:t>。与201</w:t>
      </w:r>
      <w:r>
        <w:rPr>
          <w:rFonts w:hint="eastAsia" w:ascii="仿宋" w:hAnsi="仿宋" w:eastAsia="仿宋" w:cs="仿宋"/>
          <w:color w:val="auto"/>
          <w:sz w:val="32"/>
          <w:szCs w:val="32"/>
          <w:highlight w:val="none"/>
          <w:lang w:val="en-US" w:eastAsia="zh-CN"/>
        </w:rPr>
        <w:t>7年度</w:t>
      </w:r>
      <w:r>
        <w:rPr>
          <w:rFonts w:hint="eastAsia" w:ascii="仿宋" w:hAnsi="仿宋" w:eastAsia="仿宋" w:cs="仿宋"/>
          <w:color w:val="auto"/>
          <w:sz w:val="32"/>
          <w:szCs w:val="32"/>
          <w:highlight w:val="none"/>
        </w:rPr>
        <w:t>相比，财政拨款收、支总计各</w:t>
      </w:r>
      <w:r>
        <w:rPr>
          <w:rFonts w:hint="eastAsia" w:ascii="仿宋" w:hAnsi="仿宋" w:eastAsia="仿宋" w:cs="仿宋"/>
          <w:color w:val="auto"/>
          <w:sz w:val="32"/>
          <w:szCs w:val="32"/>
          <w:highlight w:val="none"/>
          <w:lang w:eastAsia="zh-CN"/>
        </w:rPr>
        <w:t>减少</w:t>
      </w:r>
      <w:r>
        <w:rPr>
          <w:rFonts w:hint="eastAsia" w:ascii="仿宋" w:hAnsi="仿宋" w:eastAsia="仿宋" w:cs="仿宋"/>
          <w:color w:val="auto"/>
          <w:sz w:val="32"/>
          <w:szCs w:val="32"/>
          <w:highlight w:val="none"/>
          <w:lang w:val="en-US" w:eastAsia="zh-CN"/>
        </w:rPr>
        <w:t>71</w:t>
      </w:r>
      <w:r>
        <w:rPr>
          <w:rFonts w:hint="eastAsia" w:ascii="仿宋" w:hAnsi="仿宋" w:eastAsia="仿宋" w:cs="仿宋"/>
          <w:color w:val="auto"/>
          <w:sz w:val="32"/>
          <w:szCs w:val="32"/>
          <w:highlight w:val="none"/>
        </w:rPr>
        <w:t>万元</w:t>
      </w:r>
      <w:r>
        <w:rPr>
          <w:rFonts w:hint="eastAsia" w:ascii="仿宋" w:hAnsi="仿宋" w:eastAsia="仿宋" w:cs="仿宋"/>
          <w:color w:val="auto"/>
          <w:sz w:val="32"/>
          <w:szCs w:val="32"/>
          <w:highlight w:val="none"/>
          <w:lang w:eastAsia="zh-CN"/>
        </w:rPr>
        <w:t>和</w:t>
      </w:r>
      <w:r>
        <w:rPr>
          <w:rFonts w:hint="eastAsia" w:ascii="仿宋" w:hAnsi="仿宋" w:eastAsia="仿宋" w:cs="仿宋"/>
          <w:color w:val="auto"/>
          <w:sz w:val="32"/>
          <w:szCs w:val="32"/>
          <w:highlight w:val="none"/>
          <w:lang w:val="en-US" w:eastAsia="zh-CN"/>
        </w:rPr>
        <w:t>66.76万元</w:t>
      </w:r>
      <w:r>
        <w:rPr>
          <w:rFonts w:hint="eastAsia" w:ascii="仿宋" w:hAnsi="仿宋" w:eastAsia="仿宋" w:cs="仿宋"/>
          <w:color w:val="auto"/>
          <w:sz w:val="32"/>
          <w:szCs w:val="32"/>
          <w:highlight w:val="none"/>
        </w:rPr>
        <w:t>。主要原因：</w:t>
      </w:r>
      <w:r>
        <w:rPr>
          <w:rFonts w:hint="eastAsia" w:ascii="仿宋" w:hAnsi="仿宋" w:eastAsia="仿宋" w:cs="仿宋"/>
          <w:sz w:val="32"/>
          <w:szCs w:val="32"/>
          <w:highlight w:val="none"/>
          <w:lang w:val="en-US" w:eastAsia="zh-CN"/>
        </w:rPr>
        <w:t>压缩一般公共支出。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五、</w:t>
      </w:r>
      <w:r>
        <w:rPr>
          <w:rFonts w:hint="eastAsia" w:ascii="仿宋" w:hAnsi="仿宋" w:eastAsia="仿宋" w:cs="仿宋"/>
          <w:b/>
          <w:bCs/>
          <w:sz w:val="32"/>
          <w:szCs w:val="32"/>
          <w:highlight w:val="none"/>
        </w:rPr>
        <w:t>一般公共预算财政拨款支出决算情况说明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（一）一般公共预算财政拨款支出决算总体情况。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度一般公共预算财政拨款支出</w:t>
      </w:r>
      <w:r>
        <w:rPr>
          <w:rFonts w:hint="eastAsia" w:ascii="仿宋" w:hAnsi="仿宋" w:eastAsia="仿宋" w:cs="仿宋"/>
          <w:sz w:val="32"/>
          <w:szCs w:val="32"/>
          <w:highlight w:val="none"/>
          <w:lang w:val="en-US" w:eastAsia="zh-CN"/>
        </w:rPr>
        <w:t>277.24</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与</w:t>
      </w:r>
      <w:r>
        <w:rPr>
          <w:rFonts w:hint="eastAsia" w:ascii="仿宋" w:hAnsi="仿宋" w:eastAsia="仿宋" w:cs="仿宋"/>
          <w:sz w:val="32"/>
          <w:szCs w:val="32"/>
          <w:highlight w:val="none"/>
          <w:lang w:val="en-US" w:eastAsia="zh-CN"/>
        </w:rPr>
        <w:t>2017年决算数相比，</w:t>
      </w:r>
      <w:r>
        <w:rPr>
          <w:rFonts w:hint="eastAsia" w:ascii="仿宋" w:hAnsi="仿宋" w:eastAsia="仿宋" w:cs="仿宋"/>
          <w:sz w:val="32"/>
          <w:szCs w:val="32"/>
          <w:highlight w:val="none"/>
          <w:lang w:eastAsia="zh-CN"/>
        </w:rPr>
        <w:t>减少</w:t>
      </w:r>
      <w:r>
        <w:rPr>
          <w:rFonts w:hint="eastAsia" w:ascii="仿宋" w:hAnsi="仿宋" w:eastAsia="仿宋" w:cs="仿宋"/>
          <w:sz w:val="32"/>
          <w:szCs w:val="32"/>
          <w:highlight w:val="none"/>
          <w:lang w:val="en-US" w:eastAsia="zh-CN"/>
        </w:rPr>
        <w:t>66.76万元，</w:t>
      </w:r>
      <w:r>
        <w:rPr>
          <w:rFonts w:hint="eastAsia" w:ascii="仿宋" w:hAnsi="仿宋" w:eastAsia="仿宋" w:cs="仿宋"/>
          <w:sz w:val="32"/>
          <w:szCs w:val="32"/>
          <w:highlight w:val="none"/>
          <w:lang w:eastAsia="zh-CN"/>
        </w:rPr>
        <w:t>减少</w:t>
      </w:r>
      <w:r>
        <w:rPr>
          <w:rFonts w:hint="eastAsia" w:ascii="仿宋" w:hAnsi="仿宋" w:eastAsia="仿宋" w:cs="仿宋"/>
          <w:sz w:val="32"/>
          <w:szCs w:val="32"/>
          <w:highlight w:val="none"/>
          <w:lang w:val="en-US" w:eastAsia="zh-CN"/>
        </w:rPr>
        <w:t>19.41</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主要原因：</w:t>
      </w:r>
      <w:r>
        <w:rPr>
          <w:rFonts w:hint="eastAsia" w:ascii="仿宋" w:hAnsi="仿宋" w:eastAsia="仿宋" w:cs="仿宋"/>
          <w:sz w:val="32"/>
          <w:szCs w:val="32"/>
          <w:highlight w:val="none"/>
          <w:lang w:val="en-US" w:eastAsia="zh-CN"/>
        </w:rPr>
        <w:t>压缩一般公共支出。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（二）一般公共预算财政拨款支出决算结构情况。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度一般公共预算财政拨款支出</w:t>
      </w:r>
      <w:r>
        <w:rPr>
          <w:rFonts w:hint="eastAsia" w:ascii="仿宋" w:hAnsi="仿宋" w:eastAsia="仿宋" w:cs="仿宋"/>
          <w:sz w:val="32"/>
          <w:szCs w:val="32"/>
          <w:highlight w:val="none"/>
          <w:lang w:val="en-US" w:eastAsia="zh-CN"/>
        </w:rPr>
        <w:t>277.24</w:t>
      </w:r>
      <w:r>
        <w:rPr>
          <w:rFonts w:hint="eastAsia" w:ascii="仿宋" w:hAnsi="仿宋" w:eastAsia="仿宋" w:cs="仿宋"/>
          <w:sz w:val="32"/>
          <w:szCs w:val="32"/>
          <w:highlight w:val="none"/>
        </w:rPr>
        <w:t>万元，主要用于以下方面：一般公共服务支出（类）</w:t>
      </w:r>
      <w:r>
        <w:rPr>
          <w:rFonts w:hint="eastAsia" w:ascii="仿宋" w:hAnsi="仿宋" w:eastAsia="仿宋" w:cs="仿宋"/>
          <w:sz w:val="32"/>
          <w:szCs w:val="32"/>
          <w:highlight w:val="none"/>
          <w:lang w:val="en-US" w:eastAsia="zh-CN"/>
        </w:rPr>
        <w:t>163.24</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58.88</w:t>
      </w:r>
      <w:r>
        <w:rPr>
          <w:rFonts w:hint="eastAsia" w:ascii="仿宋" w:hAnsi="仿宋" w:eastAsia="仿宋" w:cs="仿宋"/>
          <w:sz w:val="32"/>
          <w:szCs w:val="32"/>
          <w:highlight w:val="none"/>
        </w:rPr>
        <w:t>%；社会保障和就业支出</w:t>
      </w:r>
      <w:r>
        <w:rPr>
          <w:rFonts w:hint="eastAsia" w:ascii="仿宋" w:hAnsi="仿宋" w:eastAsia="仿宋" w:cs="仿宋"/>
          <w:sz w:val="32"/>
          <w:szCs w:val="32"/>
          <w:highlight w:val="none"/>
          <w:lang w:eastAsia="zh-CN"/>
        </w:rPr>
        <w:t>（类）</w:t>
      </w:r>
      <w:r>
        <w:rPr>
          <w:rFonts w:hint="eastAsia" w:ascii="仿宋" w:hAnsi="仿宋" w:eastAsia="仿宋" w:cs="仿宋"/>
          <w:sz w:val="32"/>
          <w:szCs w:val="32"/>
          <w:highlight w:val="none"/>
          <w:lang w:val="en-US" w:eastAsia="zh-CN"/>
        </w:rPr>
        <w:t>53</w:t>
      </w:r>
      <w:r>
        <w:rPr>
          <w:rFonts w:hint="eastAsia" w:ascii="仿宋" w:hAnsi="仿宋" w:eastAsia="仿宋" w:cs="仿宋"/>
          <w:sz w:val="32"/>
          <w:szCs w:val="32"/>
          <w:highlight w:val="none"/>
          <w:lang w:eastAsia="zh-CN"/>
        </w:rPr>
        <w:t>万元，占</w:t>
      </w:r>
      <w:r>
        <w:rPr>
          <w:rFonts w:hint="eastAsia" w:ascii="仿宋" w:hAnsi="仿宋" w:eastAsia="仿宋" w:cs="仿宋"/>
          <w:sz w:val="32"/>
          <w:szCs w:val="32"/>
          <w:highlight w:val="none"/>
          <w:lang w:val="en-US" w:eastAsia="zh-CN"/>
        </w:rPr>
        <w:t>19.12%；</w:t>
      </w:r>
      <w:r>
        <w:rPr>
          <w:rFonts w:hint="eastAsia" w:ascii="仿宋" w:hAnsi="仿宋" w:eastAsia="仿宋" w:cs="仿宋"/>
          <w:sz w:val="32"/>
          <w:szCs w:val="32"/>
          <w:highlight w:val="none"/>
        </w:rPr>
        <w:t>医疗卫生与计划生育支出</w:t>
      </w:r>
      <w:r>
        <w:rPr>
          <w:rFonts w:hint="eastAsia" w:ascii="仿宋" w:hAnsi="仿宋" w:eastAsia="仿宋" w:cs="仿宋"/>
          <w:sz w:val="32"/>
          <w:szCs w:val="32"/>
          <w:highlight w:val="none"/>
          <w:lang w:val="en-US" w:eastAsia="zh-CN"/>
        </w:rPr>
        <w:t>15万元,占5.41%;</w:t>
      </w:r>
      <w:r>
        <w:rPr>
          <w:rFonts w:hint="eastAsia" w:ascii="仿宋" w:hAnsi="仿宋" w:eastAsia="仿宋" w:cs="仿宋"/>
          <w:sz w:val="32"/>
          <w:szCs w:val="32"/>
          <w:highlight w:val="none"/>
          <w:lang w:eastAsia="zh-CN"/>
        </w:rPr>
        <w:t>住房保障支出</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46</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16.59</w:t>
      </w:r>
      <w:r>
        <w:rPr>
          <w:rFonts w:hint="eastAsia" w:ascii="仿宋" w:hAnsi="仿宋" w:eastAsia="仿宋" w:cs="仿宋"/>
          <w:sz w:val="32"/>
          <w:szCs w:val="32"/>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（三）一般公共预算财政拨款支出决算具体情况。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度一般公共预算财政拨款支出年初预算为</w:t>
      </w:r>
      <w:r>
        <w:rPr>
          <w:rFonts w:hint="eastAsia" w:ascii="仿宋" w:hAnsi="仿宋" w:eastAsia="仿宋" w:cs="仿宋"/>
          <w:sz w:val="32"/>
          <w:szCs w:val="32"/>
          <w:highlight w:val="none"/>
          <w:lang w:val="en-US" w:eastAsia="zh-CN"/>
        </w:rPr>
        <w:t>243</w:t>
      </w:r>
      <w:r>
        <w:rPr>
          <w:rFonts w:hint="eastAsia" w:ascii="仿宋" w:hAnsi="仿宋" w:eastAsia="仿宋" w:cs="仿宋"/>
          <w:sz w:val="32"/>
          <w:szCs w:val="32"/>
          <w:highlight w:val="none"/>
        </w:rPr>
        <w:t>万元，支出决算为</w:t>
      </w:r>
      <w:r>
        <w:rPr>
          <w:rFonts w:hint="eastAsia" w:ascii="仿宋" w:hAnsi="仿宋" w:eastAsia="仿宋" w:cs="仿宋"/>
          <w:sz w:val="32"/>
          <w:szCs w:val="32"/>
          <w:highlight w:val="none"/>
          <w:lang w:val="en-US" w:eastAsia="zh-CN"/>
        </w:rPr>
        <w:t>277.24</w:t>
      </w:r>
      <w:r>
        <w:rPr>
          <w:rFonts w:hint="eastAsia" w:ascii="仿宋" w:hAnsi="仿宋" w:eastAsia="仿宋" w:cs="仿宋"/>
          <w:sz w:val="32"/>
          <w:szCs w:val="32"/>
          <w:highlight w:val="none"/>
        </w:rPr>
        <w:t>万元，完成年初预算的</w:t>
      </w:r>
      <w:r>
        <w:rPr>
          <w:rFonts w:hint="eastAsia" w:ascii="仿宋" w:hAnsi="仿宋" w:eastAsia="仿宋" w:cs="仿宋"/>
          <w:sz w:val="32"/>
          <w:szCs w:val="32"/>
          <w:highlight w:val="none"/>
          <w:lang w:val="en-US" w:eastAsia="zh-CN"/>
        </w:rPr>
        <w:t>114.90%</w:t>
      </w:r>
      <w:r>
        <w:rPr>
          <w:rFonts w:hint="eastAsia" w:ascii="仿宋" w:hAnsi="仿宋" w:eastAsia="仿宋" w:cs="仿宋"/>
          <w:sz w:val="32"/>
          <w:szCs w:val="32"/>
          <w:highlight w:val="none"/>
        </w:rPr>
        <w:t>。其中：</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1、一般公共服务支出2018</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243</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支出决算为</w:t>
      </w:r>
      <w:r>
        <w:rPr>
          <w:rFonts w:hint="eastAsia" w:ascii="仿宋" w:hAnsi="仿宋" w:eastAsia="仿宋" w:cs="仿宋"/>
          <w:sz w:val="32"/>
          <w:szCs w:val="32"/>
          <w:highlight w:val="none"/>
          <w:lang w:val="en-US" w:eastAsia="zh-CN"/>
        </w:rPr>
        <w:t>163.24万元，比年初预算减少79.76万元。</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sz w:val="32"/>
          <w:szCs w:val="32"/>
          <w:highlight w:val="none"/>
          <w:lang w:val="en-US"/>
        </w:rPr>
      </w:pPr>
      <w:r>
        <w:rPr>
          <w:rFonts w:hint="eastAsia" w:ascii="仿宋" w:hAnsi="仿宋" w:eastAsia="仿宋" w:cs="仿宋"/>
          <w:sz w:val="32"/>
          <w:szCs w:val="32"/>
          <w:highlight w:val="none"/>
          <w:lang w:val="en-US" w:eastAsia="zh-CN"/>
        </w:rPr>
        <w:t>2、社会保障和就业支出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行政事业单位离退休</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val="en-US" w:eastAsia="zh-CN"/>
        </w:rPr>
        <w:t>未归口管理的行政单位离退休</w:t>
      </w:r>
      <w:r>
        <w:rPr>
          <w:rFonts w:hint="eastAsia" w:ascii="仿宋" w:hAnsi="仿宋" w:eastAsia="仿宋" w:cs="仿宋"/>
          <w:sz w:val="32"/>
          <w:szCs w:val="32"/>
          <w:highlight w:val="none"/>
        </w:rPr>
        <w:t>（项）</w:t>
      </w:r>
      <w:r>
        <w:rPr>
          <w:rFonts w:hint="eastAsia" w:ascii="仿宋" w:hAnsi="仿宋" w:eastAsia="仿宋" w:cs="仿宋"/>
          <w:sz w:val="32"/>
          <w:szCs w:val="32"/>
          <w:highlight w:val="none"/>
          <w:lang w:val="en-US" w:eastAsia="zh-CN"/>
        </w:rPr>
        <w:t>2018</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支出决算为</w:t>
      </w:r>
      <w:r>
        <w:rPr>
          <w:rFonts w:hint="eastAsia" w:ascii="仿宋" w:hAnsi="仿宋" w:eastAsia="仿宋" w:cs="仿宋"/>
          <w:sz w:val="32"/>
          <w:szCs w:val="32"/>
          <w:highlight w:val="none"/>
          <w:lang w:val="en-US" w:eastAsia="zh-CN"/>
        </w:rPr>
        <w:t>53万元，比年初预算增加53万元。</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3、医疗卫生与计划生育支出2018</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，支出决算为</w:t>
      </w:r>
      <w:r>
        <w:rPr>
          <w:rFonts w:hint="eastAsia" w:ascii="仿宋" w:hAnsi="仿宋" w:eastAsia="仿宋" w:cs="仿宋"/>
          <w:sz w:val="32"/>
          <w:szCs w:val="32"/>
          <w:highlight w:val="none"/>
          <w:lang w:val="en-US" w:eastAsia="zh-CN"/>
        </w:rPr>
        <w:t>15万元，比年初预算增加15万元。</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4、住房保障支出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住房改革支出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val="en-US" w:eastAsia="zh-CN"/>
        </w:rPr>
        <w:t>住房公积金</w:t>
      </w:r>
      <w:r>
        <w:rPr>
          <w:rFonts w:hint="eastAsia" w:ascii="仿宋" w:hAnsi="仿宋" w:eastAsia="仿宋" w:cs="仿宋"/>
          <w:sz w:val="32"/>
          <w:szCs w:val="32"/>
          <w:highlight w:val="none"/>
        </w:rPr>
        <w:t>（项）</w:t>
      </w:r>
      <w:r>
        <w:rPr>
          <w:rFonts w:hint="eastAsia" w:ascii="仿宋" w:hAnsi="仿宋" w:eastAsia="仿宋" w:cs="仿宋"/>
          <w:sz w:val="32"/>
          <w:szCs w:val="32"/>
          <w:highlight w:val="none"/>
          <w:lang w:val="en-US" w:eastAsia="zh-CN"/>
        </w:rPr>
        <w:t>2018</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0万元，2018</w:t>
      </w:r>
      <w:r>
        <w:rPr>
          <w:rFonts w:hint="eastAsia" w:ascii="仿宋" w:hAnsi="仿宋" w:eastAsia="仿宋" w:cs="仿宋"/>
          <w:sz w:val="32"/>
          <w:szCs w:val="32"/>
          <w:highlight w:val="none"/>
          <w:lang w:eastAsia="zh-CN"/>
        </w:rPr>
        <w:t>支出决算为</w:t>
      </w:r>
      <w:r>
        <w:rPr>
          <w:rFonts w:hint="eastAsia" w:ascii="仿宋" w:hAnsi="仿宋" w:eastAsia="仿宋" w:cs="仿宋"/>
          <w:sz w:val="32"/>
          <w:szCs w:val="32"/>
          <w:highlight w:val="none"/>
          <w:lang w:val="en-US" w:eastAsia="zh-CN"/>
        </w:rPr>
        <w:t>46万元，比年初预算增加46万元。</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六、一般公共预算财政拨款基本支出决算情况说明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度一般公共预算财政拨款基本支出</w:t>
      </w:r>
      <w:r>
        <w:rPr>
          <w:rFonts w:hint="eastAsia" w:ascii="仿宋" w:hAnsi="仿宋" w:eastAsia="仿宋" w:cs="仿宋"/>
          <w:sz w:val="32"/>
          <w:szCs w:val="32"/>
          <w:highlight w:val="none"/>
          <w:lang w:val="en-US" w:eastAsia="zh-CN"/>
        </w:rPr>
        <w:t>255</w:t>
      </w:r>
      <w:r>
        <w:rPr>
          <w:rFonts w:hint="eastAsia" w:ascii="仿宋" w:hAnsi="仿宋" w:eastAsia="仿宋" w:cs="仿宋"/>
          <w:sz w:val="32"/>
          <w:szCs w:val="32"/>
          <w:highlight w:val="none"/>
        </w:rPr>
        <w:t>万元，其中：</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人员经费</w:t>
      </w:r>
      <w:r>
        <w:rPr>
          <w:rFonts w:hint="eastAsia" w:ascii="仿宋" w:hAnsi="仿宋" w:eastAsia="仿宋" w:cs="仿宋"/>
          <w:sz w:val="32"/>
          <w:szCs w:val="32"/>
          <w:highlight w:val="none"/>
          <w:lang w:val="en-US" w:eastAsia="zh-CN"/>
        </w:rPr>
        <w:t>242</w:t>
      </w:r>
      <w:r>
        <w:rPr>
          <w:rFonts w:hint="eastAsia" w:ascii="仿宋" w:hAnsi="仿宋" w:eastAsia="仿宋" w:cs="仿宋"/>
          <w:sz w:val="32"/>
          <w:szCs w:val="32"/>
          <w:highlight w:val="none"/>
        </w:rPr>
        <w:t>万元，主要包括：基本工资、津贴补贴、奖金、伙食补助费</w:t>
      </w:r>
      <w:r>
        <w:rPr>
          <w:rFonts w:hint="eastAsia" w:ascii="仿宋" w:hAnsi="仿宋" w:eastAsia="仿宋" w:cs="仿宋"/>
          <w:sz w:val="32"/>
          <w:szCs w:val="32"/>
          <w:highlight w:val="none"/>
          <w:lang w:eastAsia="zh-CN"/>
        </w:rPr>
        <w:t>、住房公积金、</w:t>
      </w:r>
      <w:r>
        <w:rPr>
          <w:rFonts w:hint="eastAsia" w:ascii="仿宋" w:hAnsi="仿宋" w:eastAsia="仿宋" w:cs="仿宋"/>
          <w:sz w:val="32"/>
          <w:szCs w:val="32"/>
          <w:highlight w:val="none"/>
        </w:rPr>
        <w:t>其他</w:t>
      </w:r>
      <w:r>
        <w:rPr>
          <w:rFonts w:hint="eastAsia" w:ascii="仿宋" w:hAnsi="仿宋" w:eastAsia="仿宋" w:cs="仿宋"/>
          <w:sz w:val="32"/>
          <w:szCs w:val="32"/>
          <w:highlight w:val="none"/>
          <w:lang w:eastAsia="zh-CN"/>
        </w:rPr>
        <w:t>工资福利支出、</w:t>
      </w:r>
      <w:r>
        <w:rPr>
          <w:rFonts w:hint="eastAsia" w:ascii="仿宋" w:hAnsi="仿宋" w:eastAsia="仿宋" w:cs="仿宋"/>
          <w:sz w:val="32"/>
          <w:szCs w:val="32"/>
          <w:highlight w:val="none"/>
        </w:rPr>
        <w:t>退休费、抚恤金、生活补助、</w:t>
      </w:r>
      <w:r>
        <w:rPr>
          <w:rFonts w:hint="eastAsia" w:ascii="仿宋" w:hAnsi="仿宋" w:eastAsia="仿宋" w:cs="仿宋"/>
          <w:sz w:val="32"/>
          <w:szCs w:val="32"/>
          <w:highlight w:val="none"/>
          <w:lang w:eastAsia="zh-CN"/>
        </w:rPr>
        <w:t>助学金、</w:t>
      </w:r>
      <w:r>
        <w:rPr>
          <w:rFonts w:hint="eastAsia" w:ascii="仿宋" w:hAnsi="仿宋" w:eastAsia="仿宋" w:cs="仿宋"/>
          <w:sz w:val="32"/>
          <w:szCs w:val="32"/>
          <w:highlight w:val="none"/>
        </w:rPr>
        <w:t>奖励金、其他对个人和家庭的补助支出；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公用经费</w:t>
      </w:r>
      <w:r>
        <w:rPr>
          <w:rFonts w:hint="eastAsia" w:ascii="仿宋" w:hAnsi="仿宋" w:eastAsia="仿宋" w:cs="仿宋"/>
          <w:sz w:val="32"/>
          <w:szCs w:val="32"/>
          <w:highlight w:val="none"/>
          <w:lang w:val="en-US" w:eastAsia="zh-CN"/>
        </w:rPr>
        <w:t>13</w:t>
      </w:r>
      <w:r>
        <w:rPr>
          <w:rFonts w:hint="eastAsia" w:ascii="仿宋" w:hAnsi="仿宋" w:eastAsia="仿宋" w:cs="仿宋"/>
          <w:sz w:val="32"/>
          <w:szCs w:val="32"/>
          <w:highlight w:val="none"/>
        </w:rPr>
        <w:t>万元，主要包括：办公费、印刷费、手续费</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水费、电费、邮电费、取暖费、差旅费、维修（护）费、租赁费、会议费、培训费、专用材料费、劳务费、委托业务费、其他商品和服务支出</w:t>
      </w:r>
      <w:r>
        <w:rPr>
          <w:rFonts w:hint="eastAsia" w:ascii="仿宋" w:hAnsi="仿宋" w:eastAsia="仿宋" w:cs="仿宋"/>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七、一般公共预算财政拨款“三公”经费支出决算情况说明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（一）“三公”经费财政拨款支出决算总体情况说明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“三公”经费</w:t>
      </w:r>
      <w:r>
        <w:rPr>
          <w:rFonts w:hint="eastAsia" w:ascii="仿宋" w:hAnsi="仿宋" w:eastAsia="仿宋" w:cs="仿宋"/>
          <w:sz w:val="32"/>
          <w:szCs w:val="32"/>
          <w:highlight w:val="none"/>
          <w:lang w:val="en-US" w:eastAsia="zh-CN"/>
        </w:rPr>
        <w:t>年初预算为0万元，</w:t>
      </w: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度“三公”经费财政拨款支出</w:t>
      </w:r>
      <w:r>
        <w:rPr>
          <w:rFonts w:hint="eastAsia" w:ascii="仿宋" w:hAnsi="仿宋" w:eastAsia="仿宋" w:cs="仿宋"/>
          <w:sz w:val="32"/>
          <w:szCs w:val="32"/>
          <w:highlight w:val="none"/>
          <w:lang w:eastAsia="zh-CN"/>
        </w:rPr>
        <w:t>决算</w:t>
      </w:r>
      <w:r>
        <w:rPr>
          <w:rFonts w:hint="eastAsia" w:ascii="仿宋" w:hAnsi="仿宋" w:eastAsia="仿宋" w:cs="仿宋"/>
          <w:sz w:val="32"/>
          <w:szCs w:val="32"/>
          <w:highlight w:val="none"/>
        </w:rPr>
        <w:t>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万元，完成预算的</w:t>
      </w:r>
      <w:r>
        <w:rPr>
          <w:rFonts w:hint="eastAsia" w:ascii="仿宋" w:hAnsi="仿宋" w:eastAsia="仿宋" w:cs="仿宋"/>
          <w:sz w:val="32"/>
          <w:szCs w:val="32"/>
          <w:highlight w:val="none"/>
          <w:lang w:val="en-US" w:eastAsia="zh-CN"/>
        </w:rPr>
        <w:t>0%。</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（二）“三公”经费财政拨款支出决算具体情况说明。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1、</w:t>
      </w:r>
      <w:r>
        <w:rPr>
          <w:rFonts w:hint="eastAsia" w:ascii="仿宋" w:hAnsi="仿宋" w:eastAsia="仿宋" w:cs="仿宋"/>
          <w:b/>
          <w:bCs/>
          <w:sz w:val="32"/>
          <w:szCs w:val="32"/>
          <w:highlight w:val="none"/>
        </w:rPr>
        <w:t>因公出国（境）费</w:t>
      </w:r>
      <w:r>
        <w:rPr>
          <w:rFonts w:hint="eastAsia" w:ascii="仿宋" w:hAnsi="仿宋" w:eastAsia="仿宋" w:cs="仿宋"/>
          <w:b w:val="0"/>
          <w:bCs w:val="0"/>
          <w:sz w:val="32"/>
          <w:szCs w:val="32"/>
          <w:highlight w:val="none"/>
          <w:lang w:eastAsia="zh-CN"/>
        </w:rPr>
        <w:t>年初预算为</w:t>
      </w:r>
      <w:r>
        <w:rPr>
          <w:rFonts w:hint="eastAsia" w:ascii="仿宋" w:hAnsi="仿宋" w:eastAsia="仿宋" w:cs="仿宋"/>
          <w:sz w:val="32"/>
          <w:szCs w:val="32"/>
          <w:highlight w:val="none"/>
          <w:lang w:val="en-US" w:eastAsia="zh-CN"/>
        </w:rPr>
        <w:t>0</w:t>
      </w:r>
      <w:r>
        <w:rPr>
          <w:rFonts w:hint="eastAsia" w:ascii="仿宋" w:hAnsi="仿宋" w:eastAsia="仿宋" w:cs="仿宋"/>
          <w:b w:val="0"/>
          <w:bCs w:val="0"/>
          <w:sz w:val="32"/>
          <w:szCs w:val="32"/>
          <w:highlight w:val="none"/>
          <w:lang w:val="en-US" w:eastAsia="zh-CN"/>
        </w:rPr>
        <w:t>万元，</w:t>
      </w:r>
      <w:r>
        <w:rPr>
          <w:rFonts w:hint="eastAsia" w:ascii="仿宋" w:hAnsi="仿宋" w:eastAsia="仿宋" w:cs="仿宋"/>
          <w:sz w:val="32"/>
          <w:szCs w:val="32"/>
          <w:highlight w:val="none"/>
        </w:rPr>
        <w:t>支出决算为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万元，完成预算的</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。与上年决算相比，增加（减少）</w:t>
      </w:r>
      <w:r>
        <w:rPr>
          <w:rFonts w:hint="eastAsia" w:ascii="仿宋" w:hAnsi="仿宋" w:eastAsia="仿宋" w:cs="仿宋"/>
          <w:sz w:val="32"/>
          <w:szCs w:val="32"/>
          <w:highlight w:val="none"/>
          <w:lang w:val="en-US" w:eastAsia="zh-CN"/>
        </w:rPr>
        <w:t>0万元，增长（下降）0%，主要原因是无；</w:t>
      </w:r>
      <w:r>
        <w:rPr>
          <w:rFonts w:hint="eastAsia" w:ascii="仿宋" w:hAnsi="仿宋" w:eastAsia="仿宋" w:cs="仿宋"/>
          <w:sz w:val="32"/>
          <w:szCs w:val="32"/>
          <w:highlight w:val="none"/>
        </w:rPr>
        <w:t>全年安排因公出国（境）团组</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个，累计</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人次。</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2、</w:t>
      </w:r>
      <w:r>
        <w:rPr>
          <w:rFonts w:hint="eastAsia" w:ascii="仿宋" w:hAnsi="仿宋" w:eastAsia="仿宋" w:cs="仿宋"/>
          <w:b/>
          <w:bCs/>
          <w:sz w:val="32"/>
          <w:szCs w:val="32"/>
          <w:highlight w:val="none"/>
        </w:rPr>
        <w:t>公务用车购置及运行费</w:t>
      </w:r>
      <w:r>
        <w:rPr>
          <w:rFonts w:hint="eastAsia" w:ascii="仿宋" w:hAnsi="仿宋" w:eastAsia="仿宋" w:cs="仿宋"/>
          <w:b w:val="0"/>
          <w:bCs w:val="0"/>
          <w:sz w:val="32"/>
          <w:szCs w:val="32"/>
          <w:highlight w:val="none"/>
          <w:lang w:eastAsia="zh-CN"/>
        </w:rPr>
        <w:t>年初预算为</w:t>
      </w:r>
      <w:r>
        <w:rPr>
          <w:rFonts w:hint="eastAsia" w:ascii="仿宋" w:hAnsi="仿宋" w:eastAsia="仿宋" w:cs="仿宋"/>
          <w:b w:val="0"/>
          <w:bCs w:val="0"/>
          <w:sz w:val="32"/>
          <w:szCs w:val="32"/>
          <w:highlight w:val="none"/>
          <w:lang w:val="en-US" w:eastAsia="zh-CN"/>
        </w:rPr>
        <w:t>0万元，</w:t>
      </w:r>
      <w:r>
        <w:rPr>
          <w:rFonts w:hint="eastAsia" w:ascii="仿宋" w:hAnsi="仿宋" w:eastAsia="仿宋" w:cs="仿宋"/>
          <w:sz w:val="32"/>
          <w:szCs w:val="32"/>
          <w:highlight w:val="none"/>
        </w:rPr>
        <w:t>支出决算为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万元，完成预算的</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。其中：公务用车购置支出0万元，</w:t>
      </w:r>
      <w:r>
        <w:rPr>
          <w:rFonts w:hint="eastAsia" w:ascii="仿宋" w:hAnsi="仿宋" w:eastAsia="仿宋" w:cs="仿宋"/>
          <w:sz w:val="32"/>
          <w:szCs w:val="32"/>
          <w:highlight w:val="none"/>
        </w:rPr>
        <w:t>公务用车保有量</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辆</w:t>
      </w:r>
      <w:r>
        <w:rPr>
          <w:rFonts w:hint="eastAsia" w:ascii="仿宋" w:hAnsi="仿宋" w:eastAsia="仿宋" w:cs="仿宋"/>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3"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b/>
          <w:bCs/>
          <w:sz w:val="32"/>
          <w:szCs w:val="32"/>
          <w:highlight w:val="none"/>
          <w:lang w:val="en-US" w:eastAsia="zh-CN"/>
        </w:rPr>
        <w:t>3、</w:t>
      </w:r>
      <w:r>
        <w:rPr>
          <w:rFonts w:hint="eastAsia" w:ascii="仿宋" w:hAnsi="仿宋" w:eastAsia="仿宋" w:cs="仿宋"/>
          <w:b/>
          <w:bCs/>
          <w:sz w:val="32"/>
          <w:szCs w:val="32"/>
          <w:highlight w:val="none"/>
        </w:rPr>
        <w:t>公务接待费</w:t>
      </w:r>
      <w:r>
        <w:rPr>
          <w:rFonts w:hint="eastAsia" w:ascii="仿宋" w:hAnsi="仿宋" w:eastAsia="仿宋" w:cs="仿宋"/>
          <w:b w:val="0"/>
          <w:bCs w:val="0"/>
          <w:sz w:val="32"/>
          <w:szCs w:val="32"/>
          <w:highlight w:val="none"/>
          <w:lang w:eastAsia="zh-CN"/>
        </w:rPr>
        <w:t>年初预算为</w:t>
      </w:r>
      <w:r>
        <w:rPr>
          <w:rFonts w:hint="eastAsia" w:ascii="仿宋" w:hAnsi="仿宋" w:eastAsia="仿宋" w:cs="仿宋"/>
          <w:b w:val="0"/>
          <w:bCs w:val="0"/>
          <w:sz w:val="32"/>
          <w:szCs w:val="32"/>
          <w:highlight w:val="none"/>
          <w:lang w:val="en-US" w:eastAsia="zh-CN"/>
        </w:rPr>
        <w:t>0万元，</w:t>
      </w:r>
      <w:r>
        <w:rPr>
          <w:rFonts w:hint="eastAsia" w:ascii="仿宋" w:hAnsi="仿宋" w:eastAsia="仿宋" w:cs="仿宋"/>
          <w:sz w:val="32"/>
          <w:szCs w:val="32"/>
          <w:highlight w:val="none"/>
        </w:rPr>
        <w:t>支出决算为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比上年决算减少</w:t>
      </w:r>
      <w:r>
        <w:rPr>
          <w:rFonts w:hint="eastAsia" w:ascii="仿宋" w:hAnsi="仿宋" w:eastAsia="仿宋" w:cs="仿宋"/>
          <w:sz w:val="32"/>
          <w:szCs w:val="32"/>
          <w:highlight w:val="none"/>
          <w:lang w:val="en-US" w:eastAsia="zh-CN"/>
        </w:rPr>
        <w:t>0.2万元</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其中：国内公务接待费</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万元，国内公务接待批次</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个，国内公务接待人次</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人；国（境）外公务接待费</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万元，国（境）外公务接待批次</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个，国（境）外公务接待人次</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八、政府性基金预算财政拨款收入支出决算情况说明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度政府性基金预算财政拨款年初结转和结余</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万元，本年收入决算数</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万元，本年支出决算数</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万元，年末结转和结余</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0万元</w:t>
      </w:r>
      <w:r>
        <w:rPr>
          <w:rFonts w:hint="eastAsia" w:ascii="仿宋" w:hAnsi="仿宋" w:eastAsia="仿宋" w:cs="仿宋"/>
          <w:sz w:val="32"/>
          <w:szCs w:val="32"/>
          <w:highlight w:val="none"/>
        </w:rPr>
        <w:t>，支出决算为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lang w:eastAsia="zh-CN"/>
        </w:rPr>
        <w:t>万</w:t>
      </w:r>
      <w:r>
        <w:rPr>
          <w:rFonts w:hint="eastAsia" w:ascii="仿宋" w:hAnsi="仿宋" w:eastAsia="仿宋" w:cs="仿宋"/>
          <w:sz w:val="32"/>
          <w:szCs w:val="32"/>
          <w:highlight w:val="none"/>
        </w:rPr>
        <w:t>元。</w:t>
      </w:r>
      <w:r>
        <w:rPr>
          <w:rFonts w:hint="eastAsia" w:ascii="仿宋" w:hAnsi="仿宋" w:eastAsia="仿宋" w:cs="仿宋"/>
          <w:sz w:val="32"/>
          <w:szCs w:val="32"/>
          <w:highlight w:val="none"/>
          <w:lang w:eastAsia="zh-CN"/>
        </w:rPr>
        <w:t>本年收入</w:t>
      </w:r>
      <w:r>
        <w:rPr>
          <w:rFonts w:hint="eastAsia" w:ascii="仿宋" w:hAnsi="仿宋" w:eastAsia="仿宋" w:cs="仿宋"/>
          <w:sz w:val="32"/>
          <w:szCs w:val="32"/>
          <w:highlight w:val="none"/>
          <w:lang w:val="en-US" w:eastAsia="zh-CN"/>
        </w:rPr>
        <w:t>0万元。</w:t>
      </w: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预算绩效管理工作开展情况说明。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
          <w:bCs/>
          <w:sz w:val="32"/>
          <w:szCs w:val="32"/>
          <w:highlight w:val="none"/>
          <w:lang w:val="en-US" w:eastAsia="zh-CN"/>
        </w:rPr>
      </w:pPr>
      <w:r>
        <w:rPr>
          <w:rFonts w:hint="eastAsia" w:ascii="仿宋" w:hAnsi="仿宋" w:eastAsia="仿宋" w:cs="仿宋"/>
          <w:b w:val="0"/>
          <w:bCs w:val="0"/>
          <w:sz w:val="32"/>
          <w:szCs w:val="32"/>
          <w:highlight w:val="none"/>
          <w:lang w:val="en-US" w:eastAsia="zh-CN"/>
        </w:rPr>
        <w:t>2018年度没有</w:t>
      </w:r>
      <w:r>
        <w:rPr>
          <w:rFonts w:hint="eastAsia" w:ascii="仿宋" w:hAnsi="仿宋" w:eastAsia="仿宋" w:cs="仿宋"/>
          <w:sz w:val="32"/>
          <w:szCs w:val="32"/>
          <w:highlight w:val="none"/>
          <w:lang w:val="en-US" w:eastAsia="zh-CN"/>
        </w:rPr>
        <w:t>100</w:t>
      </w:r>
      <w:r>
        <w:rPr>
          <w:rFonts w:hint="eastAsia" w:ascii="仿宋" w:hAnsi="仿宋" w:eastAsia="仿宋" w:cs="仿宋"/>
          <w:b w:val="0"/>
          <w:bCs w:val="0"/>
          <w:sz w:val="32"/>
          <w:szCs w:val="32"/>
          <w:highlight w:val="none"/>
          <w:lang w:val="en-US" w:eastAsia="zh-CN"/>
        </w:rPr>
        <w:t>万元以上项目，故没有开展绩效评价工作。</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十、</w:t>
      </w:r>
      <w:r>
        <w:rPr>
          <w:rFonts w:hint="eastAsia" w:ascii="仿宋" w:hAnsi="仿宋" w:eastAsia="仿宋" w:cs="仿宋"/>
          <w:b/>
          <w:bCs/>
          <w:sz w:val="32"/>
          <w:szCs w:val="32"/>
          <w:highlight w:val="none"/>
        </w:rPr>
        <w:t>其他重要事项情况说明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（一）机关运行经费支出情况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eastAsia="zh-CN"/>
        </w:rPr>
        <w:t>2018年度</w:t>
      </w:r>
      <w:r>
        <w:rPr>
          <w:rFonts w:hint="eastAsia" w:ascii="仿宋" w:hAnsi="仿宋" w:eastAsia="仿宋" w:cs="仿宋"/>
          <w:sz w:val="32"/>
          <w:szCs w:val="32"/>
          <w:highlight w:val="none"/>
        </w:rPr>
        <w:t>机关运行经费支出</w:t>
      </w:r>
      <w:r>
        <w:rPr>
          <w:rFonts w:hint="eastAsia" w:ascii="仿宋" w:hAnsi="仿宋" w:eastAsia="仿宋" w:cs="仿宋"/>
          <w:sz w:val="32"/>
          <w:szCs w:val="32"/>
          <w:highlight w:val="none"/>
          <w:lang w:val="en-US" w:eastAsia="zh-CN"/>
        </w:rPr>
        <w:t>13</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比上年减少</w:t>
      </w:r>
      <w:r>
        <w:rPr>
          <w:rFonts w:hint="eastAsia" w:ascii="仿宋" w:hAnsi="仿宋" w:eastAsia="仿宋" w:cs="仿宋"/>
          <w:sz w:val="32"/>
          <w:szCs w:val="32"/>
          <w:highlight w:val="none"/>
          <w:lang w:val="en-US" w:eastAsia="zh-CN"/>
        </w:rPr>
        <w:t>27万元，主要原因是控制机关运行经费。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（二</w:t>
      </w:r>
      <w:r>
        <w:rPr>
          <w:rFonts w:hint="eastAsia" w:ascii="仿宋" w:hAnsi="仿宋" w:eastAsia="仿宋" w:cs="仿宋"/>
          <w:b/>
          <w:bCs/>
          <w:sz w:val="32"/>
          <w:szCs w:val="32"/>
          <w:highlight w:val="none"/>
          <w:lang w:eastAsia="zh-CN"/>
        </w:rPr>
        <w:t>）</w:t>
      </w:r>
      <w:r>
        <w:rPr>
          <w:rFonts w:hint="eastAsia" w:ascii="仿宋" w:hAnsi="仿宋" w:eastAsia="仿宋" w:cs="仿宋"/>
          <w:b/>
          <w:bCs/>
          <w:sz w:val="32"/>
          <w:szCs w:val="32"/>
          <w:highlight w:val="none"/>
        </w:rPr>
        <w:t>政府采购支出情况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本部门政府采购支出总额</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万元，其中：政府采购货物支出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万元、政府采购工程支出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万元、政府采购服务支出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万元。授予中小企业合同金额</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万元，占政府采购支出总额的</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其中：授予小微企业合同金额</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万元，占政府采购支出总额的</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（三）国有资产占用情况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截至</w:t>
      </w: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12月31日，本部门共有车辆</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辆，其中</w:t>
      </w:r>
      <w:r>
        <w:rPr>
          <w:rFonts w:hint="eastAsia" w:ascii="仿宋" w:hAnsi="仿宋" w:eastAsia="仿宋" w:cs="仿宋"/>
          <w:sz w:val="32"/>
          <w:szCs w:val="32"/>
          <w:highlight w:val="none"/>
          <w:lang w:val="en-US" w:eastAsia="zh-CN"/>
        </w:rPr>
        <w:t>：</w:t>
      </w:r>
      <w:r>
        <w:rPr>
          <w:rFonts w:hint="eastAsia" w:ascii="仿宋" w:hAnsi="仿宋" w:eastAsia="仿宋" w:cs="仿宋"/>
          <w:sz w:val="32"/>
          <w:szCs w:val="32"/>
          <w:highlight w:val="none"/>
        </w:rPr>
        <w:t>副部（省）级及以上领导用车</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辆、主要领导干部用车</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辆、机要通信用车</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辆</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应急保障用车</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辆、执法执勤用车</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辆、特种专业技术用车</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辆</w:t>
      </w:r>
      <w:r>
        <w:rPr>
          <w:rFonts w:hint="eastAsia" w:ascii="仿宋" w:hAnsi="仿宋" w:eastAsia="仿宋" w:cs="仿宋"/>
          <w:sz w:val="32"/>
          <w:szCs w:val="32"/>
          <w:highlight w:val="none"/>
          <w:lang w:eastAsia="zh-CN"/>
        </w:rPr>
        <w:t>、离退休干部用车</w:t>
      </w:r>
      <w:r>
        <w:rPr>
          <w:rFonts w:hint="eastAsia" w:ascii="仿宋" w:hAnsi="仿宋" w:eastAsia="仿宋" w:cs="仿宋"/>
          <w:sz w:val="32"/>
          <w:szCs w:val="32"/>
          <w:highlight w:val="none"/>
          <w:lang w:val="en-US" w:eastAsia="zh-CN"/>
        </w:rPr>
        <w:t>0辆，</w:t>
      </w:r>
      <w:r>
        <w:rPr>
          <w:rFonts w:hint="eastAsia" w:ascii="仿宋" w:hAnsi="仿宋" w:eastAsia="仿宋" w:cs="仿宋"/>
          <w:sz w:val="32"/>
          <w:szCs w:val="32"/>
          <w:highlight w:val="none"/>
        </w:rPr>
        <w:t>其他用车</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辆</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单价</w:t>
      </w:r>
      <w:r>
        <w:rPr>
          <w:rFonts w:hint="eastAsia" w:ascii="仿宋" w:hAnsi="仿宋" w:eastAsia="仿宋" w:cs="仿宋"/>
          <w:sz w:val="32"/>
          <w:szCs w:val="32"/>
          <w:highlight w:val="none"/>
          <w:lang w:val="en-US" w:eastAsia="zh-CN"/>
        </w:rPr>
        <w:t>50</w:t>
      </w:r>
      <w:r>
        <w:rPr>
          <w:rFonts w:hint="eastAsia" w:ascii="仿宋" w:hAnsi="仿宋" w:eastAsia="仿宋" w:cs="仿宋"/>
          <w:sz w:val="32"/>
          <w:szCs w:val="32"/>
          <w:highlight w:val="none"/>
        </w:rPr>
        <w:t>万元以上通用设备</w:t>
      </w:r>
      <w:r>
        <w:rPr>
          <w:rFonts w:hint="eastAsia" w:ascii="仿宋" w:hAnsi="仿宋" w:eastAsia="仿宋" w:cs="仿宋"/>
          <w:sz w:val="32"/>
          <w:szCs w:val="32"/>
          <w:highlight w:val="none"/>
          <w:lang w:val="en-US" w:eastAsia="zh-CN"/>
        </w:rPr>
        <w:t>0台</w:t>
      </w:r>
      <w:r>
        <w:rPr>
          <w:rFonts w:hint="eastAsia" w:ascii="仿宋" w:hAnsi="仿宋" w:eastAsia="仿宋" w:cs="仿宋"/>
          <w:sz w:val="32"/>
          <w:szCs w:val="32"/>
          <w:highlight w:val="none"/>
        </w:rPr>
        <w:t>(套)，单价</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万元以上专用设备</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台(套)。</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第三部分名词解释</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firstLine="66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根据《</w:t>
      </w: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政府收支分类科目》对</w:t>
      </w:r>
      <w:r>
        <w:rPr>
          <w:rFonts w:hint="eastAsia" w:ascii="仿宋" w:hAnsi="仿宋" w:eastAsia="仿宋" w:cs="仿宋"/>
          <w:sz w:val="32"/>
          <w:szCs w:val="32"/>
          <w:highlight w:val="none"/>
          <w:lang w:eastAsia="zh-CN"/>
        </w:rPr>
        <w:t>2018年度</w:t>
      </w:r>
      <w:r>
        <w:rPr>
          <w:rFonts w:hint="eastAsia" w:ascii="仿宋" w:hAnsi="仿宋" w:eastAsia="仿宋" w:cs="仿宋"/>
          <w:sz w:val="32"/>
          <w:szCs w:val="32"/>
          <w:highlight w:val="none"/>
        </w:rPr>
        <w:t>部门决算</w:t>
      </w:r>
      <w:r>
        <w:rPr>
          <w:rFonts w:hint="eastAsia" w:ascii="仿宋" w:hAnsi="仿宋" w:eastAsia="仿宋" w:cs="仿宋"/>
          <w:sz w:val="32"/>
          <w:szCs w:val="32"/>
          <w:highlight w:val="none"/>
          <w:lang w:eastAsia="zh-CN"/>
        </w:rPr>
        <w:t>公开</w:t>
      </w:r>
      <w:r>
        <w:rPr>
          <w:rFonts w:hint="eastAsia" w:ascii="仿宋" w:hAnsi="仿宋" w:eastAsia="仿宋" w:cs="仿宋"/>
          <w:sz w:val="32"/>
          <w:szCs w:val="32"/>
          <w:highlight w:val="none"/>
        </w:rPr>
        <w:t>中相关名词解释如下：</w:t>
      </w:r>
      <w:r>
        <w:rPr>
          <w:rFonts w:hint="eastAsia" w:ascii="仿宋" w:hAnsi="仿宋" w:eastAsia="仿宋" w:cs="仿宋"/>
          <w:sz w:val="32"/>
          <w:szCs w:val="32"/>
          <w:highlight w:val="none"/>
        </w:rPr>
        <w:br w:type="textWrapping"/>
      </w:r>
      <w:r>
        <w:rPr>
          <w:rFonts w:hint="eastAsia" w:ascii="仿宋" w:hAnsi="仿宋" w:eastAsia="仿宋" w:cs="仿宋"/>
          <w:sz w:val="32"/>
          <w:szCs w:val="32"/>
          <w:highlight w:val="none"/>
        </w:rPr>
        <w:t>　　财政拨款收入：反映财政部门用公共预算收入安排的预算单位资金。</w:t>
      </w:r>
    </w:p>
    <w:p>
      <w:pPr>
        <w:keepNext w:val="0"/>
        <w:keepLines w:val="0"/>
        <w:pageBreakBefore w:val="0"/>
        <w:kinsoku/>
        <w:wordWrap/>
        <w:overflowPunct/>
        <w:topLinePunct w:val="0"/>
        <w:autoSpaceDE/>
        <w:autoSpaceDN/>
        <w:bidi w:val="0"/>
        <w:adjustRightInd/>
        <w:snapToGrid/>
        <w:spacing w:line="360" w:lineRule="auto"/>
        <w:ind w:right="0" w:rightChars="0" w:firstLine="660"/>
        <w:textAlignment w:val="auto"/>
        <w:outlineLvl w:val="9"/>
        <w:rPr>
          <w:rFonts w:hint="eastAsia" w:ascii="仿宋" w:hAnsi="仿宋" w:eastAsia="仿宋" w:cs="仿宋"/>
          <w:color w:val="111111"/>
          <w:kern w:val="0"/>
          <w:sz w:val="32"/>
          <w:szCs w:val="32"/>
          <w:highlight w:val="none"/>
        </w:rPr>
      </w:pPr>
      <w:r>
        <w:rPr>
          <w:rFonts w:hint="eastAsia" w:ascii="仿宋" w:hAnsi="仿宋" w:eastAsia="仿宋" w:cs="仿宋"/>
          <w:sz w:val="32"/>
          <w:szCs w:val="32"/>
          <w:highlight w:val="none"/>
        </w:rPr>
        <w:t>一般公共预算拨款</w:t>
      </w:r>
      <w:r>
        <w:rPr>
          <w:rFonts w:hint="eastAsia" w:ascii="仿宋" w:hAnsi="仿宋" w:eastAsia="仿宋" w:cs="仿宋"/>
          <w:bCs/>
          <w:color w:val="111111"/>
          <w:kern w:val="0"/>
          <w:sz w:val="32"/>
          <w:szCs w:val="32"/>
          <w:highlight w:val="none"/>
        </w:rPr>
        <w:t>：</w:t>
      </w:r>
      <w:r>
        <w:rPr>
          <w:rFonts w:hint="eastAsia" w:ascii="仿宋" w:hAnsi="仿宋" w:eastAsia="仿宋" w:cs="仿宋"/>
          <w:color w:val="111111"/>
          <w:kern w:val="0"/>
          <w:sz w:val="32"/>
          <w:szCs w:val="32"/>
          <w:highlight w:val="none"/>
        </w:rPr>
        <w:t>指单位本年度从区级财政部门取得的财政拨款。</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i/>
          <w:iCs/>
          <w:color w:val="111111"/>
          <w:kern w:val="0"/>
          <w:sz w:val="32"/>
          <w:szCs w:val="32"/>
          <w:highlight w:val="none"/>
        </w:rPr>
      </w:pPr>
      <w:r>
        <w:rPr>
          <w:rFonts w:hint="eastAsia" w:ascii="仿宋" w:hAnsi="仿宋" w:eastAsia="仿宋" w:cs="仿宋"/>
          <w:bCs/>
          <w:color w:val="111111"/>
          <w:kern w:val="0"/>
          <w:sz w:val="32"/>
          <w:szCs w:val="32"/>
          <w:highlight w:val="none"/>
        </w:rPr>
        <w:t>事业收入：</w:t>
      </w:r>
      <w:r>
        <w:rPr>
          <w:rFonts w:hint="eastAsia" w:ascii="仿宋" w:hAnsi="仿宋" w:eastAsia="仿宋" w:cs="仿宋"/>
          <w:color w:val="111111"/>
          <w:kern w:val="0"/>
          <w:sz w:val="32"/>
          <w:szCs w:val="32"/>
          <w:highlight w:val="none"/>
        </w:rPr>
        <w:t>指事业单位开展专业业务活动及其辅助活动取得的收入，事业单位收到的财政专户实际核拨的教育收费等资金在此反映。</w:t>
      </w:r>
    </w:p>
    <w:p>
      <w:pPr>
        <w:keepNext w:val="0"/>
        <w:keepLines w:val="0"/>
        <w:pageBreakBefore w:val="0"/>
        <w:widowControl/>
        <w:kinsoku/>
        <w:wordWrap/>
        <w:overflowPunct/>
        <w:topLinePunct w:val="0"/>
        <w:autoSpaceDE/>
        <w:autoSpaceDN/>
        <w:bidi w:val="0"/>
        <w:adjustRightInd/>
        <w:snapToGrid/>
        <w:spacing w:line="360" w:lineRule="auto"/>
        <w:ind w:right="0" w:rightChars="0" w:firstLine="645"/>
        <w:jc w:val="left"/>
        <w:textAlignment w:val="auto"/>
        <w:outlineLvl w:val="9"/>
        <w:rPr>
          <w:rFonts w:hint="eastAsia" w:ascii="仿宋" w:hAnsi="仿宋" w:eastAsia="仿宋" w:cs="仿宋"/>
          <w:color w:val="111111"/>
          <w:kern w:val="0"/>
          <w:sz w:val="32"/>
          <w:szCs w:val="32"/>
          <w:highlight w:val="none"/>
        </w:rPr>
      </w:pPr>
      <w:r>
        <w:rPr>
          <w:rFonts w:hint="eastAsia" w:ascii="仿宋" w:hAnsi="仿宋" w:eastAsia="仿宋" w:cs="仿宋"/>
          <w:bCs/>
          <w:color w:val="111111"/>
          <w:kern w:val="0"/>
          <w:sz w:val="32"/>
          <w:szCs w:val="32"/>
          <w:highlight w:val="none"/>
        </w:rPr>
        <w:t>其他收入：</w:t>
      </w:r>
      <w:r>
        <w:rPr>
          <w:rFonts w:hint="eastAsia" w:ascii="仿宋" w:hAnsi="仿宋" w:eastAsia="仿宋" w:cs="仿宋"/>
          <w:color w:val="111111"/>
          <w:kern w:val="0"/>
          <w:sz w:val="32"/>
          <w:szCs w:val="32"/>
          <w:highlight w:val="none"/>
        </w:rPr>
        <w:t>指单位取得的除上述“财政拨款收入”、“事业收入”、“经营收入”等以外的各项收入。</w:t>
      </w:r>
    </w:p>
    <w:p>
      <w:pPr>
        <w:keepNext w:val="0"/>
        <w:keepLines w:val="0"/>
        <w:pageBreakBefore w:val="0"/>
        <w:widowControl/>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color w:val="111111"/>
          <w:kern w:val="0"/>
          <w:sz w:val="32"/>
          <w:szCs w:val="32"/>
          <w:highlight w:val="none"/>
        </w:rPr>
      </w:pPr>
      <w:r>
        <w:rPr>
          <w:rFonts w:hint="eastAsia" w:ascii="仿宋" w:hAnsi="仿宋" w:eastAsia="仿宋" w:cs="仿宋"/>
          <w:color w:val="111111"/>
          <w:kern w:val="0"/>
          <w:sz w:val="32"/>
          <w:szCs w:val="32"/>
          <w:highlight w:val="none"/>
        </w:rPr>
        <w:t>　　</w:t>
      </w:r>
      <w:r>
        <w:rPr>
          <w:rFonts w:hint="eastAsia" w:ascii="仿宋" w:hAnsi="仿宋" w:eastAsia="仿宋" w:cs="仿宋"/>
          <w:bCs/>
          <w:color w:val="111111"/>
          <w:kern w:val="0"/>
          <w:sz w:val="32"/>
          <w:szCs w:val="32"/>
          <w:highlight w:val="none"/>
        </w:rPr>
        <w:t>用事业基金弥补收支差额：</w:t>
      </w:r>
      <w:r>
        <w:rPr>
          <w:rFonts w:hint="eastAsia" w:ascii="仿宋" w:hAnsi="仿宋" w:eastAsia="仿宋" w:cs="仿宋"/>
          <w:color w:val="111111"/>
          <w:kern w:val="0"/>
          <w:sz w:val="32"/>
          <w:szCs w:val="32"/>
          <w:highlight w:val="none"/>
        </w:rPr>
        <w:t>指事业单位用事业基金弥补当年收支差额的数额。 </w:t>
      </w:r>
    </w:p>
    <w:p>
      <w:pPr>
        <w:keepNext w:val="0"/>
        <w:keepLines w:val="0"/>
        <w:pageBreakBefore w:val="0"/>
        <w:widowControl/>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color w:val="111111"/>
          <w:kern w:val="0"/>
          <w:sz w:val="32"/>
          <w:szCs w:val="32"/>
          <w:highlight w:val="none"/>
        </w:rPr>
      </w:pPr>
      <w:r>
        <w:rPr>
          <w:rFonts w:hint="eastAsia" w:ascii="仿宋" w:hAnsi="仿宋" w:eastAsia="仿宋" w:cs="仿宋"/>
          <w:color w:val="111111"/>
          <w:kern w:val="0"/>
          <w:sz w:val="32"/>
          <w:szCs w:val="32"/>
          <w:highlight w:val="none"/>
        </w:rPr>
        <w:t>　　</w:t>
      </w:r>
      <w:r>
        <w:rPr>
          <w:rFonts w:hint="eastAsia" w:ascii="仿宋" w:hAnsi="仿宋" w:eastAsia="仿宋" w:cs="仿宋"/>
          <w:bCs/>
          <w:color w:val="111111"/>
          <w:kern w:val="0"/>
          <w:sz w:val="32"/>
          <w:szCs w:val="32"/>
          <w:highlight w:val="none"/>
        </w:rPr>
        <w:t>年初结转和结余：</w:t>
      </w:r>
      <w:r>
        <w:rPr>
          <w:rFonts w:hint="eastAsia" w:ascii="仿宋" w:hAnsi="仿宋" w:eastAsia="仿宋" w:cs="仿宋"/>
          <w:color w:val="111111"/>
          <w:kern w:val="0"/>
          <w:sz w:val="32"/>
          <w:szCs w:val="32"/>
          <w:highlight w:val="none"/>
        </w:rPr>
        <w:t>指单位上年结转本年使用的基本支出结转、项目支出结转和结余和经营结余。 </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年末结转和结余资金：指本年度或以前年度预算安排、因客观条件发生变化无法按原计划实施，需要延迟到以后年度按有关规定继续使用的资金。</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一般公共财政预算收入：指政府为履行职能，按国家法律、法规规定收取的纳入预算内管理的各项税收（地方留成部分）及非税收入总和（不包含基金收入）。</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lang w:val="en-US" w:eastAsia="zh-CN"/>
        </w:rPr>
        <w:t xml:space="preserve">    </w:t>
      </w:r>
      <w:r>
        <w:rPr>
          <w:rFonts w:hint="eastAsia" w:ascii="仿宋" w:hAnsi="仿宋" w:eastAsia="仿宋" w:cs="仿宋"/>
          <w:bCs/>
          <w:color w:val="111111"/>
          <w:kern w:val="0"/>
          <w:sz w:val="32"/>
          <w:szCs w:val="32"/>
          <w:highlight w:val="none"/>
        </w:rPr>
        <w:t>一般公共财政预算支出：反映公共财政预算收入安排的支出。</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公共财政预算支出按照功能分类（按政府活动的社会职能和政策目标划分），包括：一般公共服务、外交、公共安全、国防、农业、环境保护、教育、科技、文化、卫生、体育、社会保障及就业支出和其他支出等。</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公共财政预算支出按照经济性质分类（按支出的经济性质和具体用途划分），包括：工资福利支出、商品和服务支出、资本性支出和其他支出等。具体科目及名词解释如下：</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工资福利支出：反映单位开支的在职职工和编制外长期聘用人员的各类劳动报酬，以及为上述人员缴纳的各项社会保险费等。</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商品和服务支出：反映单位购买商品和服务的支出（不包括用于购置固定资产的支出、战略性和应急储备支出，但军事方面的耐用消费品和设备的购置费、军事性建设费及军事建筑物的购置费等在本科目中反映）。</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对个人和家庭的补助：反映政府用于对个人和家庭的补助支出。</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政府性基金预算：对依照法律、行政法规的规定，在一定期限内向特定对象征收、收取或者其他方式筹集的资金，专项用于特定公共事业发展的收支预算。</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政府性基金收入：指各级政府及其所属部门根据法律、行政法规和国务院有关文件规定，为支持某项特定公共事业发展，向公民、法人和其他组织无偿征收的具有专项用途的财政资金。基金收入纳入预算内管理，专款专用，余额结转下年继续使用。</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政府性基金支出：反映政府基金收入</w:t>
      </w:r>
      <w:r>
        <w:rPr>
          <w:rFonts w:hint="eastAsia" w:ascii="仿宋" w:hAnsi="仿宋" w:eastAsia="仿宋" w:cs="仿宋"/>
          <w:bCs/>
          <w:color w:val="111111"/>
          <w:kern w:val="0"/>
          <w:sz w:val="32"/>
          <w:szCs w:val="32"/>
          <w:highlight w:val="none"/>
          <w:lang w:val="en-US" w:eastAsia="zh-CN"/>
        </w:rPr>
        <w:t>安</w:t>
      </w:r>
      <w:r>
        <w:rPr>
          <w:rFonts w:hint="eastAsia" w:ascii="仿宋" w:hAnsi="仿宋" w:eastAsia="仿宋" w:cs="仿宋"/>
          <w:bCs/>
          <w:color w:val="111111"/>
          <w:kern w:val="0"/>
          <w:sz w:val="32"/>
          <w:szCs w:val="32"/>
          <w:highlight w:val="none"/>
        </w:rPr>
        <w:t>排的支出。</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基本支出：指为保障机构正常运转、完成日常工作任务而发生的人员支出和公用支出。 </w:t>
      </w:r>
      <w:bookmarkStart w:id="0" w:name="_GoBack"/>
      <w:bookmarkEnd w:id="0"/>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项目支出：指在基本支出之外为完成特定的行政任务或事业发展目标所发生的支出。</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三公”经费：指区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 </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机关运行经费：指为保障行政单位（含参照公务员法管理的事业单位）运行用于购买货物和服务的各项资金，包括办公费、印刷费、差旅费、会议费、日常维修费、专用材料及办公用房水电费、物业管理费、公务用车运行维护费等。在财政部有明确规定前，“机关运行经费”暂指一般公共预算安排的基本支出中的“商品和服务支出”经费。 </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政府采购：指国家各级政府为从事日常的政务活动或为了满足公共服务的目的，利用国家</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"http://baike.so.com/doc/5716834-5929560.html"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财政性资金</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和政府借款购买货物、工程和服务的行为。政府采购不仅是指具体的</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"http://baike.so.com/doc/4796448-5012566.html"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采购过程</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，而且是采购政策、采购程序、采购过程及采购管理的总称，是一种对公共采购管理的制度。</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国有资产：国有资产是法律上确定为国家所有并能为国家提供经济和</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"http://baike.so.com/doc/741806-785246.html"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社会效益</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的各种</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"http://baike.so.com/doc/7798608-8072703.html"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经济资源</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的总和。就是属于国家所有的一切</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"http://baike.so.com/doc/5368106-5603892.html"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财产</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和财</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"http://baike.so.com/doc/5399886-5637441.html"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产权</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利的总称。 行政事业资产是指由行政事业单位占有、使用的、在法律上确认为国家所有、能以货币计量的各种经济资源的总和，包括国家拨给行政事业单位的资产，行政事业单位按照国家政策规定运用国有资产组织收入形成的资产，以及接受捐赠和其他经法律确认为国家所有的资产。行政事业资产的表现形式为；流动资产、长期投资、固定资产、无形资产和其他资产。</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lang w:val="en-US" w:eastAsia="zh-CN"/>
        </w:rPr>
      </w:pPr>
      <w:r>
        <w:rPr>
          <w:rFonts w:hint="eastAsia" w:ascii="仿宋" w:hAnsi="仿宋" w:eastAsia="仿宋" w:cs="仿宋"/>
          <w:bCs/>
          <w:color w:val="111111"/>
          <w:kern w:val="0"/>
          <w:sz w:val="32"/>
          <w:szCs w:val="32"/>
          <w:highlight w:val="none"/>
          <w:lang w:val="en-US" w:eastAsia="zh-CN"/>
        </w:rPr>
        <w:t>预算绩效：是指政府或相关部门按照财政效率的原则，通过绩效指标以及目标管理对部门内部或者单位的财政支出做出客观、公正、公平的评价和决策。2005年5月财政部出台了《中央部门预算支出绩效评价管理办法（试行）》（财预[2005]86号）中将部门预算绩效评价定义为：运用一定的考核方法、量化指标及评价标准，对中央部门为实现其职能所确定绩效目标的实现程度，以及为实现这一目标安排预算的执行结果所进行的综合性考核与评价。　</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lang w:val="en-US"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lang w:val="en-US" w:eastAsia="zh-CN"/>
        </w:rPr>
      </w:pPr>
      <w:r>
        <w:rPr>
          <w:rFonts w:hint="eastAsia" w:ascii="仿宋" w:hAnsi="仿宋" w:eastAsia="仿宋" w:cs="仿宋"/>
          <w:bCs/>
          <w:color w:val="111111"/>
          <w:kern w:val="0"/>
          <w:sz w:val="32"/>
          <w:szCs w:val="32"/>
          <w:highlight w:val="none"/>
          <w:lang w:val="en-US" w:eastAsia="zh-CN"/>
        </w:rPr>
        <w:t>附件：2018年度部门决算公开表格</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lang w:val="en-US" w:eastAsia="zh-CN"/>
        </w:rPr>
      </w:pPr>
      <w:r>
        <w:rPr>
          <w:rFonts w:hint="eastAsia" w:ascii="仿宋" w:hAnsi="仿宋" w:eastAsia="仿宋" w:cs="仿宋"/>
          <w:bCs/>
          <w:color w:val="111111"/>
          <w:kern w:val="0"/>
          <w:sz w:val="32"/>
          <w:szCs w:val="32"/>
          <w:highlight w:val="none"/>
          <w:lang w:val="en-US" w:eastAsia="zh-CN"/>
        </w:rPr>
        <w:t>收入支出决算总表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收入决算表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财政拨款收入支出决算总表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一般公共预算财政拨款支出决算表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一般公共预算财政拨款基本支出决算表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一般公共预算财政拨款“三公”经费支出决算表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bCs/>
          <w:color w:val="111111"/>
          <w:kern w:val="0"/>
          <w:sz w:val="32"/>
          <w:szCs w:val="32"/>
          <w:highlight w:val="none"/>
        </w:rPr>
        <w:t>政府性基金预算财政拨款收入支出决算表</w:t>
      </w:r>
    </w:p>
    <w:sectPr>
      <w:footerReference r:id="rId3" w:type="default"/>
      <w:footerReference r:id="rId4" w:type="even"/>
      <w:pgSz w:w="11906" w:h="16838"/>
      <w:pgMar w:top="1418" w:right="1418" w:bottom="1418" w:left="141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Fonts w:ascii="宋体" w:hAnsi="宋体"/>
        <w:sz w:val="24"/>
        <w:szCs w:val="24"/>
      </w:rPr>
    </w:pPr>
    <w:r>
      <w:rPr>
        <w:rFonts w:ascii="宋体" w:hAnsi="宋体"/>
        <w:sz w:val="24"/>
        <w:szCs w:val="24"/>
      </w:rPr>
      <w:fldChar w:fldCharType="begin"/>
    </w:r>
    <w:r>
      <w:rPr>
        <w:rStyle w:val="7"/>
        <w:rFonts w:ascii="宋体" w:hAnsi="宋体"/>
        <w:sz w:val="24"/>
        <w:szCs w:val="24"/>
      </w:rPr>
      <w:instrText xml:space="preserve">PAGE  </w:instrText>
    </w:r>
    <w:r>
      <w:rPr>
        <w:rFonts w:ascii="宋体" w:hAnsi="宋体"/>
        <w:sz w:val="24"/>
        <w:szCs w:val="24"/>
      </w:rPr>
      <w:fldChar w:fldCharType="separate"/>
    </w:r>
    <w:r>
      <w:rPr>
        <w:rStyle w:val="7"/>
        <w:rFonts w:ascii="宋体" w:hAnsi="宋体"/>
        <w:sz w:val="24"/>
        <w:szCs w:val="24"/>
      </w:rPr>
      <w:t>- 14 -</w:t>
    </w:r>
    <w:r>
      <w:rPr>
        <w:rFonts w:ascii="宋体" w:hAnsi="宋体"/>
        <w:sz w:val="24"/>
        <w:szCs w:val="24"/>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7A5160"/>
    <w:multiLevelType w:val="multilevel"/>
    <w:tmpl w:val="057A5160"/>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F462B5D"/>
    <w:multiLevelType w:val="multilevel"/>
    <w:tmpl w:val="0F462B5D"/>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3AA4C5C"/>
    <w:multiLevelType w:val="singleLevel"/>
    <w:tmpl w:val="53AA4C5C"/>
    <w:lvl w:ilvl="0" w:tentative="0">
      <w:start w:val="3"/>
      <w:numFmt w:val="chineseCounting"/>
      <w:suff w:val="space"/>
      <w:lvlText w:val="第%1部分"/>
      <w:lvlJc w:val="left"/>
      <w:rPr>
        <w:rFonts w:hint="eastAsia"/>
      </w:rPr>
    </w:lvl>
  </w:abstractNum>
  <w:abstractNum w:abstractNumId="3">
    <w:nsid w:val="5D75BB9F"/>
    <w:multiLevelType w:val="singleLevel"/>
    <w:tmpl w:val="5D75BB9F"/>
    <w:lvl w:ilvl="0" w:tentative="0">
      <w:start w:val="1"/>
      <w:numFmt w:val="chineseCounting"/>
      <w:suff w:val="nothing"/>
      <w:lvlText w:val="%1、"/>
      <w:lvlJc w:val="left"/>
    </w:lvl>
  </w:abstractNum>
  <w:abstractNum w:abstractNumId="4">
    <w:nsid w:val="5D7EDA3B"/>
    <w:multiLevelType w:val="singleLevel"/>
    <w:tmpl w:val="5D7EDA3B"/>
    <w:lvl w:ilvl="0" w:tentative="0">
      <w:start w:val="9"/>
      <w:numFmt w:val="chineseCounting"/>
      <w:suff w:val="nothing"/>
      <w:lvlText w:val="%1、"/>
      <w:lvlJc w:val="left"/>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5YjFlNjE3OWUxNTFhYTZjYjM2ZjFkYTg2NDdiYzQifQ=="/>
  </w:docVars>
  <w:rsids>
    <w:rsidRoot w:val="141522A4"/>
    <w:rsid w:val="004D28BB"/>
    <w:rsid w:val="008557E7"/>
    <w:rsid w:val="01AB00BD"/>
    <w:rsid w:val="01CC1801"/>
    <w:rsid w:val="02056C4D"/>
    <w:rsid w:val="023F13DB"/>
    <w:rsid w:val="02456D00"/>
    <w:rsid w:val="026066D5"/>
    <w:rsid w:val="029224CF"/>
    <w:rsid w:val="02BC33D8"/>
    <w:rsid w:val="032D5CC6"/>
    <w:rsid w:val="03456C94"/>
    <w:rsid w:val="036A7041"/>
    <w:rsid w:val="0372233B"/>
    <w:rsid w:val="037D750B"/>
    <w:rsid w:val="03CD392E"/>
    <w:rsid w:val="04101647"/>
    <w:rsid w:val="04DF25D8"/>
    <w:rsid w:val="058F3CD4"/>
    <w:rsid w:val="061D3241"/>
    <w:rsid w:val="06265BAD"/>
    <w:rsid w:val="06E029B6"/>
    <w:rsid w:val="06EE4F18"/>
    <w:rsid w:val="072041B7"/>
    <w:rsid w:val="075B29A0"/>
    <w:rsid w:val="07874C92"/>
    <w:rsid w:val="084670B2"/>
    <w:rsid w:val="08637D82"/>
    <w:rsid w:val="0894421E"/>
    <w:rsid w:val="08A06C4C"/>
    <w:rsid w:val="08A3498B"/>
    <w:rsid w:val="08F04202"/>
    <w:rsid w:val="090E785C"/>
    <w:rsid w:val="092248D9"/>
    <w:rsid w:val="09387767"/>
    <w:rsid w:val="093B0FC9"/>
    <w:rsid w:val="09561265"/>
    <w:rsid w:val="099343DF"/>
    <w:rsid w:val="099C4029"/>
    <w:rsid w:val="09B50255"/>
    <w:rsid w:val="09E539AA"/>
    <w:rsid w:val="0A11221C"/>
    <w:rsid w:val="0A220A86"/>
    <w:rsid w:val="0ABC48D5"/>
    <w:rsid w:val="0ACA3F20"/>
    <w:rsid w:val="0B3324B9"/>
    <w:rsid w:val="0B65121C"/>
    <w:rsid w:val="0BC654D1"/>
    <w:rsid w:val="0C3D1924"/>
    <w:rsid w:val="0C837F62"/>
    <w:rsid w:val="0CC55A27"/>
    <w:rsid w:val="0CD159E4"/>
    <w:rsid w:val="0D246A78"/>
    <w:rsid w:val="0D410992"/>
    <w:rsid w:val="0D4D57BE"/>
    <w:rsid w:val="0D5E7D65"/>
    <w:rsid w:val="0DA93ED8"/>
    <w:rsid w:val="0E1A3CAC"/>
    <w:rsid w:val="0F0F12A2"/>
    <w:rsid w:val="0F1174C9"/>
    <w:rsid w:val="0FD33C63"/>
    <w:rsid w:val="10655A3A"/>
    <w:rsid w:val="111937AD"/>
    <w:rsid w:val="11B717B4"/>
    <w:rsid w:val="11D249CE"/>
    <w:rsid w:val="124A2012"/>
    <w:rsid w:val="134065EB"/>
    <w:rsid w:val="13F15BAA"/>
    <w:rsid w:val="141522A4"/>
    <w:rsid w:val="14203F3E"/>
    <w:rsid w:val="14540CFF"/>
    <w:rsid w:val="145C1DAC"/>
    <w:rsid w:val="145E21B2"/>
    <w:rsid w:val="149D7C22"/>
    <w:rsid w:val="14C16853"/>
    <w:rsid w:val="14FD6492"/>
    <w:rsid w:val="155038D6"/>
    <w:rsid w:val="15CE4E6C"/>
    <w:rsid w:val="16292D38"/>
    <w:rsid w:val="164964BC"/>
    <w:rsid w:val="16AE46BE"/>
    <w:rsid w:val="16BC76C9"/>
    <w:rsid w:val="16EA1D4C"/>
    <w:rsid w:val="17421CBC"/>
    <w:rsid w:val="17A60DC6"/>
    <w:rsid w:val="180D60E6"/>
    <w:rsid w:val="181C1C3A"/>
    <w:rsid w:val="18D1043D"/>
    <w:rsid w:val="18F92BD2"/>
    <w:rsid w:val="194D0007"/>
    <w:rsid w:val="19663C21"/>
    <w:rsid w:val="19722A55"/>
    <w:rsid w:val="19AC136C"/>
    <w:rsid w:val="1A194D30"/>
    <w:rsid w:val="1A2C2747"/>
    <w:rsid w:val="1A8E2AE4"/>
    <w:rsid w:val="1A95573E"/>
    <w:rsid w:val="1AFB35A7"/>
    <w:rsid w:val="1B0A0091"/>
    <w:rsid w:val="1B324E77"/>
    <w:rsid w:val="1B51137F"/>
    <w:rsid w:val="1B62795A"/>
    <w:rsid w:val="1B7541AC"/>
    <w:rsid w:val="1BB90A3E"/>
    <w:rsid w:val="1BCA16D9"/>
    <w:rsid w:val="1C1E0652"/>
    <w:rsid w:val="1C2527A8"/>
    <w:rsid w:val="1C3521E8"/>
    <w:rsid w:val="1CCA67FC"/>
    <w:rsid w:val="1D4A7058"/>
    <w:rsid w:val="1D644C09"/>
    <w:rsid w:val="1DD71951"/>
    <w:rsid w:val="1DD95BA5"/>
    <w:rsid w:val="1E3E4241"/>
    <w:rsid w:val="1E7E4DD1"/>
    <w:rsid w:val="1EE81910"/>
    <w:rsid w:val="1F096E9E"/>
    <w:rsid w:val="205F61F0"/>
    <w:rsid w:val="209730DE"/>
    <w:rsid w:val="20A7189B"/>
    <w:rsid w:val="20DE39CC"/>
    <w:rsid w:val="20EA55B3"/>
    <w:rsid w:val="21585A77"/>
    <w:rsid w:val="218E210C"/>
    <w:rsid w:val="21965ECE"/>
    <w:rsid w:val="21B4059F"/>
    <w:rsid w:val="21D45FBA"/>
    <w:rsid w:val="222608DB"/>
    <w:rsid w:val="225125A5"/>
    <w:rsid w:val="22897FD1"/>
    <w:rsid w:val="229E246E"/>
    <w:rsid w:val="22B54AA2"/>
    <w:rsid w:val="234D0F55"/>
    <w:rsid w:val="23C62C14"/>
    <w:rsid w:val="23EB4166"/>
    <w:rsid w:val="241C6F4C"/>
    <w:rsid w:val="243B6E0E"/>
    <w:rsid w:val="246F00D9"/>
    <w:rsid w:val="249A1586"/>
    <w:rsid w:val="25585ABA"/>
    <w:rsid w:val="258B1D72"/>
    <w:rsid w:val="25A01B98"/>
    <w:rsid w:val="25D0378A"/>
    <w:rsid w:val="25E44CF2"/>
    <w:rsid w:val="25FA0DB4"/>
    <w:rsid w:val="261F05A8"/>
    <w:rsid w:val="26241031"/>
    <w:rsid w:val="262D370B"/>
    <w:rsid w:val="26B10EFE"/>
    <w:rsid w:val="27136B96"/>
    <w:rsid w:val="277C33F5"/>
    <w:rsid w:val="27930AF4"/>
    <w:rsid w:val="27AA352E"/>
    <w:rsid w:val="28080359"/>
    <w:rsid w:val="28415CB2"/>
    <w:rsid w:val="284819BC"/>
    <w:rsid w:val="285C7260"/>
    <w:rsid w:val="293B5244"/>
    <w:rsid w:val="296524ED"/>
    <w:rsid w:val="2983495B"/>
    <w:rsid w:val="29D2626E"/>
    <w:rsid w:val="2A675CA6"/>
    <w:rsid w:val="2A9A571F"/>
    <w:rsid w:val="2ACB42ED"/>
    <w:rsid w:val="2B2D1149"/>
    <w:rsid w:val="2BC810C1"/>
    <w:rsid w:val="2BD33C97"/>
    <w:rsid w:val="2BEC58E4"/>
    <w:rsid w:val="2C2439A5"/>
    <w:rsid w:val="2C2A59C8"/>
    <w:rsid w:val="2D67117B"/>
    <w:rsid w:val="2D8B3C93"/>
    <w:rsid w:val="2DAD3A84"/>
    <w:rsid w:val="2E651983"/>
    <w:rsid w:val="2F494622"/>
    <w:rsid w:val="2F574F68"/>
    <w:rsid w:val="2FA56B72"/>
    <w:rsid w:val="2FA8566D"/>
    <w:rsid w:val="2FF44D1F"/>
    <w:rsid w:val="301E1A57"/>
    <w:rsid w:val="305A001C"/>
    <w:rsid w:val="30D01C13"/>
    <w:rsid w:val="312D1038"/>
    <w:rsid w:val="313E3671"/>
    <w:rsid w:val="31431466"/>
    <w:rsid w:val="31B12627"/>
    <w:rsid w:val="31B14F25"/>
    <w:rsid w:val="31B33EC7"/>
    <w:rsid w:val="32117BFA"/>
    <w:rsid w:val="32DE3973"/>
    <w:rsid w:val="33A52EDF"/>
    <w:rsid w:val="33B00D4E"/>
    <w:rsid w:val="33B30709"/>
    <w:rsid w:val="33D52F52"/>
    <w:rsid w:val="342D1FD0"/>
    <w:rsid w:val="34657840"/>
    <w:rsid w:val="347F1DF5"/>
    <w:rsid w:val="348148BB"/>
    <w:rsid w:val="349E4F95"/>
    <w:rsid w:val="34B20732"/>
    <w:rsid w:val="353D309D"/>
    <w:rsid w:val="354B0485"/>
    <w:rsid w:val="35665C91"/>
    <w:rsid w:val="359D1E5E"/>
    <w:rsid w:val="35A27AEB"/>
    <w:rsid w:val="35D376B6"/>
    <w:rsid w:val="363D1DEA"/>
    <w:rsid w:val="3664307C"/>
    <w:rsid w:val="36864B31"/>
    <w:rsid w:val="36A976DC"/>
    <w:rsid w:val="36B46223"/>
    <w:rsid w:val="36DD41C9"/>
    <w:rsid w:val="371668A7"/>
    <w:rsid w:val="37304B48"/>
    <w:rsid w:val="376B06D5"/>
    <w:rsid w:val="379E732F"/>
    <w:rsid w:val="37AF46C9"/>
    <w:rsid w:val="37DD3D7B"/>
    <w:rsid w:val="380E2783"/>
    <w:rsid w:val="38A67532"/>
    <w:rsid w:val="38B91545"/>
    <w:rsid w:val="3942192D"/>
    <w:rsid w:val="395039EC"/>
    <w:rsid w:val="397015C0"/>
    <w:rsid w:val="39AA7758"/>
    <w:rsid w:val="39BF1DCF"/>
    <w:rsid w:val="39C905DA"/>
    <w:rsid w:val="3A1671FA"/>
    <w:rsid w:val="3A7817E8"/>
    <w:rsid w:val="3B560162"/>
    <w:rsid w:val="3B6067D0"/>
    <w:rsid w:val="3B786C9E"/>
    <w:rsid w:val="3BDA718F"/>
    <w:rsid w:val="3BDC189F"/>
    <w:rsid w:val="3BED1019"/>
    <w:rsid w:val="3C141547"/>
    <w:rsid w:val="3C56526F"/>
    <w:rsid w:val="3C77153B"/>
    <w:rsid w:val="3CAC750F"/>
    <w:rsid w:val="3CB6492A"/>
    <w:rsid w:val="3CC101FD"/>
    <w:rsid w:val="3CD320A6"/>
    <w:rsid w:val="3D0E0C91"/>
    <w:rsid w:val="3D1D5B1A"/>
    <w:rsid w:val="3DC2625E"/>
    <w:rsid w:val="3DCC19E5"/>
    <w:rsid w:val="3DED2837"/>
    <w:rsid w:val="3E0C4CB4"/>
    <w:rsid w:val="3E1D4CA1"/>
    <w:rsid w:val="3E2F7465"/>
    <w:rsid w:val="3E430FE7"/>
    <w:rsid w:val="3E890E84"/>
    <w:rsid w:val="3EF617B7"/>
    <w:rsid w:val="3F1B0D68"/>
    <w:rsid w:val="3FAF30EC"/>
    <w:rsid w:val="3FCF46D7"/>
    <w:rsid w:val="3FDC3CEB"/>
    <w:rsid w:val="40004AE5"/>
    <w:rsid w:val="401B2BA4"/>
    <w:rsid w:val="4049017B"/>
    <w:rsid w:val="40C60AA1"/>
    <w:rsid w:val="41452265"/>
    <w:rsid w:val="419732B8"/>
    <w:rsid w:val="42BD15F0"/>
    <w:rsid w:val="42C0261B"/>
    <w:rsid w:val="43342B06"/>
    <w:rsid w:val="436558BF"/>
    <w:rsid w:val="436918DA"/>
    <w:rsid w:val="43E00CBE"/>
    <w:rsid w:val="4488420B"/>
    <w:rsid w:val="45114AD5"/>
    <w:rsid w:val="454D033D"/>
    <w:rsid w:val="454D1830"/>
    <w:rsid w:val="455C498F"/>
    <w:rsid w:val="456626DA"/>
    <w:rsid w:val="457E5F6B"/>
    <w:rsid w:val="469D50B4"/>
    <w:rsid w:val="469F2AFB"/>
    <w:rsid w:val="4752048D"/>
    <w:rsid w:val="47BF5E2A"/>
    <w:rsid w:val="47E7503F"/>
    <w:rsid w:val="480B68BA"/>
    <w:rsid w:val="481C5784"/>
    <w:rsid w:val="48E37E88"/>
    <w:rsid w:val="490A248A"/>
    <w:rsid w:val="493B4F8E"/>
    <w:rsid w:val="496221C8"/>
    <w:rsid w:val="4979005B"/>
    <w:rsid w:val="49E2494D"/>
    <w:rsid w:val="49F10D10"/>
    <w:rsid w:val="4A5C28A4"/>
    <w:rsid w:val="4A7F6176"/>
    <w:rsid w:val="4B292024"/>
    <w:rsid w:val="4B6F38E8"/>
    <w:rsid w:val="4BF91344"/>
    <w:rsid w:val="4CE65541"/>
    <w:rsid w:val="4DFF3087"/>
    <w:rsid w:val="4E650FBE"/>
    <w:rsid w:val="4E837D65"/>
    <w:rsid w:val="4EB457CE"/>
    <w:rsid w:val="4ED624CF"/>
    <w:rsid w:val="4EFC0914"/>
    <w:rsid w:val="4F5D4E27"/>
    <w:rsid w:val="4F5D5C8F"/>
    <w:rsid w:val="4FAA4997"/>
    <w:rsid w:val="4FCA7A0D"/>
    <w:rsid w:val="4FD8218C"/>
    <w:rsid w:val="504618A3"/>
    <w:rsid w:val="508F7A0F"/>
    <w:rsid w:val="50C875B3"/>
    <w:rsid w:val="51077A2F"/>
    <w:rsid w:val="510E570E"/>
    <w:rsid w:val="510F5285"/>
    <w:rsid w:val="514F7C53"/>
    <w:rsid w:val="51663AB7"/>
    <w:rsid w:val="519D0D67"/>
    <w:rsid w:val="526410F9"/>
    <w:rsid w:val="52DA4F90"/>
    <w:rsid w:val="52E61086"/>
    <w:rsid w:val="530A248E"/>
    <w:rsid w:val="532400E8"/>
    <w:rsid w:val="539F222F"/>
    <w:rsid w:val="53DF1E0D"/>
    <w:rsid w:val="545B7470"/>
    <w:rsid w:val="547218BE"/>
    <w:rsid w:val="5533174C"/>
    <w:rsid w:val="553333EC"/>
    <w:rsid w:val="55750B95"/>
    <w:rsid w:val="55D30478"/>
    <w:rsid w:val="55FD2C9C"/>
    <w:rsid w:val="56584794"/>
    <w:rsid w:val="56AE6DA8"/>
    <w:rsid w:val="56BF45D7"/>
    <w:rsid w:val="56C040D3"/>
    <w:rsid w:val="57744A4E"/>
    <w:rsid w:val="57926B01"/>
    <w:rsid w:val="57932A14"/>
    <w:rsid w:val="57E32236"/>
    <w:rsid w:val="57FC4D40"/>
    <w:rsid w:val="58091D99"/>
    <w:rsid w:val="58AF2417"/>
    <w:rsid w:val="58B46ADF"/>
    <w:rsid w:val="58B77229"/>
    <w:rsid w:val="58E918E9"/>
    <w:rsid w:val="595C25FA"/>
    <w:rsid w:val="59857969"/>
    <w:rsid w:val="59F87D38"/>
    <w:rsid w:val="5A2439BE"/>
    <w:rsid w:val="5A3E437B"/>
    <w:rsid w:val="5A693D23"/>
    <w:rsid w:val="5A6B5A90"/>
    <w:rsid w:val="5AA77AA3"/>
    <w:rsid w:val="5B50022A"/>
    <w:rsid w:val="5C603064"/>
    <w:rsid w:val="5C7A28AC"/>
    <w:rsid w:val="5CDC3175"/>
    <w:rsid w:val="5D6B2104"/>
    <w:rsid w:val="5D9C411E"/>
    <w:rsid w:val="5DBA78EB"/>
    <w:rsid w:val="5E326634"/>
    <w:rsid w:val="5E345AC0"/>
    <w:rsid w:val="5E734CF1"/>
    <w:rsid w:val="5E785E59"/>
    <w:rsid w:val="5EBC53E6"/>
    <w:rsid w:val="5EC53E9C"/>
    <w:rsid w:val="5ECE087A"/>
    <w:rsid w:val="5F070739"/>
    <w:rsid w:val="5F3C4F00"/>
    <w:rsid w:val="601310E5"/>
    <w:rsid w:val="601C7D6A"/>
    <w:rsid w:val="602E6C5C"/>
    <w:rsid w:val="606B1DA7"/>
    <w:rsid w:val="606D372C"/>
    <w:rsid w:val="60B308BF"/>
    <w:rsid w:val="60FB2217"/>
    <w:rsid w:val="610F4BE7"/>
    <w:rsid w:val="612D4AD1"/>
    <w:rsid w:val="615E77F2"/>
    <w:rsid w:val="61916FE3"/>
    <w:rsid w:val="61BC32CB"/>
    <w:rsid w:val="61C279CE"/>
    <w:rsid w:val="61C721CF"/>
    <w:rsid w:val="62047D1E"/>
    <w:rsid w:val="62395972"/>
    <w:rsid w:val="62630CA1"/>
    <w:rsid w:val="626A0CEB"/>
    <w:rsid w:val="62974C19"/>
    <w:rsid w:val="62FF022C"/>
    <w:rsid w:val="630E3B7B"/>
    <w:rsid w:val="63144422"/>
    <w:rsid w:val="631B68BB"/>
    <w:rsid w:val="63441D54"/>
    <w:rsid w:val="640006FF"/>
    <w:rsid w:val="642D6184"/>
    <w:rsid w:val="64636829"/>
    <w:rsid w:val="648C1942"/>
    <w:rsid w:val="64D83620"/>
    <w:rsid w:val="64E35DF7"/>
    <w:rsid w:val="652207D1"/>
    <w:rsid w:val="65330B62"/>
    <w:rsid w:val="65505D1E"/>
    <w:rsid w:val="657D0288"/>
    <w:rsid w:val="657E6F38"/>
    <w:rsid w:val="658855F7"/>
    <w:rsid w:val="65924E36"/>
    <w:rsid w:val="66180DDE"/>
    <w:rsid w:val="668D7F58"/>
    <w:rsid w:val="66A30172"/>
    <w:rsid w:val="66BB423A"/>
    <w:rsid w:val="681A17A6"/>
    <w:rsid w:val="686D0D06"/>
    <w:rsid w:val="689913DD"/>
    <w:rsid w:val="68E328A1"/>
    <w:rsid w:val="69093FDB"/>
    <w:rsid w:val="691241A0"/>
    <w:rsid w:val="6917546E"/>
    <w:rsid w:val="69850C5D"/>
    <w:rsid w:val="69C7339C"/>
    <w:rsid w:val="6A05571E"/>
    <w:rsid w:val="6ACA4C5C"/>
    <w:rsid w:val="6B0A0C3B"/>
    <w:rsid w:val="6B1F4020"/>
    <w:rsid w:val="6B31106A"/>
    <w:rsid w:val="6B4A2B57"/>
    <w:rsid w:val="6BD702C2"/>
    <w:rsid w:val="6C0C1489"/>
    <w:rsid w:val="6C6F6CF3"/>
    <w:rsid w:val="6CA1218F"/>
    <w:rsid w:val="6D535020"/>
    <w:rsid w:val="6E253E16"/>
    <w:rsid w:val="6E4D13CB"/>
    <w:rsid w:val="6E873D36"/>
    <w:rsid w:val="6E8F434B"/>
    <w:rsid w:val="6EB4012D"/>
    <w:rsid w:val="6EE3061B"/>
    <w:rsid w:val="6FB963DE"/>
    <w:rsid w:val="6FF40766"/>
    <w:rsid w:val="70310EB8"/>
    <w:rsid w:val="709A7471"/>
    <w:rsid w:val="71B7411E"/>
    <w:rsid w:val="71CA6FD3"/>
    <w:rsid w:val="71D37919"/>
    <w:rsid w:val="728114A6"/>
    <w:rsid w:val="72DE3D50"/>
    <w:rsid w:val="731F24C5"/>
    <w:rsid w:val="73466D96"/>
    <w:rsid w:val="7366480B"/>
    <w:rsid w:val="73945713"/>
    <w:rsid w:val="73AD390A"/>
    <w:rsid w:val="7439147C"/>
    <w:rsid w:val="743B1C78"/>
    <w:rsid w:val="74492A3A"/>
    <w:rsid w:val="74E64156"/>
    <w:rsid w:val="755D0190"/>
    <w:rsid w:val="7569271E"/>
    <w:rsid w:val="757634F2"/>
    <w:rsid w:val="75BE6124"/>
    <w:rsid w:val="75C475DB"/>
    <w:rsid w:val="75E406CC"/>
    <w:rsid w:val="764B65E9"/>
    <w:rsid w:val="7691794B"/>
    <w:rsid w:val="76B41149"/>
    <w:rsid w:val="770254C6"/>
    <w:rsid w:val="770F1129"/>
    <w:rsid w:val="77A55943"/>
    <w:rsid w:val="77A61EAE"/>
    <w:rsid w:val="77D01459"/>
    <w:rsid w:val="77EC3589"/>
    <w:rsid w:val="77FD2102"/>
    <w:rsid w:val="78D64C4E"/>
    <w:rsid w:val="790626A8"/>
    <w:rsid w:val="79256D0D"/>
    <w:rsid w:val="796579EC"/>
    <w:rsid w:val="799A1446"/>
    <w:rsid w:val="7A3A52C0"/>
    <w:rsid w:val="7B0B7550"/>
    <w:rsid w:val="7B483738"/>
    <w:rsid w:val="7BD06401"/>
    <w:rsid w:val="7C9B09F8"/>
    <w:rsid w:val="7D071942"/>
    <w:rsid w:val="7D2865F7"/>
    <w:rsid w:val="7D456302"/>
    <w:rsid w:val="7D5B6D22"/>
    <w:rsid w:val="7DC032B1"/>
    <w:rsid w:val="7EFE21F5"/>
    <w:rsid w:val="7F2A6F95"/>
    <w:rsid w:val="7FB06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character" w:styleId="6">
    <w:name w:val="Strong"/>
    <w:basedOn w:val="5"/>
    <w:qFormat/>
    <w:uiPriority w:val="0"/>
    <w:rPr>
      <w:b/>
    </w:rPr>
  </w:style>
  <w:style w:type="character" w:styleId="7">
    <w:name w:val="page number"/>
    <w:basedOn w:val="5"/>
    <w:qFormat/>
    <w:uiPriority w:val="0"/>
  </w:style>
  <w:style w:type="character" w:styleId="8">
    <w:name w:val="Hyperlink"/>
    <w:qFormat/>
    <w:uiPriority w:val="0"/>
    <w:rPr>
      <w:color w:val="141414"/>
      <w:u w:val="none"/>
    </w:rPr>
  </w:style>
  <w:style w:type="character" w:customStyle="1" w:styleId="9">
    <w:name w:val="apple-converted-space"/>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8</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2018-10-03T08:08:00Z</dcterms:created>
  <dc:creator>Administrator</dc:creator>
  <cp:lastModifiedBy>言之不预</cp:lastModifiedBy>
  <cp:lastPrinted>2018-10-11T04:40:00Z</cp:lastPrinted>
  <dcterms:modified xsi:type="dcterms:W3CDTF">2024-03-14T03:10:14Z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135113E336824790BE7E17FD704F5AC8_12</vt:lpwstr>
  </property>
</Properties>
</file>